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D4" w:rsidRPr="00A64ED4" w:rsidRDefault="00A64ED4" w:rsidP="00A64ED4">
      <w:pPr>
        <w:jc w:val="center"/>
        <w:rPr>
          <w:b/>
          <w:sz w:val="32"/>
          <w:szCs w:val="32"/>
        </w:rPr>
      </w:pPr>
      <w:r w:rsidRPr="00A64ED4">
        <w:rPr>
          <w:b/>
          <w:sz w:val="32"/>
          <w:szCs w:val="32"/>
        </w:rPr>
        <w:t>La funzione Anti Dip</w:t>
      </w:r>
    </w:p>
    <w:p w:rsidR="00A64ED4" w:rsidRDefault="00A64ED4"/>
    <w:p w:rsidR="001B1D77" w:rsidRDefault="00A64ED4">
      <w:r>
        <w:t xml:space="preserve">La funzione Anti Dip </w:t>
      </w:r>
      <w:r w:rsidR="001B1D77">
        <w:t>sarà strutturata nel seguente modo ed accetterà 11 parametri in ingresso:</w:t>
      </w:r>
    </w:p>
    <w:p w:rsidR="001B1D77" w:rsidRDefault="001B1D77" w:rsidP="001B1D77">
      <w:pPr>
        <w:spacing w:after="0" w:line="240" w:lineRule="auto"/>
      </w:pPr>
      <w:r>
        <w:t>SetAutoAntiDipFee(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unint256 MaxDipPercentAllowed,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_level0FeePercent, 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_level1FeePercent, 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_level2FeePercent, </w:t>
      </w:r>
      <w:r w:rsidRPr="008541B8">
        <w:t xml:space="preserve">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_level3FeePercent,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_level4FeePercent,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 uint256 _level5FeePercent, 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_level6FeePercent,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_level7FeePercent,  </w:t>
      </w:r>
    </w:p>
    <w:p w:rsidR="001B1D77" w:rsidRDefault="001B1D77" w:rsidP="001B1D77">
      <w:pPr>
        <w:spacing w:after="0" w:line="240" w:lineRule="auto"/>
        <w:ind w:firstLine="708"/>
      </w:pPr>
      <w:r>
        <w:t xml:space="preserve">uint256 _level8FeePercent,  </w:t>
      </w:r>
    </w:p>
    <w:p w:rsidR="001B1D77" w:rsidRDefault="001B1D77" w:rsidP="001B1D77">
      <w:pPr>
        <w:spacing w:after="0" w:line="240" w:lineRule="auto"/>
        <w:ind w:firstLine="708"/>
      </w:pPr>
      <w:r>
        <w:t>uint256 _level9FeePercent</w:t>
      </w:r>
    </w:p>
    <w:p w:rsidR="001B1D77" w:rsidRDefault="001B1D77" w:rsidP="001B1D77">
      <w:pPr>
        <w:spacing w:after="0" w:line="240" w:lineRule="auto"/>
        <w:ind w:firstLine="708"/>
      </w:pPr>
      <w:r>
        <w:t>uint256 _level10FeePercent)</w:t>
      </w:r>
    </w:p>
    <w:p w:rsidR="001B1D77" w:rsidRDefault="001B1D77"/>
    <w:p w:rsidR="00000000" w:rsidRDefault="00A64ED4">
      <w:r>
        <w:t>che verrà realizzata avrà lo scopo di non far scende</w:t>
      </w:r>
      <w:r w:rsidR="005E0774">
        <w:t xml:space="preserve">re la curva del prezzo oltre il </w:t>
      </w:r>
      <w:r w:rsidR="001B1D77">
        <w:t xml:space="preserve">MaxDipPercentAllowed </w:t>
      </w:r>
      <w:r w:rsidR="005E0774">
        <w:t>inserito come parametro nella funzione stessa</w:t>
      </w:r>
      <w:r>
        <w:t>, le modalità in cui lo farà sono le seguenti:</w:t>
      </w:r>
    </w:p>
    <w:p w:rsidR="00A64ED4" w:rsidRDefault="00A64ED4">
      <w:r>
        <w:t>La funzione leggerà il prezzo attuale del token dall’oracolo di Uniswap e memorizzerà sempre il prezzo massimo raggiunto, tale prezzo massimo sarà il punto di riferimento su cui fare i calcoli e verrà aggiornato ogni volta che si raggiungerà un nuovo prezzo massimo.</w:t>
      </w:r>
    </w:p>
    <w:p w:rsidR="00A64ED4" w:rsidRDefault="00A64ED4">
      <w:r>
        <w:t>Quando si scende dal prezzo massimo il sistema automatico (se attivato) procederà ad applicare una fee in BNB sulla vendita del token pari a:</w:t>
      </w:r>
    </w:p>
    <w:p w:rsidR="00A64ED4" w:rsidRDefault="001B1D77" w:rsidP="00A64ED4">
      <w:pPr>
        <w:pStyle w:val="Paragrafoelenco"/>
        <w:numPr>
          <w:ilvl w:val="0"/>
          <w:numId w:val="1"/>
        </w:numPr>
      </w:pPr>
      <w:r>
        <w:t xml:space="preserve">_level0FeePercent </w:t>
      </w:r>
      <w:r w:rsidR="00A64ED4">
        <w:t xml:space="preserve"> se il prezzo a cui ci si trova al momento della vendita  è pari al  prezzo massimo registrato</w:t>
      </w:r>
    </w:p>
    <w:p w:rsidR="00A64ED4" w:rsidRDefault="001B1D77" w:rsidP="00A64ED4">
      <w:pPr>
        <w:pStyle w:val="Paragrafoelenco"/>
        <w:numPr>
          <w:ilvl w:val="0"/>
          <w:numId w:val="1"/>
        </w:numPr>
      </w:pPr>
      <w:r>
        <w:t xml:space="preserve">_level1FeePercent  </w:t>
      </w:r>
      <w:r w:rsidR="00A64ED4">
        <w:t>se il prezzo a cui ci si trova al momento della vendita  è pari all’1</w:t>
      </w:r>
      <w:r>
        <w:t>0</w:t>
      </w:r>
      <w:r w:rsidR="00A64ED4">
        <w:t>%</w:t>
      </w:r>
      <w:r>
        <w:t xml:space="preserve"> del MaxDipPercentAllowed</w:t>
      </w:r>
      <w:r w:rsidR="00A64ED4">
        <w:t xml:space="preserve">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_level2FeePercent  </w:t>
      </w:r>
      <w:r w:rsidR="00A64ED4">
        <w:t>se il prezzo a cui ci si trova al momento della vendita  è pari all’2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_level3FeePercent  </w:t>
      </w:r>
      <w:r w:rsidR="00A64ED4">
        <w:t>se il prezzo a cui ci si trova al momento della vendita  è pari all’3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_level4FeePercent  </w:t>
      </w:r>
      <w:r w:rsidR="00A64ED4">
        <w:t>se il prezzo a cui ci si trova al momento della vendita  è pari all’4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_level5FeePercent  </w:t>
      </w:r>
      <w:r w:rsidR="00A64ED4">
        <w:t>se il prezzo a cui ci si trova al momento della vendita  è pari all’5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_level6FeePercent  </w:t>
      </w:r>
      <w:r w:rsidR="00A64ED4">
        <w:t>se il prezzo a cui ci si trova al momento della vendita  è pari all’6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_level7FeePercent  </w:t>
      </w:r>
      <w:r w:rsidR="00A64ED4">
        <w:t>se il prezzo a cui ci si trova al momento della vendita  è pari all’7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t xml:space="preserve">_level8FeePercent  </w:t>
      </w:r>
      <w:r w:rsidR="00A64ED4">
        <w:t>se il prezzo a cui ci si trova al momento della vendita  è pari all’8</w:t>
      </w:r>
      <w:r>
        <w:t>0% del MaxDipPercentAllowed al di sotto del prezzo massimo registrato</w:t>
      </w:r>
    </w:p>
    <w:p w:rsidR="001B1D77" w:rsidRDefault="001B1D77" w:rsidP="001B1D77">
      <w:pPr>
        <w:pStyle w:val="Paragrafoelenco"/>
        <w:numPr>
          <w:ilvl w:val="0"/>
          <w:numId w:val="1"/>
        </w:numPr>
      </w:pPr>
      <w:r>
        <w:lastRenderedPageBreak/>
        <w:t>_level9FeePercent  se il prezzo a cui ci si trova al momento della vendita  è pari all’90% del MaxDipPercentAllowed al di sotto del prezzo massimo registrato</w:t>
      </w:r>
    </w:p>
    <w:p w:rsidR="00A64ED4" w:rsidRDefault="001B1D77" w:rsidP="001B1D77">
      <w:pPr>
        <w:pStyle w:val="Paragrafoelenco"/>
        <w:numPr>
          <w:ilvl w:val="0"/>
          <w:numId w:val="1"/>
        </w:numPr>
      </w:pPr>
      <w:r>
        <w:t>_level10FeePercent  se il prezzo a cui ci si trova al momento della vendita  è pari all’100% del MaxDipPercentAllowed al di sotto del prezzo massimo registrato</w:t>
      </w:r>
    </w:p>
    <w:p w:rsidR="00A64ED4" w:rsidRDefault="00A64ED4"/>
    <w:sectPr w:rsidR="00A64E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74B" w:rsidRDefault="00D9574B" w:rsidP="00A64ED4">
      <w:pPr>
        <w:spacing w:after="0" w:line="240" w:lineRule="auto"/>
      </w:pPr>
      <w:r>
        <w:separator/>
      </w:r>
    </w:p>
  </w:endnote>
  <w:endnote w:type="continuationSeparator" w:id="1">
    <w:p w:rsidR="00D9574B" w:rsidRDefault="00D9574B" w:rsidP="00A6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74B" w:rsidRDefault="00D9574B" w:rsidP="00A64ED4">
      <w:pPr>
        <w:spacing w:after="0" w:line="240" w:lineRule="auto"/>
      </w:pPr>
      <w:r>
        <w:separator/>
      </w:r>
    </w:p>
  </w:footnote>
  <w:footnote w:type="continuationSeparator" w:id="1">
    <w:p w:rsidR="00D9574B" w:rsidRDefault="00D9574B" w:rsidP="00A64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96B37"/>
    <w:multiLevelType w:val="hybridMultilevel"/>
    <w:tmpl w:val="CC1E1FE8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ED4"/>
    <w:rsid w:val="001B1D77"/>
    <w:rsid w:val="005E0774"/>
    <w:rsid w:val="00A64ED4"/>
    <w:rsid w:val="00D9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A64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64ED4"/>
  </w:style>
  <w:style w:type="paragraph" w:styleId="Pidipagina">
    <w:name w:val="footer"/>
    <w:basedOn w:val="Normale"/>
    <w:link w:val="PidipaginaCarattere"/>
    <w:uiPriority w:val="99"/>
    <w:semiHidden/>
    <w:unhideWhenUsed/>
    <w:rsid w:val="00A64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64ED4"/>
  </w:style>
  <w:style w:type="paragraph" w:styleId="Paragrafoelenco">
    <w:name w:val="List Paragraph"/>
    <w:basedOn w:val="Normale"/>
    <w:uiPriority w:val="34"/>
    <w:qFormat/>
    <w:rsid w:val="00A64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4</cp:revision>
  <dcterms:created xsi:type="dcterms:W3CDTF">2021-07-02T11:20:00Z</dcterms:created>
  <dcterms:modified xsi:type="dcterms:W3CDTF">2021-07-02T12:18:00Z</dcterms:modified>
</cp:coreProperties>
</file>