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W w:w="12330" w:type="dxa"/>
        <w:tblLayout w:type="fixed"/>
        <w:tblLook w:val="04A0" w:firstRow="1" w:lastRow="0" w:firstColumn="1" w:lastColumn="0" w:noHBand="0" w:noVBand="1"/>
      </w:tblPr>
      <w:tblGrid>
        <w:gridCol w:w="1143"/>
        <w:gridCol w:w="1917"/>
        <w:gridCol w:w="2250"/>
        <w:gridCol w:w="3150"/>
        <w:gridCol w:w="2070"/>
        <w:gridCol w:w="1800"/>
      </w:tblGrid>
      <w:tr w:rsidR="00630705" w:rsidRPr="00825CD8" w:rsidTr="0063070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43" w:type="dxa"/>
          </w:tcPr>
          <w:p w:rsidR="00630705" w:rsidRPr="00825CD8" w:rsidRDefault="00630705" w:rsidP="009D17A0">
            <w:pPr>
              <w:spacing w:before="100" w:beforeAutospacing="1" w:after="100" w:afterAutospacing="1"/>
              <w:rPr>
                <w:rFonts w:eastAsia="Times New Roman" w:cstheme="minorHAnsi"/>
                <w:b w:val="0"/>
                <w:color w:val="000000"/>
                <w:sz w:val="20"/>
                <w:szCs w:val="20"/>
              </w:rPr>
            </w:pPr>
            <w:bookmarkStart w:id="0" w:name="_GoBack"/>
            <w:r w:rsidRPr="00336805">
              <w:rPr>
                <w:rFonts w:eastAsia="Times New Roman" w:cstheme="minorHAnsi"/>
                <w:color w:val="000000"/>
                <w:sz w:val="20"/>
                <w:szCs w:val="20"/>
              </w:rPr>
              <w:t xml:space="preserve">Construct </w:t>
            </w:r>
          </w:p>
        </w:tc>
        <w:tc>
          <w:tcPr>
            <w:tcW w:w="1917" w:type="dxa"/>
            <w:hideMark/>
          </w:tcPr>
          <w:p w:rsidR="00630705" w:rsidRPr="00825CD8" w:rsidRDefault="00630705" w:rsidP="009D17A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sz w:val="20"/>
                <w:szCs w:val="20"/>
              </w:rPr>
            </w:pPr>
            <w:r w:rsidRPr="00336805">
              <w:rPr>
                <w:rFonts w:eastAsia="Times New Roman" w:cstheme="minorHAnsi"/>
                <w:color w:val="000000"/>
                <w:sz w:val="20"/>
                <w:szCs w:val="20"/>
              </w:rPr>
              <w:t>Predictor</w:t>
            </w:r>
          </w:p>
        </w:tc>
        <w:tc>
          <w:tcPr>
            <w:tcW w:w="2250" w:type="dxa"/>
          </w:tcPr>
          <w:p w:rsidR="00630705" w:rsidRPr="00336805" w:rsidRDefault="00630705" w:rsidP="009D17A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Hypothesis</w:t>
            </w:r>
          </w:p>
        </w:tc>
        <w:tc>
          <w:tcPr>
            <w:tcW w:w="3150" w:type="dxa"/>
            <w:hideMark/>
          </w:tcPr>
          <w:p w:rsidR="00630705" w:rsidRPr="00825CD8" w:rsidRDefault="00630705" w:rsidP="009D17A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sz w:val="20"/>
                <w:szCs w:val="20"/>
              </w:rPr>
            </w:pPr>
            <w:r w:rsidRPr="00336805">
              <w:rPr>
                <w:rFonts w:eastAsia="Times New Roman" w:cstheme="minorHAnsi"/>
                <w:color w:val="000000"/>
                <w:sz w:val="20"/>
                <w:szCs w:val="20"/>
              </w:rPr>
              <w:t>Survey Question</w:t>
            </w:r>
          </w:p>
        </w:tc>
        <w:tc>
          <w:tcPr>
            <w:tcW w:w="2070" w:type="dxa"/>
            <w:hideMark/>
          </w:tcPr>
          <w:p w:rsidR="00630705" w:rsidRPr="00825CD8" w:rsidRDefault="00630705" w:rsidP="009D17A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sz w:val="20"/>
                <w:szCs w:val="20"/>
              </w:rPr>
            </w:pPr>
            <w:r w:rsidRPr="00336805">
              <w:rPr>
                <w:rFonts w:eastAsia="Times New Roman" w:cstheme="minorHAnsi"/>
                <w:color w:val="000000"/>
                <w:sz w:val="20"/>
                <w:szCs w:val="20"/>
              </w:rPr>
              <w:t xml:space="preserve">Response Options </w:t>
            </w:r>
          </w:p>
        </w:tc>
        <w:tc>
          <w:tcPr>
            <w:tcW w:w="1800" w:type="dxa"/>
            <w:hideMark/>
          </w:tcPr>
          <w:p w:rsidR="00630705" w:rsidRPr="00825CD8" w:rsidRDefault="00630705" w:rsidP="009D17A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sz w:val="20"/>
                <w:szCs w:val="20"/>
              </w:rPr>
            </w:pPr>
            <w:r w:rsidRPr="00336805">
              <w:rPr>
                <w:rFonts w:eastAsia="Times New Roman" w:cstheme="minorHAnsi"/>
                <w:color w:val="000000"/>
                <w:sz w:val="20"/>
                <w:szCs w:val="20"/>
              </w:rPr>
              <w:t>Data Type</w:t>
            </w:r>
          </w:p>
        </w:tc>
      </w:tr>
      <w:tr w:rsidR="00630705" w:rsidRPr="00825CD8" w:rsidTr="00630705">
        <w:trPr>
          <w:trHeight w:val="260"/>
        </w:trPr>
        <w:tc>
          <w:tcPr>
            <w:cnfStyle w:val="001000000000" w:firstRow="0" w:lastRow="0" w:firstColumn="1" w:lastColumn="0" w:oddVBand="0" w:evenVBand="0" w:oddHBand="0" w:evenHBand="0" w:firstRowFirstColumn="0" w:firstRowLastColumn="0" w:lastRowFirstColumn="0" w:lastRowLastColumn="0"/>
            <w:tcW w:w="1143" w:type="dxa"/>
          </w:tcPr>
          <w:p w:rsidR="00630705" w:rsidRPr="00D64D83" w:rsidRDefault="00630705" w:rsidP="009D17A0">
            <w:pPr>
              <w:spacing w:before="100" w:beforeAutospacing="1" w:after="100" w:afterAutospacing="1"/>
              <w:rPr>
                <w:rFonts w:eastAsia="Times New Roman" w:cstheme="minorHAnsi"/>
                <w:b w:val="0"/>
                <w:color w:val="000000"/>
                <w:sz w:val="20"/>
                <w:szCs w:val="20"/>
              </w:rPr>
            </w:pPr>
            <w:r w:rsidRPr="00D64D83">
              <w:rPr>
                <w:rFonts w:eastAsia="Times New Roman" w:cstheme="minorHAnsi"/>
                <w:color w:val="000000"/>
                <w:sz w:val="20"/>
                <w:szCs w:val="20"/>
              </w:rPr>
              <w:t>Peer influence</w:t>
            </w:r>
          </w:p>
        </w:tc>
        <w:tc>
          <w:tcPr>
            <w:tcW w:w="1917"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805">
              <w:rPr>
                <w:rFonts w:eastAsia="Times New Roman" w:cstheme="minorHAnsi"/>
                <w:color w:val="000000"/>
                <w:sz w:val="20"/>
                <w:szCs w:val="20"/>
              </w:rPr>
              <w:t>prop_lidar_network</w:t>
            </w:r>
          </w:p>
        </w:tc>
        <w:tc>
          <w:tcPr>
            <w:tcW w:w="2250" w:type="dxa"/>
          </w:tcPr>
          <w:p w:rsidR="00630705" w:rsidRPr="00336805" w:rsidRDefault="00630705" w:rsidP="0063070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color w:val="404040"/>
                <w:sz w:val="20"/>
                <w:szCs w:val="20"/>
                <w:shd w:val="clear" w:color="auto" w:fill="FFFFFF"/>
              </w:rPr>
            </w:pPr>
            <w:r>
              <w:rPr>
                <w:rFonts w:cstheme="minorHAnsi"/>
                <w:color w:val="404040"/>
                <w:sz w:val="20"/>
                <w:szCs w:val="20"/>
                <w:shd w:val="clear" w:color="auto" w:fill="FFFFFF"/>
              </w:rPr>
              <w:t xml:space="preserve">Flood risk managers with higher proportion of </w:t>
            </w:r>
            <w:proofErr w:type="spellStart"/>
            <w:r>
              <w:rPr>
                <w:rFonts w:cstheme="minorHAnsi"/>
                <w:color w:val="404040"/>
                <w:sz w:val="20"/>
                <w:szCs w:val="20"/>
                <w:shd w:val="clear" w:color="auto" w:fill="FFFFFF"/>
              </w:rPr>
              <w:t>lidar</w:t>
            </w:r>
            <w:proofErr w:type="spellEnd"/>
            <w:r>
              <w:rPr>
                <w:rFonts w:cstheme="minorHAnsi"/>
                <w:color w:val="404040"/>
                <w:sz w:val="20"/>
                <w:szCs w:val="20"/>
                <w:shd w:val="clear" w:color="auto" w:fill="FFFFFF"/>
              </w:rPr>
              <w:t xml:space="preserve"> user’s in their network are more likely to adopt </w:t>
            </w:r>
            <w:proofErr w:type="spellStart"/>
            <w:r>
              <w:rPr>
                <w:rFonts w:cstheme="minorHAnsi"/>
                <w:color w:val="404040"/>
                <w:sz w:val="20"/>
                <w:szCs w:val="20"/>
                <w:shd w:val="clear" w:color="auto" w:fill="FFFFFF"/>
              </w:rPr>
              <w:t>lidar</w:t>
            </w:r>
            <w:proofErr w:type="spellEnd"/>
            <w:r>
              <w:rPr>
                <w:rFonts w:cstheme="minorHAnsi"/>
                <w:color w:val="404040"/>
                <w:sz w:val="20"/>
                <w:szCs w:val="20"/>
                <w:shd w:val="clear" w:color="auto" w:fill="FFFFFF"/>
              </w:rPr>
              <w:t>.</w:t>
            </w:r>
          </w:p>
        </w:tc>
        <w:tc>
          <w:tcPr>
            <w:tcW w:w="315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805">
              <w:rPr>
                <w:rFonts w:cstheme="minorHAnsi"/>
                <w:color w:val="404040"/>
                <w:sz w:val="20"/>
                <w:szCs w:val="20"/>
                <w:shd w:val="clear" w:color="auto" w:fill="FFFFFF"/>
              </w:rPr>
              <w:t>Looking back over the last 12 months, who are the people with whom you discussed significant matters regarding flood risk management? Please list up to eight people, naming only their initials in order to keep them anonymous.</w:t>
            </w:r>
            <w:r>
              <w:rPr>
                <w:rFonts w:cstheme="minorHAnsi"/>
                <w:color w:val="404040"/>
                <w:sz w:val="20"/>
                <w:szCs w:val="20"/>
                <w:shd w:val="clear" w:color="auto" w:fill="FFFFFF"/>
              </w:rPr>
              <w:t xml:space="preserve"> </w:t>
            </w:r>
            <w:r w:rsidRPr="00336805">
              <w:rPr>
                <w:rFonts w:eastAsia="Times New Roman" w:cstheme="minorHAnsi"/>
                <w:color w:val="000000"/>
                <w:sz w:val="20"/>
                <w:szCs w:val="20"/>
              </w:rPr>
              <w:t xml:space="preserve">To your knowledge, does </w:t>
            </w:r>
            <w:proofErr w:type="spellStart"/>
            <w:r w:rsidRPr="00336805">
              <w:rPr>
                <w:rFonts w:eastAsia="Times New Roman" w:cstheme="minorHAnsi"/>
                <w:color w:val="000000"/>
                <w:sz w:val="20"/>
                <w:szCs w:val="20"/>
              </w:rPr>
              <w:t>AlterX</w:t>
            </w:r>
            <w:proofErr w:type="spellEnd"/>
            <w:r w:rsidRPr="00336805">
              <w:rPr>
                <w:rFonts w:eastAsia="Times New Roman" w:cstheme="minorHAnsi"/>
                <w:color w:val="000000"/>
                <w:sz w:val="20"/>
                <w:szCs w:val="20"/>
              </w:rPr>
              <w:t xml:space="preserve"> use </w:t>
            </w:r>
            <w:proofErr w:type="spellStart"/>
            <w:r w:rsidRPr="00336805">
              <w:rPr>
                <w:rFonts w:eastAsia="Times New Roman" w:cstheme="minorHAnsi"/>
                <w:color w:val="000000"/>
                <w:sz w:val="20"/>
                <w:szCs w:val="20"/>
              </w:rPr>
              <w:t>lidar</w:t>
            </w:r>
            <w:proofErr w:type="spellEnd"/>
            <w:r w:rsidRPr="00336805">
              <w:rPr>
                <w:rFonts w:eastAsia="Times New Roman" w:cstheme="minorHAnsi"/>
                <w:color w:val="000000"/>
                <w:sz w:val="20"/>
                <w:szCs w:val="20"/>
              </w:rPr>
              <w:t>?</w:t>
            </w:r>
          </w:p>
        </w:tc>
        <w:tc>
          <w:tcPr>
            <w:tcW w:w="207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805">
              <w:rPr>
                <w:rFonts w:eastAsia="Times New Roman" w:cstheme="minorHAnsi"/>
                <w:color w:val="000000"/>
                <w:sz w:val="20"/>
                <w:szCs w:val="20"/>
              </w:rPr>
              <w:t>Yes/No/I don’t know</w:t>
            </w:r>
          </w:p>
        </w:tc>
        <w:tc>
          <w:tcPr>
            <w:tcW w:w="180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336805">
              <w:rPr>
                <w:rFonts w:eastAsia="Times New Roman" w:cstheme="minorHAnsi"/>
                <w:sz w:val="20"/>
                <w:szCs w:val="20"/>
              </w:rPr>
              <w:t>Ordinal categorical (3)</w:t>
            </w:r>
          </w:p>
        </w:tc>
      </w:tr>
      <w:tr w:rsidR="00630705" w:rsidRPr="00825CD8" w:rsidTr="00630705">
        <w:trPr>
          <w:trHeight w:val="80"/>
        </w:trPr>
        <w:tc>
          <w:tcPr>
            <w:cnfStyle w:val="001000000000" w:firstRow="0" w:lastRow="0" w:firstColumn="1" w:lastColumn="0" w:oddVBand="0" w:evenVBand="0" w:oddHBand="0" w:evenHBand="0" w:firstRowFirstColumn="0" w:firstRowLastColumn="0" w:lastRowFirstColumn="0" w:lastRowLastColumn="0"/>
            <w:tcW w:w="1143" w:type="dxa"/>
          </w:tcPr>
          <w:p w:rsidR="00630705" w:rsidRPr="00D64D83" w:rsidRDefault="00630705" w:rsidP="009D17A0">
            <w:pPr>
              <w:spacing w:before="100" w:beforeAutospacing="1" w:after="100" w:afterAutospacing="1"/>
              <w:rPr>
                <w:rFonts w:eastAsia="Times New Roman" w:cstheme="minorHAnsi"/>
                <w:b w:val="0"/>
                <w:color w:val="000000"/>
                <w:sz w:val="20"/>
                <w:szCs w:val="20"/>
              </w:rPr>
            </w:pPr>
            <w:r w:rsidRPr="00D64D83">
              <w:rPr>
                <w:rFonts w:eastAsia="Times New Roman" w:cstheme="minorHAnsi"/>
                <w:color w:val="000000"/>
                <w:sz w:val="20"/>
                <w:szCs w:val="20"/>
              </w:rPr>
              <w:t>Network strength</w:t>
            </w:r>
          </w:p>
        </w:tc>
        <w:tc>
          <w:tcPr>
            <w:tcW w:w="1917"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roofErr w:type="spellStart"/>
            <w:r w:rsidRPr="00336805">
              <w:rPr>
                <w:rFonts w:eastAsia="Times New Roman" w:cstheme="minorHAnsi"/>
                <w:color w:val="000000"/>
                <w:sz w:val="20"/>
                <w:szCs w:val="20"/>
              </w:rPr>
              <w:t>comm_total</w:t>
            </w:r>
            <w:proofErr w:type="spellEnd"/>
          </w:p>
        </w:tc>
        <w:tc>
          <w:tcPr>
            <w:tcW w:w="2250" w:type="dxa"/>
          </w:tcPr>
          <w:p w:rsidR="00630705" w:rsidRPr="00336805"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 xml:space="preserve">Flood risk managers who communicate more frequently with </w:t>
            </w:r>
            <w:proofErr w:type="spellStart"/>
            <w:r>
              <w:rPr>
                <w:rFonts w:eastAsia="Times New Roman" w:cstheme="minorHAnsi"/>
                <w:color w:val="000000"/>
                <w:sz w:val="20"/>
                <w:szCs w:val="20"/>
              </w:rPr>
              <w:t>lidar</w:t>
            </w:r>
            <w:proofErr w:type="spellEnd"/>
            <w:r>
              <w:rPr>
                <w:rFonts w:eastAsia="Times New Roman" w:cstheme="minorHAnsi"/>
                <w:color w:val="000000"/>
                <w:sz w:val="20"/>
                <w:szCs w:val="20"/>
              </w:rPr>
              <w:t xml:space="preserve"> </w:t>
            </w:r>
            <w:proofErr w:type="gramStart"/>
            <w:r>
              <w:rPr>
                <w:rFonts w:eastAsia="Times New Roman" w:cstheme="minorHAnsi"/>
                <w:color w:val="000000"/>
                <w:sz w:val="20"/>
                <w:szCs w:val="20"/>
              </w:rPr>
              <w:t>user’s</w:t>
            </w:r>
            <w:proofErr w:type="gramEnd"/>
            <w:r>
              <w:rPr>
                <w:rFonts w:eastAsia="Times New Roman" w:cstheme="minorHAnsi"/>
                <w:color w:val="000000"/>
                <w:sz w:val="20"/>
                <w:szCs w:val="20"/>
              </w:rPr>
              <w:t xml:space="preserve"> in their network are more likely to adopt </w:t>
            </w:r>
            <w:proofErr w:type="spellStart"/>
            <w:r>
              <w:rPr>
                <w:rFonts w:eastAsia="Times New Roman" w:cstheme="minorHAnsi"/>
                <w:color w:val="000000"/>
                <w:sz w:val="20"/>
                <w:szCs w:val="20"/>
              </w:rPr>
              <w:t>lidar</w:t>
            </w:r>
            <w:proofErr w:type="spellEnd"/>
            <w:r>
              <w:rPr>
                <w:rFonts w:eastAsia="Times New Roman" w:cstheme="minorHAnsi"/>
                <w:color w:val="000000"/>
                <w:sz w:val="20"/>
                <w:szCs w:val="20"/>
              </w:rPr>
              <w:t>.</w:t>
            </w:r>
          </w:p>
        </w:tc>
        <w:tc>
          <w:tcPr>
            <w:tcW w:w="315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805">
              <w:rPr>
                <w:rFonts w:eastAsia="Times New Roman" w:cstheme="minorHAnsi"/>
                <w:color w:val="000000"/>
                <w:sz w:val="20"/>
                <w:szCs w:val="20"/>
              </w:rPr>
              <w:t xml:space="preserve">How often do you communicate (e.g. in-person, online, over the phone) with </w:t>
            </w:r>
            <w:proofErr w:type="spellStart"/>
            <w:r w:rsidRPr="00336805">
              <w:rPr>
                <w:rFonts w:eastAsia="Times New Roman" w:cstheme="minorHAnsi"/>
                <w:color w:val="000000"/>
                <w:sz w:val="20"/>
                <w:szCs w:val="20"/>
              </w:rPr>
              <w:t>AlterX</w:t>
            </w:r>
            <w:proofErr w:type="spellEnd"/>
            <w:r w:rsidRPr="00336805">
              <w:rPr>
                <w:rFonts w:eastAsia="Times New Roman" w:cstheme="minorHAnsi"/>
                <w:color w:val="000000"/>
                <w:sz w:val="20"/>
                <w:szCs w:val="20"/>
              </w:rPr>
              <w:t>?</w:t>
            </w:r>
          </w:p>
        </w:tc>
        <w:tc>
          <w:tcPr>
            <w:tcW w:w="207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805">
              <w:rPr>
                <w:rFonts w:eastAsia="Times New Roman" w:cstheme="minorHAnsi"/>
                <w:color w:val="000000"/>
                <w:sz w:val="20"/>
                <w:szCs w:val="20"/>
              </w:rPr>
              <w:t>A few times a year/Once a month/2-3 times a month/Once a week/Several times a week/Several times a day</w:t>
            </w:r>
          </w:p>
        </w:tc>
        <w:tc>
          <w:tcPr>
            <w:tcW w:w="180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336805">
              <w:rPr>
                <w:rFonts w:eastAsia="Times New Roman" w:cstheme="minorHAnsi"/>
                <w:sz w:val="20"/>
                <w:szCs w:val="20"/>
              </w:rPr>
              <w:t>Ordinal categorical (6)</w:t>
            </w:r>
          </w:p>
        </w:tc>
      </w:tr>
      <w:tr w:rsidR="00630705" w:rsidRPr="00825CD8" w:rsidTr="00630705">
        <w:trPr>
          <w:trHeight w:val="440"/>
        </w:trPr>
        <w:tc>
          <w:tcPr>
            <w:cnfStyle w:val="001000000000" w:firstRow="0" w:lastRow="0" w:firstColumn="1" w:lastColumn="0" w:oddVBand="0" w:evenVBand="0" w:oddHBand="0" w:evenHBand="0" w:firstRowFirstColumn="0" w:firstRowLastColumn="0" w:lastRowFirstColumn="0" w:lastRowLastColumn="0"/>
            <w:tcW w:w="1143" w:type="dxa"/>
          </w:tcPr>
          <w:p w:rsidR="00630705" w:rsidRPr="00D64D83" w:rsidRDefault="00630705" w:rsidP="009D17A0">
            <w:pPr>
              <w:spacing w:before="100" w:beforeAutospacing="1" w:after="100" w:afterAutospacing="1"/>
              <w:rPr>
                <w:rFonts w:eastAsia="Times New Roman" w:cstheme="minorHAnsi"/>
                <w:b w:val="0"/>
                <w:color w:val="000000"/>
                <w:sz w:val="20"/>
                <w:szCs w:val="20"/>
              </w:rPr>
            </w:pPr>
            <w:r w:rsidRPr="00D64D83">
              <w:rPr>
                <w:rFonts w:eastAsia="Times New Roman" w:cstheme="minorHAnsi"/>
                <w:color w:val="000000"/>
                <w:sz w:val="20"/>
                <w:szCs w:val="20"/>
              </w:rPr>
              <w:t>Network expertise</w:t>
            </w:r>
          </w:p>
        </w:tc>
        <w:tc>
          <w:tcPr>
            <w:tcW w:w="1917"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roofErr w:type="spellStart"/>
            <w:r w:rsidRPr="00336805">
              <w:rPr>
                <w:rFonts w:eastAsia="Times New Roman" w:cstheme="minorHAnsi"/>
                <w:color w:val="000000"/>
                <w:sz w:val="20"/>
                <w:szCs w:val="20"/>
              </w:rPr>
              <w:t>expert_total</w:t>
            </w:r>
            <w:proofErr w:type="spellEnd"/>
          </w:p>
        </w:tc>
        <w:tc>
          <w:tcPr>
            <w:tcW w:w="2250" w:type="dxa"/>
          </w:tcPr>
          <w:p w:rsidR="00630705" w:rsidRPr="00336805" w:rsidRDefault="00630705" w:rsidP="0063070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 xml:space="preserve">Flood risk managers who perceive </w:t>
            </w:r>
            <w:proofErr w:type="spellStart"/>
            <w:r>
              <w:rPr>
                <w:rFonts w:eastAsia="Times New Roman" w:cstheme="minorHAnsi"/>
                <w:color w:val="000000"/>
                <w:sz w:val="20"/>
                <w:szCs w:val="20"/>
              </w:rPr>
              <w:t>alter’s</w:t>
            </w:r>
            <w:proofErr w:type="spellEnd"/>
            <w:r>
              <w:rPr>
                <w:rFonts w:eastAsia="Times New Roman" w:cstheme="minorHAnsi"/>
                <w:color w:val="000000"/>
                <w:sz w:val="20"/>
                <w:szCs w:val="20"/>
              </w:rPr>
              <w:t xml:space="preserve"> in their network that use </w:t>
            </w:r>
            <w:proofErr w:type="spellStart"/>
            <w:r>
              <w:rPr>
                <w:rFonts w:eastAsia="Times New Roman" w:cstheme="minorHAnsi"/>
                <w:color w:val="000000"/>
                <w:sz w:val="20"/>
                <w:szCs w:val="20"/>
              </w:rPr>
              <w:t>lidar</w:t>
            </w:r>
            <w:proofErr w:type="spellEnd"/>
            <w:r>
              <w:rPr>
                <w:rFonts w:eastAsia="Times New Roman" w:cstheme="minorHAnsi"/>
                <w:color w:val="000000"/>
                <w:sz w:val="20"/>
                <w:szCs w:val="20"/>
              </w:rPr>
              <w:t xml:space="preserve"> to have more expertise are more likely to adopt </w:t>
            </w:r>
            <w:proofErr w:type="spellStart"/>
            <w:r>
              <w:rPr>
                <w:rFonts w:eastAsia="Times New Roman" w:cstheme="minorHAnsi"/>
                <w:color w:val="000000"/>
                <w:sz w:val="20"/>
                <w:szCs w:val="20"/>
              </w:rPr>
              <w:t>lidar</w:t>
            </w:r>
            <w:proofErr w:type="spellEnd"/>
            <w:r>
              <w:rPr>
                <w:rFonts w:eastAsia="Times New Roman" w:cstheme="minorHAnsi"/>
                <w:color w:val="000000"/>
                <w:sz w:val="20"/>
                <w:szCs w:val="20"/>
              </w:rPr>
              <w:t>.</w:t>
            </w:r>
          </w:p>
        </w:tc>
        <w:tc>
          <w:tcPr>
            <w:tcW w:w="315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805">
              <w:rPr>
                <w:rFonts w:eastAsia="Times New Roman" w:cstheme="minorHAnsi"/>
                <w:color w:val="000000"/>
                <w:sz w:val="20"/>
                <w:szCs w:val="20"/>
              </w:rPr>
              <w:t xml:space="preserve">On a scale from 0 to 10, how would you rate the expertise of </w:t>
            </w:r>
            <w:proofErr w:type="spellStart"/>
            <w:r w:rsidRPr="00336805">
              <w:rPr>
                <w:rFonts w:eastAsia="Times New Roman" w:cstheme="minorHAnsi"/>
                <w:color w:val="000000"/>
                <w:sz w:val="20"/>
                <w:szCs w:val="20"/>
              </w:rPr>
              <w:t>AlterX</w:t>
            </w:r>
            <w:proofErr w:type="spellEnd"/>
            <w:r w:rsidRPr="00336805">
              <w:rPr>
                <w:rFonts w:eastAsia="Times New Roman" w:cstheme="minorHAnsi"/>
                <w:color w:val="000000"/>
                <w:sz w:val="20"/>
                <w:szCs w:val="20"/>
              </w:rPr>
              <w:t xml:space="preserve"> in the field of flood risk management?</w:t>
            </w:r>
          </w:p>
        </w:tc>
        <w:tc>
          <w:tcPr>
            <w:tcW w:w="207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805">
              <w:rPr>
                <w:rFonts w:eastAsia="Times New Roman" w:cstheme="minorHAnsi"/>
                <w:color w:val="000000"/>
                <w:sz w:val="20"/>
                <w:szCs w:val="20"/>
              </w:rPr>
              <w:t>0 (no expertise at all) to 10 (very much expertise)</w:t>
            </w:r>
          </w:p>
        </w:tc>
        <w:tc>
          <w:tcPr>
            <w:tcW w:w="1800" w:type="dxa"/>
          </w:tcPr>
          <w:p w:rsidR="00630705" w:rsidRPr="00825CD8" w:rsidRDefault="00630705" w:rsidP="009D17A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336805">
              <w:rPr>
                <w:rFonts w:eastAsia="Times New Roman" w:cstheme="minorHAnsi"/>
                <w:sz w:val="20"/>
                <w:szCs w:val="20"/>
              </w:rPr>
              <w:t>Integer</w:t>
            </w:r>
          </w:p>
        </w:tc>
      </w:tr>
      <w:bookmarkEnd w:id="0"/>
    </w:tbl>
    <w:p w:rsidR="000A1913" w:rsidRDefault="000A1913"/>
    <w:sectPr w:rsidR="000A1913" w:rsidSect="004417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54"/>
    <w:rsid w:val="000A1913"/>
    <w:rsid w:val="00441754"/>
    <w:rsid w:val="00630705"/>
    <w:rsid w:val="00BD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E6691-DAA0-4C15-9084-CF6DB170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1754"/>
    <w:rPr>
      <w:i/>
      <w:iCs/>
    </w:rPr>
  </w:style>
  <w:style w:type="table" w:styleId="PlainTable5">
    <w:name w:val="Plain Table 5"/>
    <w:basedOn w:val="TableNormal"/>
    <w:uiPriority w:val="45"/>
    <w:rsid w:val="004417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307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Pozzi</dc:creator>
  <cp:keywords/>
  <dc:description/>
  <cp:lastModifiedBy>Tara Pozzi</cp:lastModifiedBy>
  <cp:revision>3</cp:revision>
  <dcterms:created xsi:type="dcterms:W3CDTF">2021-03-18T14:10:00Z</dcterms:created>
  <dcterms:modified xsi:type="dcterms:W3CDTF">2021-03-25T21:04:00Z</dcterms:modified>
</cp:coreProperties>
</file>