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Times New Roman"/>
          <w:b/>
          <w:i w:val="0"/>
          <w:sz w:val="32"/>
        </w:rPr>
        <w:t>ГЛАВА 6</w:t>
        <w:br/>
        <w:t>ЭКСПЕРИМЕНТАЛЬНАЯ ПРОВЕРКА ДОСТОВЕРНОСТИ АПРИОРНОЙ ОЦЕНКИ КАЧЕСТВА РУЧНЫХ СРЕДСТВ КОДИРОВАНИЯ ИНФОРМАЦИИ</w:t>
      </w:r>
    </w:p>
    <w:tbl>
      <w:tblPr>
        <w:tblW w:type="auto" w:w="0"/>
        <w:jc w:val="center"/>
        <w:tblLayout w:type="fixed"/>
        <w:tblLook w:firstColumn="1" w:firstRow="1" w:lastColumn="0" w:lastRow="0" w:noHBand="0" w:noVBand="1" w:val="04A0"/>
      </w:tblPr>
      <w:tblGrid>
        <w:gridCol w:w="9355"/>
      </w:tblGrid>
      <w:tr>
        <w:tc>
          <w:tcPr>
            <w:tcW w:type="dxa" w:w="9071"/>
            <w:shd w:fill="EDEDED"/>
            <w:tcMar>
              <w:top w:w="100" w:type="dxa"/>
              <w:start w:w="120" w:type="dxa"/>
              <w:bottom w:w="100" w:type="dxa"/>
              <w:end w:w="120" w:type="dxa"/>
            </w:tcMar>
          </w:tcPr>
          <w:p>
            <w:pPr>
              <w:spacing w:line="276" w:lineRule="auto"/>
              <w:jc w:val="both"/>
            </w:pPr>
            <w:r>
              <w:rPr>
                <w:rFonts w:ascii="Times New Roman" w:hAnsi="Times New Roman" w:eastAsia="Times New Roman"/>
                <w:b w:val="0"/>
                <w:i/>
                <w:sz w:val="20"/>
              </w:rPr>
              <w:t>Редакционный статус: черновик методической и текстовой части главы 6. В документ включены фактические исходные характеристики расширенного корпуса и результаты главы 5, которые уже зафиксированы в расчетных отчетах. Значения MAE, RMSE, Bias, ранговых корреляций, классификационных метрик, покрытия интервалов, baseline-сравнения и bootstrap-доверительных интервалов не вымышлялись: для них оставлены явно обозначенные поля, подлежащие автоматической подстановке после завершения программного блока главы 6.</w:t>
            </w:r>
          </w:p>
        </w:tc>
      </w:tr>
    </w:tbl>
    <w:p>
      <w:pPr>
        <w:spacing w:line="360" w:lineRule="auto" w:before="0" w:after="0"/>
        <w:ind w:firstLine="709"/>
        <w:jc w:val="both"/>
      </w:pPr>
      <w:r>
        <w:rPr>
          <w:rFonts w:ascii="Times New Roman" w:hAnsi="Times New Roman" w:eastAsia="Times New Roman"/>
          <w:b w:val="0"/>
          <w:i w:val="0"/>
          <w:sz w:val="28"/>
        </w:rPr>
        <w:t>Шестая глава завершает доказательную последовательность исследования: формальная модель процесса ручного кодирования, компьютерное моделирование, выявление латентных факторов и построение априорной оценки переходят к внешней проверке по фактическим результатам. Проверка выполняется на расширенном параметрическом корпусе из 150 сценариев, уникальных протоколов и соответствующих целевых показателей качества.</w:t>
      </w:r>
    </w:p>
    <w:p>
      <w:pPr>
        <w:pStyle w:val="Heading2"/>
        <w:keepNext/>
        <w:spacing w:before="160" w:after="60"/>
        <w:jc w:val="left"/>
      </w:pPr>
      <w:r>
        <w:rPr>
          <w:rFonts w:ascii="Times New Roman" w:hAnsi="Times New Roman" w:eastAsia="Times New Roman"/>
          <w:b/>
          <w:i w:val="0"/>
          <w:sz w:val="28"/>
        </w:rPr>
        <w:t>Содержание главы</w:t>
      </w:r>
    </w:p>
    <w:p>
      <w:pPr>
        <w:spacing w:line="276" w:lineRule="auto" w:after="20"/>
        <w:ind w:left="425"/>
        <w:jc w:val="left"/>
      </w:pPr>
      <w:r>
        <w:rPr>
          <w:rFonts w:ascii="Times New Roman" w:hAnsi="Times New Roman" w:eastAsia="Times New Roman"/>
          <w:b w:val="0"/>
          <w:i w:val="0"/>
          <w:sz w:val="24"/>
        </w:rPr>
        <w:t>6.1. Постановка задачи экспериментальной проверки</w:t>
      </w:r>
    </w:p>
    <w:p>
      <w:pPr>
        <w:spacing w:line="276" w:lineRule="auto" w:after="20"/>
        <w:ind w:left="425"/>
        <w:jc w:val="left"/>
      </w:pPr>
      <w:r>
        <w:rPr>
          <w:rFonts w:ascii="Times New Roman" w:hAnsi="Times New Roman" w:eastAsia="Times New Roman"/>
          <w:b w:val="0"/>
          <w:i w:val="0"/>
          <w:sz w:val="24"/>
        </w:rPr>
        <w:t>6.2. Исходные данные для проверки</w:t>
      </w:r>
    </w:p>
    <w:p>
      <w:pPr>
        <w:spacing w:line="276" w:lineRule="auto" w:after="20"/>
        <w:ind w:left="425"/>
        <w:jc w:val="left"/>
      </w:pPr>
      <w:r>
        <w:rPr>
          <w:rFonts w:ascii="Times New Roman" w:hAnsi="Times New Roman" w:eastAsia="Times New Roman"/>
          <w:b w:val="0"/>
          <w:i w:val="0"/>
          <w:sz w:val="24"/>
        </w:rPr>
        <w:t>6.3. Формирование фактического интегрального показателя качества</w:t>
      </w:r>
    </w:p>
    <w:p>
      <w:pPr>
        <w:spacing w:line="276" w:lineRule="auto" w:after="20"/>
        <w:ind w:left="425"/>
        <w:jc w:val="left"/>
      </w:pPr>
      <w:r>
        <w:rPr>
          <w:rFonts w:ascii="Times New Roman" w:hAnsi="Times New Roman" w:eastAsia="Times New Roman"/>
          <w:b w:val="0"/>
          <w:i w:val="0"/>
          <w:sz w:val="24"/>
        </w:rPr>
        <w:t>6.4. Метрики точности априорного прогноза</w:t>
      </w:r>
    </w:p>
    <w:p>
      <w:pPr>
        <w:spacing w:line="276" w:lineRule="auto" w:after="20"/>
        <w:ind w:left="425"/>
        <w:jc w:val="left"/>
      </w:pPr>
      <w:r>
        <w:rPr>
          <w:rFonts w:ascii="Times New Roman" w:hAnsi="Times New Roman" w:eastAsia="Times New Roman"/>
          <w:b w:val="0"/>
          <w:i w:val="0"/>
          <w:sz w:val="24"/>
        </w:rPr>
        <w:t>6.5. Проверка частных прогнозных критериев</w:t>
      </w:r>
    </w:p>
    <w:p>
      <w:pPr>
        <w:spacing w:line="276" w:lineRule="auto" w:after="20"/>
        <w:ind w:left="425"/>
        <w:jc w:val="left"/>
      </w:pPr>
      <w:r>
        <w:rPr>
          <w:rFonts w:ascii="Times New Roman" w:hAnsi="Times New Roman" w:eastAsia="Times New Roman"/>
          <w:b w:val="0"/>
          <w:i w:val="0"/>
          <w:sz w:val="24"/>
        </w:rPr>
        <w:t>6.6. Проверка классификации уровней качества</w:t>
      </w:r>
    </w:p>
    <w:p>
      <w:pPr>
        <w:spacing w:line="276" w:lineRule="auto" w:after="20"/>
        <w:ind w:left="425"/>
        <w:jc w:val="left"/>
      </w:pPr>
      <w:r>
        <w:rPr>
          <w:rFonts w:ascii="Times New Roman" w:hAnsi="Times New Roman" w:eastAsia="Times New Roman"/>
          <w:b w:val="0"/>
          <w:i w:val="0"/>
          <w:sz w:val="24"/>
        </w:rPr>
        <w:t>6.7. Проверка интервального прогноза</w:t>
      </w:r>
    </w:p>
    <w:p>
      <w:pPr>
        <w:spacing w:line="276" w:lineRule="auto" w:after="20"/>
        <w:ind w:left="425"/>
        <w:jc w:val="left"/>
      </w:pPr>
      <w:r>
        <w:rPr>
          <w:rFonts w:ascii="Times New Roman" w:hAnsi="Times New Roman" w:eastAsia="Times New Roman"/>
          <w:b w:val="0"/>
          <w:i w:val="0"/>
          <w:sz w:val="24"/>
        </w:rPr>
        <w:t>6.8. Сравнение с базовыми моделями без LDA</w:t>
      </w:r>
    </w:p>
    <w:p>
      <w:pPr>
        <w:spacing w:line="276" w:lineRule="auto" w:after="20"/>
        <w:ind w:left="425"/>
        <w:jc w:val="left"/>
      </w:pPr>
      <w:r>
        <w:rPr>
          <w:rFonts w:ascii="Times New Roman" w:hAnsi="Times New Roman" w:eastAsia="Times New Roman"/>
          <w:b w:val="0"/>
          <w:i w:val="0"/>
          <w:sz w:val="24"/>
        </w:rPr>
        <w:t>6.9. Статистическая устойчивость результатов</w:t>
      </w:r>
    </w:p>
    <w:p>
      <w:pPr>
        <w:spacing w:line="276" w:lineRule="auto" w:after="20"/>
        <w:ind w:left="425"/>
        <w:jc w:val="left"/>
      </w:pPr>
      <w:r>
        <w:rPr>
          <w:rFonts w:ascii="Times New Roman" w:hAnsi="Times New Roman" w:eastAsia="Times New Roman"/>
          <w:b w:val="0"/>
          <w:i w:val="0"/>
          <w:sz w:val="24"/>
        </w:rPr>
        <w:t>6.10. Анализ ошибок прогноза</w:t>
      </w:r>
    </w:p>
    <w:p>
      <w:pPr>
        <w:spacing w:line="276" w:lineRule="auto" w:after="20"/>
        <w:ind w:left="425"/>
        <w:jc w:val="left"/>
      </w:pPr>
      <w:r>
        <w:rPr>
          <w:rFonts w:ascii="Times New Roman" w:hAnsi="Times New Roman" w:eastAsia="Times New Roman"/>
          <w:b w:val="0"/>
          <w:i w:val="0"/>
          <w:sz w:val="24"/>
        </w:rPr>
        <w:t>6.11. Ограничения проверки</w:t>
      </w:r>
    </w:p>
    <w:p>
      <w:pPr>
        <w:spacing w:line="276" w:lineRule="auto" w:after="20"/>
        <w:ind w:left="425"/>
        <w:jc w:val="left"/>
      </w:pPr>
      <w:r>
        <w:rPr>
          <w:rFonts w:ascii="Times New Roman" w:hAnsi="Times New Roman" w:eastAsia="Times New Roman"/>
          <w:b w:val="0"/>
          <w:i w:val="0"/>
          <w:sz w:val="24"/>
        </w:rPr>
        <w:t>6.12. Выводы по главе 6</w:t>
      </w:r>
    </w:p>
    <w:p>
      <w:pPr>
        <w:pStyle w:val="Heading1"/>
        <w:keepNext/>
        <w:pageBreakBefore/>
        <w:spacing w:before="240" w:after="120"/>
        <w:jc w:val="left"/>
      </w:pPr>
      <w:r>
        <w:rPr>
          <w:rFonts w:ascii="Times New Roman" w:hAnsi="Times New Roman" w:eastAsia="Times New Roman"/>
          <w:b/>
          <w:i w:val="0"/>
          <w:sz w:val="32"/>
        </w:rPr>
        <w:t>6.1. Постановка задачи экспериментальной проверки</w:t>
      </w:r>
    </w:p>
    <w:p>
      <w:pPr>
        <w:spacing w:line="360" w:lineRule="auto" w:before="0" w:after="0"/>
        <w:ind w:firstLine="709"/>
        <w:jc w:val="both"/>
      </w:pPr>
      <w:r>
        <w:rPr>
          <w:rFonts w:ascii="Times New Roman" w:hAnsi="Times New Roman" w:eastAsia="Times New Roman"/>
          <w:b w:val="0"/>
          <w:i w:val="0"/>
          <w:sz w:val="28"/>
        </w:rPr>
        <w:t>В пятой главе построена априорная интегральная оценка качества Q_pred, рассчитываемая по признакам, известным до выполнения процедуры, и по латентному профилю LDA_prior. Программный контур главы 5 прошел финальную приемку: все ключевые таблицы содержат 150 строк, контроль методической утечки завершен успешно, а фактические признаки и целевые показатели не использовались при построении прогноза.</w:t>
      </w:r>
    </w:p>
    <w:p>
      <w:pPr>
        <w:spacing w:line="360" w:lineRule="auto" w:before="0" w:after="0"/>
        <w:ind w:firstLine="709"/>
        <w:jc w:val="both"/>
      </w:pPr>
      <w:r>
        <w:rPr>
          <w:rFonts w:ascii="Times New Roman" w:hAnsi="Times New Roman" w:eastAsia="Times New Roman"/>
          <w:b w:val="0"/>
          <w:i w:val="0"/>
          <w:sz w:val="28"/>
        </w:rPr>
        <w:t>Назначение настоящей главы состоит не в повторном построении прогноза и не в корректировке его коэффициентов, а в экспериментальной проверке внешней согласованности прогнозных и фактических показателей. Поэтому формулы, веса частных критериев, направления латентных факторов, пороги классов качества и параметры интервального прогноза фиксируются в том виде, в котором они были определены до загрузки quality_targets.csv и fact_features.csv.</w:t>
      </w:r>
    </w:p>
    <w:p>
      <w:pPr>
        <w:spacing w:line="360" w:lineRule="auto" w:before="0" w:after="0"/>
        <w:ind w:firstLine="709"/>
        <w:jc w:val="both"/>
      </w:pPr>
      <w:r>
        <w:rPr>
          <w:rFonts w:ascii="Times New Roman" w:hAnsi="Times New Roman" w:eastAsia="Times New Roman"/>
          <w:b w:val="0"/>
          <w:i w:val="0"/>
          <w:sz w:val="28"/>
        </w:rPr>
        <w:t>Для i-го сценария рассматриваются прогнозная оценка Q_pred,i и фактическая оценка Q_fact,i. Их signed-разность используется для анализа систематического завышения или занижения качества:</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118"/>
        <w:gridCol w:w="3118"/>
        <w:gridCol w:w="3118"/>
      </w:tblGrid>
      <w:tr>
        <w:tc>
          <w:tcPr>
            <w:tcW w:type="dxa" w:w="680"/>
            <w:tcMar>
              <w:top w:w="20" w:type="dxa"/>
              <w:start w:w="0" w:type="dxa"/>
              <w:bottom w:w="20" w:type="dxa"/>
              <w:end w:w="0" w:type="dxa"/>
            </w:tcMar>
          </w:tcPr>
          <w:p/>
        </w:tc>
        <w:tc>
          <w:tcPr>
            <w:tcW w:type="dxa" w:w="7710"/>
            <w:tcMar>
              <w:top w:w="20" w:type="dxa"/>
              <w:start w:w="0" w:type="dxa"/>
              <w:bottom w:w="20" w:type="dxa"/>
              <w:end w:w="0" w:type="dxa"/>
            </w:tcMar>
          </w:tcPr>
          <w:p>
            <w:pPr>
              <w:spacing w:before="80" w:after="80"/>
              <w:jc w:val="center"/>
            </w:pPr>
            <m:oMathPara>
              <m:oMathParaPr>
                <m:jc m:val="center"/>
              </m:oMathParaPr>
              <m:oMath>
                <m:sSub>
                  <m:e>
                    <m:r>
                      <m:t>e</m:t>
                    </m:r>
                  </m:e>
                  <m:sub>
                    <m:r>
                      <m:t>i</m:t>
                    </m:r>
                  </m:sub>
                </m:sSub>
                <m:r>
                  <m:rPr>
                    <m:sty m:val="p"/>
                  </m:rPr>
                  <m:t>=</m:t>
                </m:r>
                <m:sSub>
                  <m:e>
                    <m:r>
                      <m:t>Q</m:t>
                    </m:r>
                  </m:e>
                  <m:sub>
                    <m:r>
                      <m:rPr>
                        <m:sty m:val="p"/>
                      </m:rPr>
                      <m:t>pred</m:t>
                    </m:r>
                    <m:r>
                      <m:rPr>
                        <m:sty m:val="p"/>
                      </m:rPr>
                      <m:t>,</m:t>
                    </m:r>
                    <m:r>
                      <m:t>i</m:t>
                    </m:r>
                  </m:sub>
                </m:sSub>
                <m:r>
                  <m:rPr>
                    <m:sty m:val="p"/>
                  </m:rPr>
                  <m:t>−</m:t>
                </m:r>
                <m:sSub>
                  <m:e>
                    <m:r>
                      <m:t>Q</m:t>
                    </m:r>
                  </m:e>
                  <m:sub>
                    <m:r>
                      <m:rPr>
                        <m:sty m:val="p"/>
                      </m:rPr>
                      <m:t>fact</m:t>
                    </m:r>
                    <m:r>
                      <m:rPr>
                        <m:sty m:val="p"/>
                      </m:rPr>
                      <m:t>,</m:t>
                    </m:r>
                    <m:r>
                      <m:t>i</m:t>
                    </m:r>
                  </m:sub>
                </m:sSub>
              </m:oMath>
            </m:oMathPara>
          </w:p>
        </w:tc>
        <w:tc>
          <w:tcPr>
            <w:tcW w:type="dxa" w:w="680"/>
            <w:tcMar>
              <w:top w:w="20" w:type="dxa"/>
              <w:start w:w="0" w:type="dxa"/>
              <w:bottom w:w="20" w:type="dxa"/>
              <w:end w:w="0" w:type="dxa"/>
            </w:tcMar>
          </w:tcPr>
          <w:p>
            <w:pPr>
              <w:spacing w:before="80" w:after="80"/>
              <w:jc w:val="right"/>
            </w:pPr>
            <w:r>
              <w:rPr>
                <w:rFonts w:ascii="Times New Roman" w:hAnsi="Times New Roman" w:eastAsia="Times New Roman"/>
                <w:b w:val="0"/>
                <w:i w:val="0"/>
                <w:sz w:val="20"/>
              </w:rPr>
              <w:t>(6.1)</w:t>
            </w:r>
          </w:p>
        </w:tc>
      </w:tr>
    </w:tbl>
    <w:p>
      <w:pPr>
        <w:spacing w:line="360" w:lineRule="auto" w:before="0" w:after="0"/>
        <w:ind w:firstLine="709"/>
        <w:jc w:val="both"/>
      </w:pPr>
      <w:r>
        <w:rPr>
          <w:rFonts w:ascii="Times New Roman" w:hAnsi="Times New Roman" w:eastAsia="Times New Roman"/>
          <w:b w:val="0"/>
          <w:i w:val="0"/>
          <w:sz w:val="28"/>
        </w:rPr>
        <w:t>Абсолютное значение ошибки характеризует точность отдельного прогноза, а совокупность ошибок по N = 150 сценариям служит основой для расчета интегральных метрик. Дополнительно проверяется, сохраняет ли прогноз порядок сценариев по качеству, правильно ли определяет классы low, medium и high и соответствуют ли заявленные интервалы неопределенности фактическому разбросу результатов.</w:t>
      </w:r>
    </w:p>
    <w:p>
      <w:pPr>
        <w:spacing w:line="360" w:lineRule="auto" w:before="0" w:after="0"/>
        <w:jc w:val="both"/>
      </w:pPr>
      <w:r>
        <w:rPr>
          <w:rFonts w:ascii="Times New Roman" w:hAnsi="Times New Roman" w:eastAsia="Times New Roman"/>
          <w:b w:val="0"/>
          <w:i w:val="0"/>
          <w:sz w:val="28"/>
        </w:rPr>
        <w:t>В главе решаются следующие экспериментальные задачи:</w:t>
      </w:r>
    </w:p>
    <w:p>
      <w:pPr>
        <w:spacing w:line="360" w:lineRule="auto" w:after="0"/>
        <w:ind w:left="709" w:hanging="283"/>
        <w:jc w:val="both"/>
      </w:pPr>
      <w:r>
        <w:rPr>
          <w:rFonts w:ascii="Times New Roman" w:hAnsi="Times New Roman" w:eastAsia="Times New Roman"/>
          <w:b w:val="0"/>
          <w:i w:val="0"/>
          <w:sz w:val="28"/>
        </w:rPr>
        <w:t>1. объединить прогнозные артефакты главы 5 с фактическими целевыми показателями по ключам scenario_id и protocol_id;</w:t>
      </w:r>
    </w:p>
    <w:p>
      <w:pPr>
        <w:spacing w:line="360" w:lineRule="auto" w:after="0"/>
        <w:ind w:left="709" w:hanging="283"/>
        <w:jc w:val="both"/>
      </w:pPr>
      <w:r>
        <w:rPr>
          <w:rFonts w:ascii="Times New Roman" w:hAnsi="Times New Roman" w:eastAsia="Times New Roman"/>
          <w:b w:val="0"/>
          <w:i w:val="0"/>
          <w:sz w:val="28"/>
        </w:rPr>
        <w:t>2. проверить интегральный прогноз Q_pred относительно integral_quality;</w:t>
      </w:r>
    </w:p>
    <w:p>
      <w:pPr>
        <w:spacing w:line="360" w:lineRule="auto" w:after="0"/>
        <w:ind w:left="709" w:hanging="283"/>
        <w:jc w:val="both"/>
      </w:pPr>
      <w:r>
        <w:rPr>
          <w:rFonts w:ascii="Times New Roman" w:hAnsi="Times New Roman" w:eastAsia="Times New Roman"/>
          <w:b w:val="0"/>
          <w:i w:val="0"/>
          <w:sz w:val="28"/>
        </w:rPr>
        <w:t>3. проверить шесть частных прогнозов относительно q_acc, q_time, q_effort, q_res, q_rep и q_fit;</w:t>
      </w:r>
    </w:p>
    <w:p>
      <w:pPr>
        <w:spacing w:line="360" w:lineRule="auto" w:after="0"/>
        <w:ind w:left="709" w:hanging="283"/>
        <w:jc w:val="both"/>
      </w:pPr>
      <w:r>
        <w:rPr>
          <w:rFonts w:ascii="Times New Roman" w:hAnsi="Times New Roman" w:eastAsia="Times New Roman"/>
          <w:b w:val="0"/>
          <w:i w:val="0"/>
          <w:sz w:val="28"/>
        </w:rPr>
        <w:t>4. рассчитать MAE, RMSE, Bias, Pearson, Spearman, Kendall и R²;</w:t>
      </w:r>
    </w:p>
    <w:p>
      <w:pPr>
        <w:spacing w:line="360" w:lineRule="auto" w:after="0"/>
        <w:ind w:left="709" w:hanging="283"/>
        <w:jc w:val="both"/>
      </w:pPr>
      <w:r>
        <w:rPr>
          <w:rFonts w:ascii="Times New Roman" w:hAnsi="Times New Roman" w:eastAsia="Times New Roman"/>
          <w:b w:val="0"/>
          <w:i w:val="0"/>
          <w:sz w:val="28"/>
        </w:rPr>
        <w:t>5. оценить качество трехклассовой классификации и структуру ошибок между классами;</w:t>
      </w:r>
    </w:p>
    <w:p>
      <w:pPr>
        <w:spacing w:line="360" w:lineRule="auto" w:after="0"/>
        <w:ind w:left="709" w:hanging="283"/>
        <w:jc w:val="both"/>
      </w:pPr>
      <w:r>
        <w:rPr>
          <w:rFonts w:ascii="Times New Roman" w:hAnsi="Times New Roman" w:eastAsia="Times New Roman"/>
          <w:b w:val="0"/>
          <w:i w:val="0"/>
          <w:sz w:val="28"/>
        </w:rPr>
        <w:t>6. проверить покрытие интервального прогноза и информативность ширины интервалов;</w:t>
      </w:r>
    </w:p>
    <w:p>
      <w:pPr>
        <w:spacing w:line="360" w:lineRule="auto" w:after="0"/>
        <w:ind w:left="709" w:hanging="283"/>
        <w:jc w:val="both"/>
      </w:pPr>
      <w:r>
        <w:rPr>
          <w:rFonts w:ascii="Times New Roman" w:hAnsi="Times New Roman" w:eastAsia="Times New Roman"/>
          <w:b w:val="0"/>
          <w:i w:val="0"/>
          <w:sz w:val="28"/>
        </w:rPr>
        <w:t>7. сопоставить модель главы 5 с mean-, prior-only- и theta-only-baseline;</w:t>
      </w:r>
    </w:p>
    <w:p>
      <w:pPr>
        <w:spacing w:line="360" w:lineRule="auto" w:after="0"/>
        <w:ind w:left="709" w:hanging="283"/>
        <w:jc w:val="both"/>
      </w:pPr>
      <w:r>
        <w:rPr>
          <w:rFonts w:ascii="Times New Roman" w:hAnsi="Times New Roman" w:eastAsia="Times New Roman"/>
          <w:b w:val="0"/>
          <w:i w:val="0"/>
          <w:sz w:val="28"/>
        </w:rPr>
        <w:t>8. оценить статистическую устойчивость метрик и разностей моделей методом bootstrap;</w:t>
      </w:r>
    </w:p>
    <w:p>
      <w:pPr>
        <w:spacing w:line="360" w:lineRule="auto" w:after="0"/>
        <w:ind w:left="709" w:hanging="283"/>
        <w:jc w:val="both"/>
      </w:pPr>
      <w:r>
        <w:rPr>
          <w:rFonts w:ascii="Times New Roman" w:hAnsi="Times New Roman" w:eastAsia="Times New Roman"/>
          <w:b w:val="0"/>
          <w:i w:val="0"/>
          <w:sz w:val="28"/>
        </w:rPr>
        <w:t>9. исследовать сценарии с наибольшими ошибками и связь ошибки с неопределенностью и доминирующим фактором.</w:t>
      </w:r>
    </w:p>
    <w:p>
      <w:pPr>
        <w:spacing w:line="360" w:lineRule="auto" w:before="0" w:after="0"/>
        <w:ind w:firstLine="709"/>
        <w:jc w:val="both"/>
      </w:pPr>
      <w:r>
        <w:rPr>
          <w:rFonts w:ascii="Times New Roman" w:hAnsi="Times New Roman" w:eastAsia="Times New Roman"/>
          <w:b w:val="0"/>
          <w:i w:val="0"/>
          <w:sz w:val="28"/>
        </w:rPr>
        <w:t>Основная проверяемая гипотеза формулируется следующим образом: включение латентного профиля LDA_prior совместно с нормированными априорными признаками должно обеспечивать меньшую ошибку и более высокую ранговую согласованность по сравнению с базовыми схемами, не использующими полную комбинацию X_prior и θ_prior. Подтверждение гипотезы требует не только улучшения точечной метрики, но и статистически устойчивого преимущества в парном bootstrap-сравнении.</w:t>
      </w:r>
    </w:p>
    <w:p>
      <w:pPr>
        <w:pStyle w:val="Heading1"/>
        <w:keepNext/>
        <w:pageBreakBefore w:val="0"/>
        <w:spacing w:before="240" w:after="120"/>
        <w:jc w:val="left"/>
      </w:pPr>
      <w:r>
        <w:rPr>
          <w:rFonts w:ascii="Times New Roman" w:hAnsi="Times New Roman" w:eastAsia="Times New Roman"/>
          <w:b/>
          <w:i w:val="0"/>
          <w:sz w:val="32"/>
        </w:rPr>
        <w:t>6.2. Исходные данные для проверки</w:t>
      </w:r>
    </w:p>
    <w:p>
      <w:pPr>
        <w:spacing w:line="360" w:lineRule="auto" w:before="0" w:after="0"/>
        <w:ind w:firstLine="709"/>
        <w:jc w:val="both"/>
      </w:pPr>
      <w:r>
        <w:rPr>
          <w:rFonts w:ascii="Times New Roman" w:hAnsi="Times New Roman" w:eastAsia="Times New Roman"/>
          <w:b w:val="0"/>
          <w:i w:val="0"/>
          <w:sz w:val="28"/>
        </w:rPr>
        <w:t>Информационная база главы 6 формируется на стыке трех вычислительных контуров. Глава 3 предоставляет фактические признаки выполнения и целевые показатели качества, глава 4 — латентные профили сценариев, а глава 5 — априорные точечные и интервальные прогнозы. При этом фактические данные впервые становятся доступными модели только в настоящей главе и не могут использоваться для ретроспективной корректировки правил формирования Q_pred.</w:t>
      </w:r>
    </w:p>
    <w:p>
      <w:pPr>
        <w:keepNext/>
        <w:spacing w:before="120" w:after="60"/>
        <w:jc w:val="center"/>
      </w:pPr>
      <w:r>
        <w:rPr>
          <w:rFonts w:ascii="Times New Roman" w:hAnsi="Times New Roman" w:eastAsia="Times New Roman"/>
          <w:b w:val="0"/>
          <w:i w:val="0"/>
          <w:sz w:val="20"/>
        </w:rPr>
        <w:t>Таблица 6.1 - Исходные артефакты экспериментальной проверки</w:t>
      </w:r>
    </w:p>
    <w:tbl>
      <w:tblPr>
        <w:tblStyle w:val="TableGrid"/>
        <w:tblW w:type="auto" w:w="0"/>
        <w:jc w:val="center"/>
        <w:tblLayout w:type="fixed"/>
        <w:tblLook w:firstColumn="1" w:firstRow="1" w:lastColumn="0" w:lastRow="0" w:noHBand="0" w:noVBand="1" w:val="04A0"/>
      </w:tblPr>
      <w:tblGrid>
        <w:gridCol w:w="3118"/>
        <w:gridCol w:w="3118"/>
        <w:gridCol w:w="3118"/>
      </w:tblGrid>
      <w:tr>
        <w:trPr>
          <w:trHeight w:hRule="atLeast"/>
          <w:tblHeader w:val="true"/>
        </w:trPr>
        <w:tc>
          <w:tcPr>
            <w:tcW w:type="dxa" w:w="2835"/>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Артефакт</w:t>
            </w:r>
          </w:p>
        </w:tc>
        <w:tc>
          <w:tcPr>
            <w:tcW w:type="dxa" w:w="3628"/>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Содержание</w:t>
            </w:r>
          </w:p>
        </w:tc>
        <w:tc>
          <w:tcPr>
            <w:tcW w:type="dxa" w:w="2608"/>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Роль в главе 6</w:t>
            </w:r>
          </w:p>
        </w:tc>
      </w:tr>
      <w:tr>
        <w:trPr>
          <w:trHeight w:hRule="atLeast"/>
        </w:trPr>
        <w:tc>
          <w:tcPr>
            <w:tcW w:type="dxa" w:w="283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reports/chapter5/q_pred.csv</w:t>
            </w:r>
          </w:p>
        </w:tc>
        <w:tc>
          <w:tcPr>
            <w:tcW w:type="dxa" w:w="3628"/>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Q_pred, прогнозный класс и вклады критериев</w:t>
            </w:r>
          </w:p>
        </w:tc>
        <w:tc>
          <w:tcPr>
            <w:tcW w:type="dxa" w:w="2608"/>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Основной точечный прогноз</w:t>
            </w:r>
          </w:p>
        </w:tc>
      </w:tr>
      <w:tr>
        <w:trPr>
          <w:trHeight w:hRule="atLeast"/>
        </w:trPr>
        <w:tc>
          <w:tcPr>
            <w:tcW w:type="dxa" w:w="283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reports/chapter5/q_pred_components.csv</w:t>
            </w:r>
          </w:p>
        </w:tc>
        <w:tc>
          <w:tcPr>
            <w:tcW w:type="dxa" w:w="3628"/>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Шесть частных прогнозных критериев</w:t>
            </w:r>
          </w:p>
        </w:tc>
        <w:tc>
          <w:tcPr>
            <w:tcW w:type="dxa" w:w="2608"/>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Проверка q_j,pred относительно q_j</w:t>
            </w:r>
          </w:p>
        </w:tc>
      </w:tr>
      <w:tr>
        <w:trPr>
          <w:trHeight w:hRule="atLeast"/>
        </w:trPr>
        <w:tc>
          <w:tcPr>
            <w:tcW w:type="dxa" w:w="283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reports/chapter5/prediction_uncertainty.csv</w:t>
            </w:r>
          </w:p>
        </w:tc>
        <w:tc>
          <w:tcPr>
            <w:tcW w:type="dxa" w:w="3628"/>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uncertainty_score, q_pred_lower, q_pred_upper</w:t>
            </w:r>
          </w:p>
        </w:tc>
        <w:tc>
          <w:tcPr>
            <w:tcW w:type="dxa" w:w="2608"/>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Проверка интервального прогноза</w:t>
            </w:r>
          </w:p>
        </w:tc>
      </w:tr>
      <w:tr>
        <w:trPr>
          <w:trHeight w:hRule="atLeast"/>
        </w:trPr>
        <w:tc>
          <w:tcPr>
            <w:tcW w:type="dxa" w:w="283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reports/chapter5/chapter5_prediction_report.json</w:t>
            </w:r>
          </w:p>
        </w:tc>
        <w:tc>
          <w:tcPr>
            <w:tcW w:type="dxa" w:w="3628"/>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Сводка параметров и приемки главы 5</w:t>
            </w:r>
          </w:p>
        </w:tc>
        <w:tc>
          <w:tcPr>
            <w:tcW w:type="dxa" w:w="2608"/>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Контроль согласованности входов</w:t>
            </w:r>
          </w:p>
        </w:tc>
      </w:tr>
      <w:tr>
        <w:trPr>
          <w:trHeight w:hRule="atLeast"/>
        </w:trPr>
        <w:tc>
          <w:tcPr>
            <w:tcW w:type="dxa" w:w="283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data/processed/quality_targets.csv</w:t>
            </w:r>
          </w:p>
        </w:tc>
        <w:tc>
          <w:tcPr>
            <w:tcW w:type="dxa" w:w="3628"/>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q_acc, q_time, q_effort, q_res, q_rep, q_fit, integral_quality</w:t>
            </w:r>
          </w:p>
        </w:tc>
        <w:tc>
          <w:tcPr>
            <w:tcW w:type="dxa" w:w="2608"/>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Фактические целевые показатели</w:t>
            </w:r>
          </w:p>
        </w:tc>
      </w:tr>
      <w:tr>
        <w:trPr>
          <w:trHeight w:hRule="atLeast"/>
        </w:trPr>
        <w:tc>
          <w:tcPr>
            <w:tcW w:type="dxa" w:w="283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data/processed/fact_features.csv</w:t>
            </w:r>
          </w:p>
        </w:tc>
        <w:tc>
          <w:tcPr>
            <w:tcW w:type="dxa" w:w="3628"/>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Число ошибок, длительность, повторы, отказы, успех</w:t>
            </w:r>
          </w:p>
        </w:tc>
        <w:tc>
          <w:tcPr>
            <w:tcW w:type="dxa" w:w="2608"/>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Диагностический анализ крупнейших ошибок</w:t>
            </w:r>
          </w:p>
        </w:tc>
      </w:tr>
      <w:tr>
        <w:trPr>
          <w:trHeight w:hRule="atLeast"/>
        </w:trPr>
        <w:tc>
          <w:tcPr>
            <w:tcW w:type="dxa" w:w="283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reports/chapter4/theta_prior.csv</w:t>
            </w:r>
          </w:p>
        </w:tc>
        <w:tc>
          <w:tcPr>
            <w:tcW w:type="dxa" w:w="3628"/>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theta_0, theta_1, theta_2 и dominant_topic</w:t>
            </w:r>
          </w:p>
        </w:tc>
        <w:tc>
          <w:tcPr>
            <w:tcW w:type="dxa" w:w="2608"/>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Группировка ошибок по латентным факторам</w:t>
            </w:r>
          </w:p>
        </w:tc>
      </w:tr>
    </w:tbl>
    <w:p>
      <w:pPr>
        <w:spacing w:line="360" w:lineRule="auto" w:before="0" w:after="0"/>
        <w:ind w:firstLine="709"/>
        <w:jc w:val="both"/>
      </w:pPr>
      <w:r>
        <w:rPr>
          <w:rFonts w:ascii="Times New Roman" w:hAnsi="Times New Roman" w:eastAsia="Times New Roman"/>
          <w:b w:val="0"/>
          <w:i w:val="0"/>
          <w:sz w:val="28"/>
        </w:rPr>
        <w:t>Объединение таблиц выполняется как проверяемая операция one-to-one. Для каждой строки должны совпадать scenario_id и protocol_id, идентификаторы не должны дублироваться, а число объединенных записей должно оставаться равным 150. Наличие пропусков в целевых или прогнозных колонках является основанием для остановки расчета, поскольку выборочное исключение строк может сместить итоговые метрики.</w:t>
      </w:r>
    </w:p>
    <w:p>
      <w:pPr>
        <w:keepNext/>
        <w:spacing w:before="120" w:after="60"/>
        <w:jc w:val="center"/>
      </w:pPr>
      <w:r>
        <w:rPr>
          <w:rFonts w:ascii="Times New Roman" w:hAnsi="Times New Roman" w:eastAsia="Times New Roman"/>
          <w:b w:val="0"/>
          <w:i w:val="0"/>
          <w:sz w:val="20"/>
        </w:rPr>
        <w:t>Таблица 6.2 - Фактические показатели расширенного корпуса</w:t>
      </w:r>
    </w:p>
    <w:tbl>
      <w:tblPr>
        <w:tblStyle w:val="TableGrid"/>
        <w:tblW w:type="auto" w:w="0"/>
        <w:jc w:val="center"/>
        <w:tblLayout w:type="fixed"/>
        <w:tblLook w:firstColumn="1" w:firstRow="1" w:lastColumn="0" w:lastRow="0" w:noHBand="0" w:noVBand="1" w:val="04A0"/>
      </w:tblPr>
      <w:tblGrid>
        <w:gridCol w:w="1559"/>
        <w:gridCol w:w="1559"/>
        <w:gridCol w:w="1559"/>
        <w:gridCol w:w="1559"/>
        <w:gridCol w:w="1559"/>
        <w:gridCol w:w="1559"/>
      </w:tblGrid>
      <w:tr>
        <w:trPr>
          <w:trHeight w:hRule="atLeast"/>
          <w:tblHeader w:val="true"/>
        </w:trPr>
        <w:tc>
          <w:tcPr>
            <w:tcW w:type="dxa" w:w="1984"/>
            <w:shd w:fill="D9E2F3"/>
            <w:tcMar>
              <w:top w:w="60" w:type="dxa"/>
              <w:start w:w="70" w:type="dxa"/>
              <w:bottom w:w="60" w:type="dxa"/>
              <w:end w:w="70" w:type="dxa"/>
            </w:tcMar>
            <w:vAlign w:val="center"/>
          </w:tcPr>
          <w:p>
            <w:pPr>
              <w:spacing w:after="0" w:line="240" w:lineRule="auto"/>
              <w:jc w:val="left"/>
            </w:pPr>
            <w:r>
              <w:rPr>
                <w:rFonts w:ascii="Times New Roman" w:hAnsi="Times New Roman" w:eastAsia="Times New Roman"/>
                <w:b/>
                <w:i w:val="0"/>
                <w:sz w:val="20"/>
              </w:rPr>
              <w:t>Показатель</w:t>
            </w:r>
          </w:p>
        </w:tc>
        <w:tc>
          <w:tcPr>
            <w:tcW w:type="dxa" w:w="1417"/>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Mean</w:t>
            </w:r>
          </w:p>
        </w:tc>
        <w:tc>
          <w:tcPr>
            <w:tcW w:type="dxa" w:w="1417"/>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Std</w:t>
            </w:r>
          </w:p>
        </w:tc>
        <w:tc>
          <w:tcPr>
            <w:tcW w:type="dxa" w:w="1417"/>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Min</w:t>
            </w:r>
          </w:p>
        </w:tc>
        <w:tc>
          <w:tcPr>
            <w:tcW w:type="dxa" w:w="1417"/>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Median</w:t>
            </w:r>
          </w:p>
        </w:tc>
        <w:tc>
          <w:tcPr>
            <w:tcW w:type="dxa" w:w="1417"/>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Max</w:t>
            </w:r>
          </w:p>
        </w:tc>
      </w:tr>
      <w:tr>
        <w:trPr>
          <w:trHeight w:hRule="atLeast"/>
        </w:trPr>
        <w:tc>
          <w:tcPr>
            <w:tcW w:type="dxa" w:w="1984"/>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q_acc</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0.658264</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0.121236</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0.333333</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0.666667</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1.000000</w:t>
            </w:r>
          </w:p>
        </w:tc>
      </w:tr>
      <w:tr>
        <w:trPr>
          <w:trHeight w:hRule="atLeast"/>
        </w:trPr>
        <w:tc>
          <w:tcPr>
            <w:tcW w:type="dxa" w:w="1984"/>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q_time</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0.665466</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0.108604</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0.454019</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0.654670</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0.899582</w:t>
            </w:r>
          </w:p>
        </w:tc>
      </w:tr>
      <w:tr>
        <w:trPr>
          <w:trHeight w:hRule="atLeast"/>
        </w:trPr>
        <w:tc>
          <w:tcPr>
            <w:tcW w:type="dxa" w:w="1984"/>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q_effort</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0.554444</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0.142546</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0.277778</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0.555556</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0.833333</w:t>
            </w:r>
          </w:p>
        </w:tc>
      </w:tr>
      <w:tr>
        <w:trPr>
          <w:trHeight w:hRule="atLeast"/>
        </w:trPr>
        <w:tc>
          <w:tcPr>
            <w:tcW w:type="dxa" w:w="1984"/>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q_res</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0.553667</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0.302512</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0.350000</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0.350000</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1.000000</w:t>
            </w:r>
          </w:p>
        </w:tc>
      </w:tr>
      <w:tr>
        <w:trPr>
          <w:trHeight w:hRule="atLeast"/>
        </w:trPr>
        <w:tc>
          <w:tcPr>
            <w:tcW w:type="dxa" w:w="1984"/>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q_rep</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0.685555</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0.240042</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0.333333</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0.666667</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1.000000</w:t>
            </w:r>
          </w:p>
        </w:tc>
      </w:tr>
      <w:tr>
        <w:trPr>
          <w:trHeight w:hRule="atLeast"/>
        </w:trPr>
        <w:tc>
          <w:tcPr>
            <w:tcW w:type="dxa" w:w="1984"/>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q_fit</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0.828976</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0.056937</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0.688400</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0.825395</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0.959052</w:t>
            </w:r>
          </w:p>
        </w:tc>
      </w:tr>
      <w:tr>
        <w:trPr>
          <w:trHeight w:hRule="atLeast"/>
        </w:trPr>
        <w:tc>
          <w:tcPr>
            <w:tcW w:type="dxa" w:w="1984"/>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integral_quality</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0.648242</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0.113151</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0.420477</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0.624278</w:t>
            </w:r>
          </w:p>
        </w:tc>
        <w:tc>
          <w:tcPr>
            <w:tcW w:type="dxa" w:w="1417"/>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0.923655</w:t>
            </w:r>
          </w:p>
        </w:tc>
      </w:tr>
    </w:tbl>
    <w:p>
      <w:pPr>
        <w:spacing w:line="360" w:lineRule="auto" w:before="0" w:after="0"/>
        <w:ind w:firstLine="709"/>
        <w:jc w:val="both"/>
      </w:pPr>
      <w:r>
        <w:rPr>
          <w:rFonts w:ascii="Times New Roman" w:hAnsi="Times New Roman" w:eastAsia="Times New Roman"/>
          <w:b w:val="0"/>
          <w:i w:val="0"/>
          <w:sz w:val="28"/>
        </w:rPr>
        <w:t>Фактический интегральный показатель имеет среднее значение 0,648242 и стандартное отклонение 0,113151. Его диапазон от 0,420477 до 0,923655 подтверждает наличие сценариев различного качества, однако распределение не является равномерным: при порогах 0,45 и 0,70 только один сценарий относится к низкому классу, 100 — к среднему и 49 — к высокому. Эта несбалансированность должна учитываться при интерпретации обычной Accuracy и обосновывает обязательный расчет Balanced Accuracy и Macro F1.</w:t>
      </w:r>
    </w:p>
    <w:p>
      <w:pPr>
        <w:keepNext/>
        <w:spacing w:before="120" w:after="60"/>
        <w:jc w:val="center"/>
      </w:pPr>
      <w:r>
        <w:rPr>
          <w:rFonts w:ascii="Times New Roman" w:hAnsi="Times New Roman" w:eastAsia="Times New Roman"/>
          <w:b w:val="0"/>
          <w:i w:val="0"/>
          <w:sz w:val="20"/>
        </w:rPr>
        <w:t>Таблица 6.3 - Зафиксированные характеристики априорного прогноза главы 5</w:t>
      </w:r>
    </w:p>
    <w:tbl>
      <w:tblPr>
        <w:tblStyle w:val="TableGrid"/>
        <w:tblW w:type="auto" w:w="0"/>
        <w:jc w:val="center"/>
        <w:tblLayout w:type="fixed"/>
        <w:tblLook w:firstColumn="1" w:firstRow="1" w:lastColumn="0" w:lastRow="0" w:noHBand="0" w:noVBand="1" w:val="04A0"/>
      </w:tblPr>
      <w:tblGrid>
        <w:gridCol w:w="4677"/>
        <w:gridCol w:w="4677"/>
      </w:tblGrid>
      <w:tr>
        <w:trPr>
          <w:trHeight w:hRule="atLeast"/>
          <w:tblHeader w:val="true"/>
        </w:trPr>
        <w:tc>
          <w:tcPr>
            <w:tcW w:type="dxa" w:w="5386"/>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Характеристика</w:t>
            </w:r>
          </w:p>
        </w:tc>
        <w:tc>
          <w:tcPr>
            <w:tcW w:type="dxa" w:w="3685"/>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Значение</w:t>
            </w:r>
          </w:p>
        </w:tc>
      </w:tr>
      <w:tr>
        <w:trPr>
          <w:trHeight w:hRule="atLeast"/>
        </w:trPr>
        <w:tc>
          <w:tcPr>
            <w:tcW w:type="dxa" w:w="5386"/>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Число сценариев</w:t>
            </w:r>
          </w:p>
        </w:tc>
        <w:tc>
          <w:tcPr>
            <w:tcW w:type="dxa" w:w="368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150</w:t>
            </w:r>
          </w:p>
        </w:tc>
      </w:tr>
      <w:tr>
        <w:trPr>
          <w:trHeight w:hRule="atLeast"/>
        </w:trPr>
        <w:tc>
          <w:tcPr>
            <w:tcW w:type="dxa" w:w="5386"/>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Q_pred min / max</w:t>
            </w:r>
          </w:p>
        </w:tc>
        <w:tc>
          <w:tcPr>
            <w:tcW w:type="dxa" w:w="368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0.103445 / 0.889302</w:t>
            </w:r>
          </w:p>
        </w:tc>
      </w:tr>
      <w:tr>
        <w:trPr>
          <w:trHeight w:hRule="atLeast"/>
        </w:trPr>
        <w:tc>
          <w:tcPr>
            <w:tcW w:type="dxa" w:w="5386"/>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Q_pred mean / std</w:t>
            </w:r>
          </w:p>
        </w:tc>
        <w:tc>
          <w:tcPr>
            <w:tcW w:type="dxa" w:w="368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0.498844 / 0.214068</w:t>
            </w:r>
          </w:p>
        </w:tc>
      </w:tr>
      <w:tr>
        <w:trPr>
          <w:trHeight w:hRule="atLeast"/>
        </w:trPr>
        <w:tc>
          <w:tcPr>
            <w:tcW w:type="dxa" w:w="5386"/>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Прогнозные классы low / medium / high</w:t>
            </w:r>
          </w:p>
        </w:tc>
        <w:tc>
          <w:tcPr>
            <w:tcW w:type="dxa" w:w="368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67 / 49 / 34</w:t>
            </w:r>
          </w:p>
        </w:tc>
      </w:tr>
      <w:tr>
        <w:trPr>
          <w:trHeight w:hRule="atLeast"/>
        </w:trPr>
        <w:tc>
          <w:tcPr>
            <w:tcW w:type="dxa" w:w="5386"/>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uncertainty_score min / max / mean</w:t>
            </w:r>
          </w:p>
        </w:tc>
        <w:tc>
          <w:tcPr>
            <w:tcW w:type="dxa" w:w="368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0.099417 / 0.538694 / 0.280611</w:t>
            </w:r>
          </w:p>
        </w:tc>
      </w:tr>
      <w:tr>
        <w:trPr>
          <w:trHeight w:hRule="atLeast"/>
        </w:trPr>
        <w:tc>
          <w:tcPr>
            <w:tcW w:type="dxa" w:w="5386"/>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interval_radius min / max / mean</w:t>
            </w:r>
          </w:p>
        </w:tc>
        <w:tc>
          <w:tcPr>
            <w:tcW w:type="dxa" w:w="368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0.014913 / 0.080804 / 0.042092</w:t>
            </w:r>
          </w:p>
        </w:tc>
      </w:tr>
      <w:tr>
        <w:trPr>
          <w:trHeight w:hRule="atLeast"/>
        </w:trPr>
        <w:tc>
          <w:tcPr>
            <w:tcW w:type="dxa" w:w="5386"/>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q_pred_lower min</w:t>
            </w:r>
          </w:p>
        </w:tc>
        <w:tc>
          <w:tcPr>
            <w:tcW w:type="dxa" w:w="368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0.048404</w:t>
            </w:r>
          </w:p>
        </w:tc>
      </w:tr>
      <w:tr>
        <w:trPr>
          <w:trHeight w:hRule="atLeast"/>
        </w:trPr>
        <w:tc>
          <w:tcPr>
            <w:tcW w:type="dxa" w:w="5386"/>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q_pred_upper max</w:t>
            </w:r>
          </w:p>
        </w:tc>
        <w:tc>
          <w:tcPr>
            <w:tcW w:type="dxa" w:w="368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0.926507</w:t>
            </w:r>
          </w:p>
        </w:tc>
      </w:tr>
    </w:tbl>
    <w:p>
      <w:pPr>
        <w:spacing w:line="360" w:lineRule="auto" w:before="0" w:after="0"/>
        <w:ind w:firstLine="709"/>
        <w:jc w:val="both"/>
      </w:pPr>
      <w:r>
        <w:rPr>
          <w:rFonts w:ascii="Times New Roman" w:hAnsi="Times New Roman" w:eastAsia="Times New Roman"/>
          <w:b w:val="0"/>
          <w:i w:val="0"/>
          <w:sz w:val="28"/>
        </w:rPr>
        <w:t>Уже на уровне описательной статистики наблюдается различие между средними значениями Q_pred и Q_fact, а также между распределениями прогнозных и фактических классов. Это различие нельзя интерпретировать как окончательную ошибку модели без построчного сопоставления, поскольку распределения не содержат информации о соответствии конкретных сценариев. Тем не менее оно указывает на необходимость отдельно проверить Bias, калибровку порогов и характер ошибок low/medium/high.</w:t>
      </w:r>
    </w:p>
    <w:tbl>
      <w:tblPr>
        <w:tblW w:type="auto" w:w="0"/>
        <w:jc w:val="center"/>
        <w:tblLayout w:type="fixed"/>
        <w:tblLook w:firstColumn="1" w:firstRow="1" w:lastColumn="0" w:lastRow="0" w:noHBand="0" w:noVBand="1" w:val="04A0"/>
      </w:tblPr>
      <w:tblGrid>
        <w:gridCol w:w="9355"/>
      </w:tblGrid>
      <w:tr>
        <w:tc>
          <w:tcPr>
            <w:tcW w:type="dxa" w:w="9071"/>
            <w:shd w:fill="EDEDED"/>
            <w:tcMar>
              <w:top w:w="100" w:type="dxa"/>
              <w:start w:w="120" w:type="dxa"/>
              <w:bottom w:w="100" w:type="dxa"/>
              <w:end w:w="120" w:type="dxa"/>
            </w:tcMar>
          </w:tcPr>
          <w:p>
            <w:pPr>
              <w:spacing w:line="276" w:lineRule="auto"/>
              <w:jc w:val="both"/>
            </w:pPr>
            <w:r>
              <w:rPr>
                <w:rFonts w:ascii="Times New Roman" w:hAnsi="Times New Roman" w:eastAsia="Times New Roman"/>
                <w:b w:val="0"/>
                <w:i/>
                <w:sz w:val="20"/>
              </w:rPr>
              <w:t>Методическое ограничение: quality_targets.csv и fact_features.csv не использовались при построении прогноза в главе 5. В главе 6 они допускаются только как внешние проверочные данные. Любое изменение весов, порогов или формул после просмотра этих данных должно оформляться как новый обучаемый вариант модели с независимой тестовой выборкой, а не как корректировка уже проверяемой версии.</w:t>
            </w:r>
          </w:p>
        </w:tc>
      </w:tr>
    </w:tbl>
    <w:p>
      <w:pPr>
        <w:pStyle w:val="Heading1"/>
        <w:keepNext/>
        <w:pageBreakBefore w:val="0"/>
        <w:spacing w:before="240" w:after="120"/>
        <w:jc w:val="left"/>
      </w:pPr>
      <w:r>
        <w:rPr>
          <w:rFonts w:ascii="Times New Roman" w:hAnsi="Times New Roman" w:eastAsia="Times New Roman"/>
          <w:b/>
          <w:i w:val="0"/>
          <w:sz w:val="32"/>
        </w:rPr>
        <w:t>6.3. Формирование фактического интегрального показателя качества</w:t>
      </w:r>
    </w:p>
    <w:p>
      <w:pPr>
        <w:spacing w:line="360" w:lineRule="auto" w:before="0" w:after="0"/>
        <w:ind w:firstLine="709"/>
        <w:jc w:val="both"/>
      </w:pPr>
      <w:r>
        <w:rPr>
          <w:rFonts w:ascii="Times New Roman" w:hAnsi="Times New Roman" w:eastAsia="Times New Roman"/>
          <w:b w:val="0"/>
          <w:i w:val="0"/>
          <w:sz w:val="28"/>
        </w:rPr>
        <w:t>Файл quality_targets.csv содержит готовый столбец integral_quality, поэтому в основном эксперименте он используется непосредственно как фактический интегральный показатель. Такой выбор сохраняет согласованность с программной моделью главы 3 и исключает повторное конструирование целевой переменной на этапе проверки.</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118"/>
        <w:gridCol w:w="3118"/>
        <w:gridCol w:w="3118"/>
      </w:tblGrid>
      <w:tr>
        <w:tc>
          <w:tcPr>
            <w:tcW w:type="dxa" w:w="680"/>
            <w:tcMar>
              <w:top w:w="20" w:type="dxa"/>
              <w:start w:w="0" w:type="dxa"/>
              <w:bottom w:w="20" w:type="dxa"/>
              <w:end w:w="0" w:type="dxa"/>
            </w:tcMar>
          </w:tcPr>
          <w:p/>
        </w:tc>
        <w:tc>
          <w:tcPr>
            <w:tcW w:type="dxa" w:w="7710"/>
            <w:tcMar>
              <w:top w:w="20" w:type="dxa"/>
              <w:start w:w="0" w:type="dxa"/>
              <w:bottom w:w="20" w:type="dxa"/>
              <w:end w:w="0" w:type="dxa"/>
            </w:tcMar>
          </w:tcPr>
          <w:p>
            <w:pPr>
              <w:spacing w:before="80" w:after="80"/>
              <w:jc w:val="center"/>
            </w:pPr>
            <m:oMathPara>
              <m:oMathParaPr>
                <m:jc m:val="center"/>
              </m:oMathParaPr>
              <m:oMath>
                <m:sSub>
                  <m:e>
                    <m:r>
                      <m:t>Q</m:t>
                    </m:r>
                  </m:e>
                  <m:sub>
                    <m:r>
                      <m:rPr>
                        <m:sty m:val="p"/>
                      </m:rPr>
                      <m:t>fact</m:t>
                    </m:r>
                    <m:r>
                      <m:rPr>
                        <m:sty m:val="p"/>
                      </m:rPr>
                      <m:t>,</m:t>
                    </m:r>
                    <m:r>
                      <m:t>i</m:t>
                    </m:r>
                  </m:sub>
                </m:sSub>
                <m:r>
                  <m:rPr>
                    <m:sty m:val="p"/>
                  </m:rPr>
                  <m:t>=</m:t>
                </m:r>
                <m:sSub>
                  <m:e>
                    <m:r>
                      <m:rPr>
                        <m:sty m:val="p"/>
                      </m:rPr>
                      <m:t>integral_quality</m:t>
                    </m:r>
                  </m:e>
                  <m:sub>
                    <m:r>
                      <m:t>i</m:t>
                    </m:r>
                  </m:sub>
                </m:sSub>
              </m:oMath>
            </m:oMathPara>
          </w:p>
        </w:tc>
        <w:tc>
          <w:tcPr>
            <w:tcW w:type="dxa" w:w="680"/>
            <w:tcMar>
              <w:top w:w="20" w:type="dxa"/>
              <w:start w:w="0" w:type="dxa"/>
              <w:bottom w:w="20" w:type="dxa"/>
              <w:end w:w="0" w:type="dxa"/>
            </w:tcMar>
          </w:tcPr>
          <w:p>
            <w:pPr>
              <w:spacing w:before="80" w:after="80"/>
              <w:jc w:val="right"/>
            </w:pPr>
            <w:r>
              <w:rPr>
                <w:rFonts w:ascii="Times New Roman" w:hAnsi="Times New Roman" w:eastAsia="Times New Roman"/>
                <w:b w:val="0"/>
                <w:i w:val="0"/>
                <w:sz w:val="20"/>
              </w:rPr>
              <w:t>(6.2)</w:t>
            </w:r>
          </w:p>
        </w:tc>
      </w:tr>
    </w:tbl>
    <w:p>
      <w:pPr>
        <w:spacing w:line="360" w:lineRule="auto" w:before="0" w:after="0"/>
        <w:ind w:firstLine="709"/>
        <w:jc w:val="both"/>
      </w:pPr>
      <w:r>
        <w:rPr>
          <w:rFonts w:ascii="Times New Roman" w:hAnsi="Times New Roman" w:eastAsia="Times New Roman"/>
          <w:b w:val="0"/>
          <w:i w:val="0"/>
          <w:sz w:val="28"/>
        </w:rPr>
        <w:t>Шесть частных показателей используются для детализированной проверки, но не заменяют integral_quality. Вспомогательная взвешенная агрегация может рассчитываться как контрольная величина, если требуется оценить согласованность целевого показателя с весовой схемой главы 5:</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118"/>
        <w:gridCol w:w="3118"/>
        <w:gridCol w:w="3118"/>
      </w:tblGrid>
      <w:tr>
        <w:tc>
          <w:tcPr>
            <w:tcW w:type="dxa" w:w="680"/>
            <w:tcMar>
              <w:top w:w="20" w:type="dxa"/>
              <w:start w:w="0" w:type="dxa"/>
              <w:bottom w:w="20" w:type="dxa"/>
              <w:end w:w="0" w:type="dxa"/>
            </w:tcMar>
          </w:tcPr>
          <w:p/>
        </w:tc>
        <w:tc>
          <w:tcPr>
            <w:tcW w:type="dxa" w:w="7710"/>
            <w:tcMar>
              <w:top w:w="20" w:type="dxa"/>
              <w:start w:w="0" w:type="dxa"/>
              <w:bottom w:w="20" w:type="dxa"/>
              <w:end w:w="0" w:type="dxa"/>
            </w:tcMar>
          </w:tcPr>
          <w:p>
            <w:pPr>
              <w:spacing w:before="80" w:after="80"/>
              <w:jc w:val="center"/>
            </w:pPr>
            <m:oMathPara>
              <m:oMathParaPr>
                <m:jc m:val="center"/>
              </m:oMathParaPr>
              <m:oMath>
                <m:sSub>
                  <m:e>
                    <m:r>
                      <m:t>Q</m:t>
                    </m:r>
                  </m:e>
                  <m:sub>
                    <m:r>
                      <m:rPr>
                        <m:sty m:val="p"/>
                      </m:rPr>
                      <m:t>fact,w</m:t>
                    </m:r>
                    <m:r>
                      <m:rPr>
                        <m:sty m:val="p"/>
                      </m:rPr>
                      <m:t>,</m:t>
                    </m:r>
                    <m:r>
                      <m:t>i</m:t>
                    </m:r>
                  </m:sub>
                </m:sSub>
                <m:r>
                  <m:rPr>
                    <m:sty m:val="p"/>
                  </m:rPr>
                  <m:t>=</m:t>
                </m:r>
                <m:nary>
                  <m:naryPr>
                    <m:chr m:val="∑"/>
                    <m:limLoc m:val="undOvr"/>
                    <m:subHide m:val="off"/>
                    <m:supHide m:val="off"/>
                  </m:naryPr>
                  <m:sub>
                    <m:r>
                      <m:t>j</m:t>
                    </m:r>
                    <m:r>
                      <m:rPr>
                        <m:sty m:val="p"/>
                      </m:rPr>
                      <m:t>=</m:t>
                    </m:r>
                    <m:r>
                      <m:t>1</m:t>
                    </m:r>
                  </m:sub>
                  <m:sup>
                    <m:r>
                      <m:t>m</m:t>
                    </m:r>
                  </m:sup>
                  <m:e>
                    <m:sSub>
                      <m:e>
                        <m:r>
                          <m:t>w</m:t>
                        </m:r>
                      </m:e>
                      <m:sub>
                        <m:r>
                          <m:t>j</m:t>
                        </m:r>
                      </m:sub>
                    </m:sSub>
                    <m:sSub>
                      <m:e>
                        <m:r>
                          <m:t>q</m:t>
                        </m:r>
                      </m:e>
                      <m:sub>
                        <m:r>
                          <m:t>j</m:t>
                        </m:r>
                        <m:r>
                          <m:rPr>
                            <m:sty m:val="p"/>
                          </m:rPr>
                          <m:t>,</m:t>
                        </m:r>
                        <m:r>
                          <m:t>i</m:t>
                        </m:r>
                      </m:sub>
                    </m:sSub>
                  </m:e>
                </m:nary>
              </m:oMath>
            </m:oMathPara>
          </w:p>
        </w:tc>
        <w:tc>
          <w:tcPr>
            <w:tcW w:type="dxa" w:w="680"/>
            <w:tcMar>
              <w:top w:w="20" w:type="dxa"/>
              <w:start w:w="0" w:type="dxa"/>
              <w:bottom w:w="20" w:type="dxa"/>
              <w:end w:w="0" w:type="dxa"/>
            </w:tcMar>
          </w:tcPr>
          <w:p>
            <w:pPr>
              <w:spacing w:before="80" w:after="80"/>
              <w:jc w:val="right"/>
            </w:pPr>
            <w:r>
              <w:rPr>
                <w:rFonts w:ascii="Times New Roman" w:hAnsi="Times New Roman" w:eastAsia="Times New Roman"/>
                <w:b w:val="0"/>
                <w:i w:val="0"/>
                <w:sz w:val="20"/>
              </w:rPr>
              <w:t>(6.3)</w:t>
            </w:r>
          </w:p>
        </w:tc>
      </w:tr>
    </w:tbl>
    <w:p>
      <w:pPr>
        <w:spacing w:line="360" w:lineRule="auto" w:before="0" w:after="0"/>
        <w:ind w:firstLine="709"/>
        <w:jc w:val="both"/>
      </w:pPr>
      <w:r>
        <w:rPr>
          <w:rFonts w:ascii="Times New Roman" w:hAnsi="Times New Roman" w:eastAsia="Times New Roman"/>
          <w:b w:val="0"/>
          <w:i w:val="0"/>
          <w:sz w:val="28"/>
        </w:rPr>
        <w:t>где q_j принадлежит множеству {q_acc, q_time, q_effort, q_res, q_rep, q_fit}, m = 6, а веса совпадают с весами интегральной оценки главы 5. Поскольку integral_quality уже сформирован в программной модели главы 3 и может включать собственные правила нормирования, контрольная агрегация не должна автоматически подменять исходную целевую переменную. Расхождение между ними следует сохранять как диагностический результат, а не устранять ручной подгонкой.</w:t>
      </w:r>
    </w:p>
    <w:p>
      <w:pPr>
        <w:keepNext/>
        <w:spacing w:before="120" w:after="60"/>
        <w:jc w:val="center"/>
      </w:pPr>
      <w:r>
        <w:rPr>
          <w:rFonts w:ascii="Times New Roman" w:hAnsi="Times New Roman" w:eastAsia="Times New Roman"/>
          <w:b w:val="0"/>
          <w:i w:val="0"/>
          <w:sz w:val="20"/>
        </w:rPr>
        <w:t>Таблица 6.4 - Весовая схема контрольной агрегации частных критериев</w:t>
      </w:r>
    </w:p>
    <w:tbl>
      <w:tblPr>
        <w:tblStyle w:val="TableGrid"/>
        <w:tblW w:type="auto" w:w="0"/>
        <w:jc w:val="center"/>
        <w:tblLayout w:type="fixed"/>
        <w:tblLook w:firstColumn="1" w:firstRow="1" w:lastColumn="0" w:lastRow="0" w:noHBand="0" w:noVBand="1" w:val="04A0"/>
      </w:tblPr>
      <w:tblGrid>
        <w:gridCol w:w="3118"/>
        <w:gridCol w:w="3118"/>
        <w:gridCol w:w="3118"/>
      </w:tblGrid>
      <w:tr>
        <w:trPr>
          <w:trHeight w:hRule="atLeast"/>
          <w:tblHeader w:val="true"/>
        </w:trPr>
        <w:tc>
          <w:tcPr>
            <w:tcW w:type="dxa" w:w="1871"/>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Частный критерий</w:t>
            </w:r>
          </w:p>
        </w:tc>
        <w:tc>
          <w:tcPr>
            <w:tcW w:type="dxa" w:w="5386"/>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Смысл</w:t>
            </w:r>
          </w:p>
        </w:tc>
        <w:tc>
          <w:tcPr>
            <w:tcW w:type="dxa" w:w="1814"/>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Вес</w:t>
            </w:r>
          </w:p>
        </w:tc>
      </w:tr>
      <w:tr>
        <w:trPr>
          <w:trHeight w:hRule="atLeast"/>
        </w:trPr>
        <w:tc>
          <w:tcPr>
            <w:tcW w:type="dxa" w:w="1871"/>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q_acc</w:t>
            </w:r>
          </w:p>
        </w:tc>
        <w:tc>
          <w:tcPr>
            <w:tcW w:type="dxa" w:w="5386"/>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Точность восстановления сообщения</w:t>
            </w:r>
          </w:p>
        </w:tc>
        <w:tc>
          <w:tcPr>
            <w:tcW w:type="dxa" w:w="1814"/>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0.1666666667</w:t>
            </w:r>
          </w:p>
        </w:tc>
      </w:tr>
      <w:tr>
        <w:trPr>
          <w:trHeight w:hRule="atLeast"/>
        </w:trPr>
        <w:tc>
          <w:tcPr>
            <w:tcW w:type="dxa" w:w="1871"/>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q_time</w:t>
            </w:r>
          </w:p>
        </w:tc>
        <w:tc>
          <w:tcPr>
            <w:tcW w:type="dxa" w:w="5386"/>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Временная пригодность</w:t>
            </w:r>
          </w:p>
        </w:tc>
        <w:tc>
          <w:tcPr>
            <w:tcW w:type="dxa" w:w="1814"/>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0.1666666667</w:t>
            </w:r>
          </w:p>
        </w:tc>
      </w:tr>
      <w:tr>
        <w:trPr>
          <w:trHeight w:hRule="atLeast"/>
        </w:trPr>
        <w:tc>
          <w:tcPr>
            <w:tcW w:type="dxa" w:w="1871"/>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q_effort</w:t>
            </w:r>
          </w:p>
        </w:tc>
        <w:tc>
          <w:tcPr>
            <w:tcW w:type="dxa" w:w="5386"/>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Трудоемкость</w:t>
            </w:r>
          </w:p>
        </w:tc>
        <w:tc>
          <w:tcPr>
            <w:tcW w:type="dxa" w:w="1814"/>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0.1666666667</w:t>
            </w:r>
          </w:p>
        </w:tc>
      </w:tr>
      <w:tr>
        <w:trPr>
          <w:trHeight w:hRule="atLeast"/>
        </w:trPr>
        <w:tc>
          <w:tcPr>
            <w:tcW w:type="dxa" w:w="1871"/>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q_res</w:t>
            </w:r>
          </w:p>
        </w:tc>
        <w:tc>
          <w:tcPr>
            <w:tcW w:type="dxa" w:w="5386"/>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Результативность и устойчивость к ошибкам</w:t>
            </w:r>
          </w:p>
        </w:tc>
        <w:tc>
          <w:tcPr>
            <w:tcW w:type="dxa" w:w="1814"/>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0.1666666667</w:t>
            </w:r>
          </w:p>
        </w:tc>
      </w:tr>
      <w:tr>
        <w:trPr>
          <w:trHeight w:hRule="atLeast"/>
        </w:trPr>
        <w:tc>
          <w:tcPr>
            <w:tcW w:type="dxa" w:w="1871"/>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q_rep</w:t>
            </w:r>
          </w:p>
        </w:tc>
        <w:tc>
          <w:tcPr>
            <w:tcW w:type="dxa" w:w="5386"/>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Повторяемость результата</w:t>
            </w:r>
          </w:p>
        </w:tc>
        <w:tc>
          <w:tcPr>
            <w:tcW w:type="dxa" w:w="1814"/>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0.1666666666</w:t>
            </w:r>
          </w:p>
        </w:tc>
      </w:tr>
      <w:tr>
        <w:trPr>
          <w:trHeight w:hRule="atLeast"/>
        </w:trPr>
        <w:tc>
          <w:tcPr>
            <w:tcW w:type="dxa" w:w="1871"/>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q_fit</w:t>
            </w:r>
          </w:p>
        </w:tc>
        <w:tc>
          <w:tcPr>
            <w:tcW w:type="dxa" w:w="5386"/>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Соответствие условиям применения</w:t>
            </w:r>
          </w:p>
        </w:tc>
        <w:tc>
          <w:tcPr>
            <w:tcW w:type="dxa" w:w="1814"/>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0.1666666666</w:t>
            </w:r>
          </w:p>
        </w:tc>
      </w:tr>
    </w:tbl>
    <w:p>
      <w:pPr>
        <w:spacing w:line="360" w:lineRule="auto" w:before="0" w:after="0"/>
        <w:ind w:firstLine="709"/>
        <w:jc w:val="both"/>
      </w:pPr>
      <w:r>
        <w:rPr>
          <w:rFonts w:ascii="Times New Roman" w:hAnsi="Times New Roman" w:eastAsia="Times New Roman"/>
          <w:b w:val="0"/>
          <w:i w:val="0"/>
          <w:sz w:val="28"/>
        </w:rPr>
        <w:t>Перед расчетом метрик выполняются проверки диапазона Q_fact ∈ [0; 1], отсутствия пропусков, уникальности ключей и совпадения числа строк. Дополнительно фиксируется описательная статистика фактического качества и строится распределение по классам, чтобы не интерпретировать метрики без учета структуры выборки.</w:t>
      </w:r>
    </w:p>
    <w:p>
      <w:pPr>
        <w:pStyle w:val="Heading1"/>
        <w:keepNext/>
        <w:pageBreakBefore w:val="0"/>
        <w:spacing w:before="240" w:after="120"/>
        <w:jc w:val="left"/>
      </w:pPr>
      <w:r>
        <w:rPr>
          <w:rFonts w:ascii="Times New Roman" w:hAnsi="Times New Roman" w:eastAsia="Times New Roman"/>
          <w:b/>
          <w:i w:val="0"/>
          <w:sz w:val="32"/>
        </w:rPr>
        <w:t>6.4. Метрики точности априорного прогноза</w:t>
      </w:r>
    </w:p>
    <w:p>
      <w:pPr>
        <w:spacing w:line="360" w:lineRule="auto" w:before="0" w:after="0"/>
        <w:ind w:firstLine="709"/>
        <w:jc w:val="both"/>
      </w:pPr>
      <w:r>
        <w:rPr>
          <w:rFonts w:ascii="Times New Roman" w:hAnsi="Times New Roman" w:eastAsia="Times New Roman"/>
          <w:b w:val="0"/>
          <w:i w:val="0"/>
          <w:sz w:val="28"/>
        </w:rPr>
        <w:t>Точность интегрального прогноза оценивается одновременно по величине ошибок, их направлению и способности модели сохранять относительный порядок сценариев. Ни одна отдельная метрика не является достаточной: небольшой Bias может сочетаться с крупными разнонаправленными ошибками, а высокая корреляция — с существенным систематическим смещением шкалы.</w:t>
      </w:r>
    </w:p>
    <w:p>
      <w:pPr>
        <w:spacing w:line="360" w:lineRule="auto" w:before="0" w:after="0"/>
        <w:ind w:firstLine="709"/>
        <w:jc w:val="both"/>
      </w:pPr>
      <w:r>
        <w:rPr>
          <w:rFonts w:ascii="Times New Roman" w:hAnsi="Times New Roman" w:eastAsia="Times New Roman"/>
          <w:b w:val="0"/>
          <w:i w:val="0"/>
          <w:sz w:val="28"/>
        </w:rPr>
        <w:t>Средняя абсолютная ошибка определяется выражением:</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118"/>
        <w:gridCol w:w="3118"/>
        <w:gridCol w:w="3118"/>
      </w:tblGrid>
      <w:tr>
        <w:tc>
          <w:tcPr>
            <w:tcW w:type="dxa" w:w="680"/>
            <w:tcMar>
              <w:top w:w="20" w:type="dxa"/>
              <w:start w:w="0" w:type="dxa"/>
              <w:bottom w:w="20" w:type="dxa"/>
              <w:end w:w="0" w:type="dxa"/>
            </w:tcMar>
          </w:tcPr>
          <w:p/>
        </w:tc>
        <w:tc>
          <w:tcPr>
            <w:tcW w:type="dxa" w:w="7710"/>
            <w:tcMar>
              <w:top w:w="20" w:type="dxa"/>
              <w:start w:w="0" w:type="dxa"/>
              <w:bottom w:w="20" w:type="dxa"/>
              <w:end w:w="0" w:type="dxa"/>
            </w:tcMar>
          </w:tcPr>
          <w:p>
            <w:pPr>
              <w:spacing w:before="80" w:after="80"/>
              <w:jc w:val="center"/>
            </w:pPr>
            <m:oMathPara>
              <m:oMathParaPr>
                <m:jc m:val="center"/>
              </m:oMathParaPr>
              <m:oMath>
                <m:r>
                  <m:rPr>
                    <m:sty m:val="p"/>
                  </m:rPr>
                  <m:t>MAE</m:t>
                </m:r>
                <m:r>
                  <m:rPr>
                    <m:sty m:val="p"/>
                  </m:rPr>
                  <m:t>=</m:t>
                </m:r>
                <m:f>
                  <m:num>
                    <m:r>
                      <m:rPr>
                        <m:sty m:val="p"/>
                      </m:rPr>
                      <m:t>1</m:t>
                    </m:r>
                  </m:num>
                  <m:den>
                    <m:r>
                      <m:t>N</m:t>
                    </m:r>
                  </m:den>
                </m:f>
                <m:nary>
                  <m:naryPr>
                    <m:chr m:val="∑"/>
                    <m:limLoc m:val="undOvr"/>
                    <m:subHide m:val="off"/>
                    <m:supHide m:val="off"/>
                  </m:naryPr>
                  <m:sub>
                    <m:r>
                      <m:t>i</m:t>
                    </m:r>
                    <m:r>
                      <m:rPr>
                        <m:sty m:val="p"/>
                      </m:rPr>
                      <m:t>=</m:t>
                    </m:r>
                    <m:r>
                      <m:rPr>
                        <m:sty m:val="p"/>
                      </m:rPr>
                      <m:t>1</m:t>
                    </m:r>
                  </m:sub>
                  <m:sup>
                    <m:r>
                      <m:t>N</m:t>
                    </m:r>
                  </m:sup>
                  <m:e>
                    <m:d>
                      <m:dPr>
                        <m:begChr m:val="|"/>
                        <m:endChr m:val="|"/>
                        <m:sepChr m:val=""/>
                        <m:grow/>
                      </m:dPr>
                      <m:e>
                        <m:sSub>
                          <m:e>
                            <m:r>
                              <m:t>e</m:t>
                            </m:r>
                          </m:e>
                          <m:sub>
                            <m:r>
                              <m:t>i</m:t>
                            </m:r>
                          </m:sub>
                        </m:sSub>
                      </m:e>
                    </m:d>
                  </m:e>
                </m:nary>
              </m:oMath>
            </m:oMathPara>
          </w:p>
        </w:tc>
        <w:tc>
          <w:tcPr>
            <w:tcW w:type="dxa" w:w="680"/>
            <w:tcMar>
              <w:top w:w="20" w:type="dxa"/>
              <w:start w:w="0" w:type="dxa"/>
              <w:bottom w:w="20" w:type="dxa"/>
              <w:end w:w="0" w:type="dxa"/>
            </w:tcMar>
          </w:tcPr>
          <w:p>
            <w:pPr>
              <w:spacing w:before="80" w:after="80"/>
              <w:jc w:val="right"/>
            </w:pPr>
            <w:r>
              <w:rPr>
                <w:rFonts w:ascii="Times New Roman" w:hAnsi="Times New Roman" w:eastAsia="Times New Roman"/>
                <w:b w:val="0"/>
                <w:i w:val="0"/>
                <w:sz w:val="20"/>
              </w:rPr>
              <w:t>(6.4)</w:t>
            </w:r>
          </w:p>
        </w:tc>
      </w:tr>
    </w:tbl>
    <w:p>
      <w:pPr>
        <w:spacing w:line="360" w:lineRule="auto" w:before="0" w:after="0"/>
        <w:ind w:firstLine="709"/>
        <w:jc w:val="both"/>
      </w:pPr>
      <w:r>
        <w:rPr>
          <w:rFonts w:ascii="Times New Roman" w:hAnsi="Times New Roman" w:eastAsia="Times New Roman"/>
          <w:b w:val="0"/>
          <w:i w:val="0"/>
          <w:sz w:val="28"/>
        </w:rPr>
        <w:t>Среднеквадратичная ошибка с повышенным штрафом за крупные отклонения имеет вид:</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118"/>
        <w:gridCol w:w="3118"/>
        <w:gridCol w:w="3118"/>
      </w:tblGrid>
      <w:tr>
        <w:tc>
          <w:tcPr>
            <w:tcW w:type="dxa" w:w="680"/>
            <w:tcMar>
              <w:top w:w="20" w:type="dxa"/>
              <w:start w:w="0" w:type="dxa"/>
              <w:bottom w:w="20" w:type="dxa"/>
              <w:end w:w="0" w:type="dxa"/>
            </w:tcMar>
          </w:tcPr>
          <w:p/>
        </w:tc>
        <w:tc>
          <w:tcPr>
            <w:tcW w:type="dxa" w:w="7710"/>
            <w:tcMar>
              <w:top w:w="20" w:type="dxa"/>
              <w:start w:w="0" w:type="dxa"/>
              <w:bottom w:w="20" w:type="dxa"/>
              <w:end w:w="0" w:type="dxa"/>
            </w:tcMar>
          </w:tcPr>
          <w:p>
            <w:pPr>
              <w:spacing w:before="80" w:after="80"/>
              <w:jc w:val="center"/>
            </w:pPr>
            <m:oMathPara>
              <m:oMathParaPr>
                <m:jc m:val="center"/>
              </m:oMathParaPr>
              <m:oMath>
                <m:r>
                  <m:rPr>
                    <m:sty m:val="p"/>
                  </m:rPr>
                  <m:t>RMSE</m:t>
                </m:r>
                <m:r>
                  <m:rPr>
                    <m:sty m:val="p"/>
                  </m:rPr>
                  <m:t>=</m:t>
                </m:r>
                <m:rad>
                  <m:radPr>
                    <m:degHide m:val="on"/>
                  </m:radPr>
                  <m:deg/>
                  <m:e>
                    <m:f>
                      <m:num>
                        <m:r>
                          <m:rPr>
                            <m:sty m:val="p"/>
                          </m:rPr>
                          <m:t>1</m:t>
                        </m:r>
                      </m:num>
                      <m:den>
                        <m:r>
                          <m:t>N</m:t>
                        </m:r>
                      </m:den>
                    </m:f>
                    <m:nary>
                      <m:naryPr>
                        <m:chr m:val="∑"/>
                        <m:limLoc m:val="undOvr"/>
                        <m:subHide m:val="off"/>
                        <m:supHide m:val="off"/>
                      </m:naryPr>
                      <m:sub>
                        <m:r>
                          <m:t>i</m:t>
                        </m:r>
                        <m:r>
                          <m:rPr>
                            <m:sty m:val="p"/>
                          </m:rPr>
                          <m:t>=</m:t>
                        </m:r>
                        <m:r>
                          <m:rPr>
                            <m:sty m:val="p"/>
                          </m:rPr>
                          <m:t>1</m:t>
                        </m:r>
                      </m:sub>
                      <m:sup>
                        <m:r>
                          <m:t>N</m:t>
                        </m:r>
                      </m:sup>
                      <m:e>
                        <m:sSup>
                          <m:e>
                            <m:sSub>
                              <m:e>
                                <m:r>
                                  <m:t>e</m:t>
                                </m:r>
                              </m:e>
                              <m:sub>
                                <m:r>
                                  <m:t>i</m:t>
                                </m:r>
                              </m:sub>
                            </m:sSub>
                          </m:e>
                          <m:sup>
                            <m:r>
                              <m:rPr>
                                <m:sty m:val="p"/>
                              </m:rPr>
                              <m:t>2</m:t>
                            </m:r>
                          </m:sup>
                        </m:sSup>
                      </m:e>
                    </m:nary>
                  </m:e>
                </m:rad>
              </m:oMath>
            </m:oMathPara>
          </w:p>
        </w:tc>
        <w:tc>
          <w:tcPr>
            <w:tcW w:type="dxa" w:w="680"/>
            <w:tcMar>
              <w:top w:w="20" w:type="dxa"/>
              <w:start w:w="0" w:type="dxa"/>
              <w:bottom w:w="20" w:type="dxa"/>
              <w:end w:w="0" w:type="dxa"/>
            </w:tcMar>
          </w:tcPr>
          <w:p>
            <w:pPr>
              <w:spacing w:before="80" w:after="80"/>
              <w:jc w:val="right"/>
            </w:pPr>
            <w:r>
              <w:rPr>
                <w:rFonts w:ascii="Times New Roman" w:hAnsi="Times New Roman" w:eastAsia="Times New Roman"/>
                <w:b w:val="0"/>
                <w:i w:val="0"/>
                <w:sz w:val="20"/>
              </w:rPr>
              <w:t>(6.5)</w:t>
            </w:r>
          </w:p>
        </w:tc>
      </w:tr>
    </w:tbl>
    <w:p>
      <w:pPr>
        <w:spacing w:line="360" w:lineRule="auto" w:before="0" w:after="0"/>
        <w:ind w:firstLine="709"/>
        <w:jc w:val="both"/>
      </w:pPr>
      <w:r>
        <w:rPr>
          <w:rFonts w:ascii="Times New Roman" w:hAnsi="Times New Roman" w:eastAsia="Times New Roman"/>
          <w:b w:val="0"/>
          <w:i w:val="0"/>
          <w:sz w:val="28"/>
        </w:rPr>
        <w:t>Среднее signed-смещение прогноза рассчитывается как: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118"/>
        <w:gridCol w:w="3118"/>
        <w:gridCol w:w="3118"/>
      </w:tblGrid>
      <w:tr>
        <w:tc>
          <w:tcPr>
            <w:tcW w:type="dxa" w:w="680"/>
            <w:tcMar>
              <w:top w:w="20" w:type="dxa"/>
              <w:start w:w="0" w:type="dxa"/>
              <w:bottom w:w="20" w:type="dxa"/>
              <w:end w:w="0" w:type="dxa"/>
            </w:tcMar>
          </w:tcPr>
          <w:p/>
        </w:tc>
        <w:tc>
          <w:tcPr>
            <w:tcW w:type="dxa" w:w="7710"/>
            <w:tcMar>
              <w:top w:w="20" w:type="dxa"/>
              <w:start w:w="0" w:type="dxa"/>
              <w:bottom w:w="20" w:type="dxa"/>
              <w:end w:w="0" w:type="dxa"/>
            </w:tcMar>
          </w:tcPr>
          <w:p>
            <w:pPr>
              <w:spacing w:before="80" w:after="80"/>
              <w:jc w:val="center"/>
            </w:pPr>
            <m:oMathPara>
              <m:oMathParaPr>
                <m:jc m:val="center"/>
              </m:oMathParaPr>
              <m:oMath>
                <m:r>
                  <m:rPr>
                    <m:sty m:val="p"/>
                  </m:rPr>
                  <m:t>Bias</m:t>
                </m:r>
                <m:r>
                  <m:rPr>
                    <m:sty m:val="p"/>
                  </m:rPr>
                  <m:t>=</m:t>
                </m:r>
                <m:f>
                  <m:num>
                    <m:r>
                      <m:rPr>
                        <m:sty m:val="p"/>
                      </m:rPr>
                      <m:t>1</m:t>
                    </m:r>
                  </m:num>
                  <m:den>
                    <m:r>
                      <m:t>N</m:t>
                    </m:r>
                  </m:den>
                </m:f>
                <m:nary>
                  <m:naryPr>
                    <m:chr m:val="∑"/>
                    <m:limLoc m:val="undOvr"/>
                    <m:subHide m:val="off"/>
                    <m:supHide m:val="off"/>
                  </m:naryPr>
                  <m:sub>
                    <m:r>
                      <m:t>i</m:t>
                    </m:r>
                    <m:r>
                      <m:rPr>
                        <m:sty m:val="p"/>
                      </m:rPr>
                      <m:t>=</m:t>
                    </m:r>
                    <m:r>
                      <m:rPr>
                        <m:sty m:val="p"/>
                      </m:rPr>
                      <m:t>1</m:t>
                    </m:r>
                  </m:sub>
                  <m:sup>
                    <m:r>
                      <m:t>N</m:t>
                    </m:r>
                  </m:sup>
                  <m:e>
                    <m:sSub>
                      <m:e>
                        <m:r>
                          <m:t>e</m:t>
                        </m:r>
                      </m:e>
                      <m:sub>
                        <m:r>
                          <m:t>i</m:t>
                        </m:r>
                      </m:sub>
                    </m:sSub>
                  </m:e>
                </m:nary>
              </m:oMath>
            </m:oMathPara>
          </w:p>
        </w:tc>
        <w:tc>
          <w:tcPr>
            <w:tcW w:type="dxa" w:w="680"/>
            <w:tcMar>
              <w:top w:w="20" w:type="dxa"/>
              <w:start w:w="0" w:type="dxa"/>
              <w:bottom w:w="20" w:type="dxa"/>
              <w:end w:w="0" w:type="dxa"/>
            </w:tcMar>
          </w:tcPr>
          <w:p>
            <w:pPr>
              <w:spacing w:before="80" w:after="80"/>
              <w:jc w:val="right"/>
            </w:pPr>
            <w:r>
              <w:rPr>
                <w:rFonts w:ascii="Times New Roman" w:hAnsi="Times New Roman" w:eastAsia="Times New Roman"/>
                <w:b w:val="0"/>
                <w:i w:val="0"/>
                <w:sz w:val="20"/>
              </w:rPr>
              <w:t>(6.6)</w:t>
            </w:r>
          </w:p>
        </w:tc>
      </w:tr>
    </w:tbl>
    <w:p>
      <w:pPr>
        <w:spacing w:line="360" w:lineRule="auto" w:before="0" w:after="0"/>
        <w:ind w:firstLine="709"/>
        <w:jc w:val="both"/>
      </w:pPr>
      <w:r>
        <w:rPr>
          <w:rFonts w:ascii="Times New Roman" w:hAnsi="Times New Roman" w:eastAsia="Times New Roman"/>
          <w:b w:val="0"/>
          <w:i w:val="0"/>
          <w:sz w:val="28"/>
        </w:rPr>
        <w:t>Положительный Bias означает систематическое завышение качества, отрицательный — систематическое занижение. Значение, близкое к нулю, не гарантирует отсутствия ошибок, поэтому Bias всегда рассматривается совместно с MAE и RMSE.</w:t>
      </w:r>
    </w:p>
    <w:p>
      <w:pPr>
        <w:spacing w:line="360" w:lineRule="auto" w:before="0" w:after="0"/>
        <w:ind w:firstLine="709"/>
        <w:jc w:val="both"/>
      </w:pPr>
      <w:r>
        <w:rPr>
          <w:rFonts w:ascii="Times New Roman" w:hAnsi="Times New Roman" w:eastAsia="Times New Roman"/>
          <w:b w:val="0"/>
          <w:i w:val="0"/>
          <w:sz w:val="28"/>
        </w:rPr>
        <w:t>Линейная связь оценивается коэффициентом Pearson, ранговая — коэффициентами Spearman и Kendall. Spearman показывает монотонную согласованность рангов, а Kendall непосредственно связан с долей согласованных и несогласованных пар сценариев. Дополнительно рассчитывается коэффициент детерминации:</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118"/>
        <w:gridCol w:w="3118"/>
        <w:gridCol w:w="3118"/>
      </w:tblGrid>
      <w:tr>
        <w:tc>
          <w:tcPr>
            <w:tcW w:type="dxa" w:w="680"/>
            <w:tcMar>
              <w:top w:w="20" w:type="dxa"/>
              <w:start w:w="0" w:type="dxa"/>
              <w:bottom w:w="20" w:type="dxa"/>
              <w:end w:w="0" w:type="dxa"/>
            </w:tcMar>
          </w:tcPr>
          <w:p/>
        </w:tc>
        <w:tc>
          <w:tcPr>
            <w:tcW w:type="dxa" w:w="7710"/>
            <w:tcMar>
              <w:top w:w="20" w:type="dxa"/>
              <w:start w:w="0" w:type="dxa"/>
              <w:bottom w:w="20" w:type="dxa"/>
              <w:end w:w="0" w:type="dxa"/>
            </w:tcMar>
          </w:tcPr>
          <w:p>
            <w:pPr>
              <w:spacing w:before="80" w:after="80"/>
              <w:jc w:val="center"/>
            </w:pPr>
            <m:oMathPara>
              <m:oMathParaPr>
                <m:jc m:val="center"/>
              </m:oMathParaPr>
              <m:oMath>
                <m:sSup>
                  <m:e>
                    <m:r>
                      <m:t>R</m:t>
                    </m:r>
                  </m:e>
                  <m:sup>
                    <m:r>
                      <m:rPr>
                        <m:sty m:val="p"/>
                      </m:rPr>
                      <m:t>2</m:t>
                    </m:r>
                  </m:sup>
                </m:sSup>
                <m:r>
                  <m:rPr>
                    <m:sty m:val="p"/>
                  </m:rPr>
                  <m:t>=</m:t>
                </m:r>
                <m:r>
                  <m:rPr>
                    <m:sty m:val="p"/>
                  </m:rPr>
                  <m:t>1</m:t>
                </m:r>
                <m:r>
                  <m:rPr>
                    <m:sty m:val="p"/>
                  </m:rPr>
                  <m:t>−</m:t>
                </m:r>
                <m:f>
                  <m:num>
                    <m:r>
                      <m:rPr>
                        <m:sty m:val="p"/>
                      </m:rPr>
                      <m:t>SSE</m:t>
                    </m:r>
                  </m:num>
                  <m:den>
                    <m:r>
                      <m:rPr>
                        <m:sty m:val="p"/>
                      </m:rPr>
                      <m:t>SST</m:t>
                    </m:r>
                  </m:den>
                </m:f>
              </m:oMath>
            </m:oMathPara>
          </w:p>
        </w:tc>
        <w:tc>
          <w:tcPr>
            <w:tcW w:type="dxa" w:w="680"/>
            <w:tcMar>
              <w:top w:w="20" w:type="dxa"/>
              <w:start w:w="0" w:type="dxa"/>
              <w:bottom w:w="20" w:type="dxa"/>
              <w:end w:w="0" w:type="dxa"/>
            </w:tcMar>
          </w:tcPr>
          <w:p>
            <w:pPr>
              <w:spacing w:before="80" w:after="80"/>
              <w:jc w:val="right"/>
            </w:pPr>
            <w:r>
              <w:rPr>
                <w:rFonts w:ascii="Times New Roman" w:hAnsi="Times New Roman" w:eastAsia="Times New Roman"/>
                <w:b w:val="0"/>
                <w:i w:val="0"/>
                <w:sz w:val="20"/>
              </w:rPr>
              <w:t>(6.7)</w:t>
            </w:r>
          </w:p>
        </w:tc>
      </w:tr>
    </w:tbl>
    <w:p>
      <w:pPr>
        <w:spacing w:line="360" w:lineRule="auto" w:before="0" w:after="0"/>
        <w:ind w:firstLine="709"/>
        <w:jc w:val="both"/>
      </w:pPr>
      <w:r>
        <w:rPr>
          <w:rFonts w:ascii="Times New Roman" w:hAnsi="Times New Roman" w:eastAsia="Times New Roman"/>
          <w:b w:val="0"/>
          <w:i w:val="0"/>
          <w:sz w:val="28"/>
        </w:rPr>
        <w:t>где SSE — сумма квадратов ошибок прогноза, а SST — полная сумма квадратов отклонений фактического качества от его среднего значения.</w:t>
      </w:r>
    </w:p>
    <w:p>
      <w:pPr>
        <w:keepNext/>
        <w:spacing w:before="120" w:after="60"/>
        <w:jc w:val="center"/>
      </w:pPr>
      <w:r>
        <w:rPr>
          <w:rFonts w:ascii="Times New Roman" w:hAnsi="Times New Roman" w:eastAsia="Times New Roman"/>
          <w:b w:val="0"/>
          <w:i w:val="0"/>
          <w:sz w:val="20"/>
        </w:rPr>
        <w:t>Таблица 6.5 - Результаты проверки интегрального прогноза</w:t>
      </w:r>
    </w:p>
    <w:tbl>
      <w:tblPr>
        <w:tblStyle w:val="TableGrid"/>
        <w:tblW w:type="auto" w:w="0"/>
        <w:jc w:val="center"/>
        <w:tblLayout w:type="fixed"/>
        <w:tblLook w:firstColumn="1" w:firstRow="1" w:lastColumn="0" w:lastRow="0" w:noHBand="0" w:noVBand="1" w:val="04A0"/>
      </w:tblPr>
      <w:tblGrid>
        <w:gridCol w:w="3118"/>
        <w:gridCol w:w="3118"/>
        <w:gridCol w:w="3118"/>
      </w:tblGrid>
      <w:tr>
        <w:trPr>
          <w:trHeight w:hRule="atLeast"/>
          <w:tblHeader w:val="true"/>
        </w:trPr>
        <w:tc>
          <w:tcPr>
            <w:tcW w:type="dxa" w:w="1701"/>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Метрика</w:t>
            </w:r>
          </w:p>
        </w:tc>
        <w:tc>
          <w:tcPr>
            <w:tcW w:type="dxa" w:w="2835"/>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Значение</w:t>
            </w:r>
          </w:p>
        </w:tc>
        <w:tc>
          <w:tcPr>
            <w:tcW w:type="dxa" w:w="4535"/>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Интерпретация</w:t>
            </w:r>
          </w:p>
        </w:tc>
      </w:tr>
      <w:tr>
        <w:trPr>
          <w:trHeight w:hRule="atLeast"/>
        </w:trPr>
        <w:tc>
          <w:tcPr>
            <w:tcW w:type="dxa" w:w="1701"/>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MAE</w:t>
            </w:r>
          </w:p>
        </w:tc>
        <w:tc>
          <w:tcPr>
            <w:tcW w:type="dxa" w:w="2835"/>
            <w:tcMar>
              <w:top w:w="60" w:type="dxa"/>
              <w:start w:w="70" w:type="dxa"/>
              <w:bottom w:w="60" w:type="dxa"/>
              <w:end w:w="70" w:type="dxa"/>
            </w:tcMar>
            <w:vAlign w:val="center"/>
          </w:tcPr>
          <w:p>
            <w:pPr>
              <w:jc w:val="center"/>
            </w:pPr>
            <w:r>
              <w:rPr>
                <w:rFonts w:ascii="Times New Roman" w:hAnsi="Times New Roman"/>
                <w:sz w:val="20"/>
              </w:rPr>
              <w:t>0,159244</w:t>
            </w:r>
          </w:p>
        </w:tc>
        <w:tc>
          <w:tcPr>
            <w:tcW w:type="dxa" w:w="453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Средний модуль ошибки в шкале [0; 1]</w:t>
            </w:r>
          </w:p>
        </w:tc>
      </w:tr>
      <w:tr>
        <w:trPr>
          <w:trHeight w:hRule="atLeast"/>
        </w:trPr>
        <w:tc>
          <w:tcPr>
            <w:tcW w:type="dxa" w:w="1701"/>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RMSE</w:t>
            </w:r>
          </w:p>
        </w:tc>
        <w:tc>
          <w:tcPr>
            <w:tcW w:type="dxa" w:w="2835"/>
            <w:tcMar>
              <w:top w:w="60" w:type="dxa"/>
              <w:start w:w="70" w:type="dxa"/>
              <w:bottom w:w="60" w:type="dxa"/>
              <w:end w:w="70" w:type="dxa"/>
            </w:tcMar>
            <w:vAlign w:val="center"/>
          </w:tcPr>
          <w:p>
            <w:pPr>
              <w:jc w:val="center"/>
            </w:pPr>
            <w:r>
              <w:rPr>
                <w:rFonts w:ascii="Times New Roman" w:hAnsi="Times New Roman"/>
                <w:sz w:val="20"/>
              </w:rPr>
              <w:t>0,194403</w:t>
            </w:r>
          </w:p>
        </w:tc>
        <w:tc>
          <w:tcPr>
            <w:tcW w:type="dxa" w:w="453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Чувствительность к крупным отклонениям</w:t>
            </w:r>
          </w:p>
        </w:tc>
      </w:tr>
      <w:tr>
        <w:trPr>
          <w:trHeight w:hRule="atLeast"/>
        </w:trPr>
        <w:tc>
          <w:tcPr>
            <w:tcW w:type="dxa" w:w="1701"/>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Bias</w:t>
            </w:r>
          </w:p>
        </w:tc>
        <w:tc>
          <w:tcPr>
            <w:tcW w:type="dxa" w:w="2835"/>
            <w:tcMar>
              <w:top w:w="60" w:type="dxa"/>
              <w:start w:w="70" w:type="dxa"/>
              <w:bottom w:w="60" w:type="dxa"/>
              <w:end w:w="70" w:type="dxa"/>
            </w:tcMar>
            <w:vAlign w:val="center"/>
          </w:tcPr>
          <w:p>
            <w:pPr>
              <w:jc w:val="center"/>
            </w:pPr>
            <w:r>
              <w:rPr>
                <w:rFonts w:ascii="Times New Roman" w:hAnsi="Times New Roman"/>
                <w:sz w:val="20"/>
              </w:rPr>
              <w:t>-0,149399</w:t>
            </w:r>
          </w:p>
        </w:tc>
        <w:tc>
          <w:tcPr>
            <w:tcW w:type="dxa" w:w="453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Направление систематического смещения</w:t>
            </w:r>
          </w:p>
        </w:tc>
      </w:tr>
      <w:tr>
        <w:trPr>
          <w:trHeight w:hRule="atLeast"/>
        </w:trPr>
        <w:tc>
          <w:tcPr>
            <w:tcW w:type="dxa" w:w="1701"/>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Pearson</w:t>
            </w:r>
          </w:p>
        </w:tc>
        <w:tc>
          <w:tcPr>
            <w:tcW w:type="dxa" w:w="2835"/>
            <w:tcMar>
              <w:top w:w="60" w:type="dxa"/>
              <w:start w:w="70" w:type="dxa"/>
              <w:bottom w:w="60" w:type="dxa"/>
              <w:end w:w="70" w:type="dxa"/>
            </w:tcMar>
            <w:vAlign w:val="center"/>
          </w:tcPr>
          <w:p>
            <w:pPr>
              <w:jc w:val="center"/>
            </w:pPr>
            <w:r>
              <w:rPr>
                <w:rFonts w:ascii="Times New Roman" w:hAnsi="Times New Roman"/>
                <w:sz w:val="20"/>
              </w:rPr>
              <w:t>0,892053</w:t>
            </w:r>
          </w:p>
        </w:tc>
        <w:tc>
          <w:tcPr>
            <w:tcW w:type="dxa" w:w="453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Линейная связь Q_pred и Q_fact</w:t>
            </w:r>
          </w:p>
        </w:tc>
      </w:tr>
      <w:tr>
        <w:trPr>
          <w:trHeight w:hRule="atLeast"/>
        </w:trPr>
        <w:tc>
          <w:tcPr>
            <w:tcW w:type="dxa" w:w="1701"/>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Spearman</w:t>
            </w:r>
          </w:p>
        </w:tc>
        <w:tc>
          <w:tcPr>
            <w:tcW w:type="dxa" w:w="2835"/>
            <w:tcMar>
              <w:top w:w="60" w:type="dxa"/>
              <w:start w:w="70" w:type="dxa"/>
              <w:bottom w:w="60" w:type="dxa"/>
              <w:end w:w="70" w:type="dxa"/>
            </w:tcMar>
            <w:vAlign w:val="center"/>
          </w:tcPr>
          <w:p>
            <w:pPr>
              <w:jc w:val="center"/>
            </w:pPr>
            <w:r>
              <w:rPr>
                <w:rFonts w:ascii="Times New Roman" w:hAnsi="Times New Roman"/>
                <w:sz w:val="20"/>
              </w:rPr>
              <w:t>0,881769</w:t>
            </w:r>
          </w:p>
        </w:tc>
        <w:tc>
          <w:tcPr>
            <w:tcW w:type="dxa" w:w="453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Сохранение порядка сценариев</w:t>
            </w:r>
          </w:p>
        </w:tc>
      </w:tr>
      <w:tr>
        <w:trPr>
          <w:trHeight w:hRule="atLeast"/>
        </w:trPr>
        <w:tc>
          <w:tcPr>
            <w:tcW w:type="dxa" w:w="1701"/>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Kendall</w:t>
            </w:r>
          </w:p>
        </w:tc>
        <w:tc>
          <w:tcPr>
            <w:tcW w:type="dxa" w:w="2835"/>
            <w:tcMar>
              <w:top w:w="60" w:type="dxa"/>
              <w:start w:w="70" w:type="dxa"/>
              <w:bottom w:w="60" w:type="dxa"/>
              <w:end w:w="70" w:type="dxa"/>
            </w:tcMar>
            <w:vAlign w:val="center"/>
          </w:tcPr>
          <w:p>
            <w:pPr>
              <w:jc w:val="center"/>
            </w:pPr>
            <w:r>
              <w:rPr>
                <w:rFonts w:ascii="Times New Roman" w:hAnsi="Times New Roman"/>
                <w:sz w:val="20"/>
              </w:rPr>
              <w:t>0,699329</w:t>
            </w:r>
          </w:p>
        </w:tc>
        <w:tc>
          <w:tcPr>
            <w:tcW w:type="dxa" w:w="453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Согласованность парных ранжирований</w:t>
            </w:r>
          </w:p>
        </w:tc>
      </w:tr>
      <w:tr>
        <w:trPr>
          <w:trHeight w:hRule="atLeast"/>
        </w:trPr>
        <w:tc>
          <w:tcPr>
            <w:tcW w:type="dxa" w:w="1701"/>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R²</w:t>
            </w:r>
          </w:p>
        </w:tc>
        <w:tc>
          <w:tcPr>
            <w:tcW w:type="dxa" w:w="2835"/>
            <w:tcMar>
              <w:top w:w="60" w:type="dxa"/>
              <w:start w:w="70" w:type="dxa"/>
              <w:bottom w:w="60" w:type="dxa"/>
              <w:end w:w="70" w:type="dxa"/>
            </w:tcMar>
            <w:vAlign w:val="center"/>
          </w:tcPr>
          <w:p>
            <w:pPr>
              <w:jc w:val="center"/>
            </w:pPr>
            <w:r>
              <w:rPr>
                <w:rFonts w:ascii="Times New Roman" w:hAnsi="Times New Roman"/>
                <w:sz w:val="20"/>
              </w:rPr>
              <w:t>-1,971612</w:t>
            </w:r>
          </w:p>
        </w:tc>
        <w:tc>
          <w:tcPr>
            <w:tcW w:type="dxa" w:w="453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Доля объясненной вариации Q_fact</w:t>
            </w:r>
          </w:p>
        </w:tc>
      </w:tr>
    </w:tbl>
    <w:p/>
    <w:p>
      <w:pPr>
        <w:jc w:val="center"/>
      </w:pPr>
      <w:r>
        <w:rPr>
          <w:rFonts w:ascii="Times New Roman" w:hAnsi="Times New Roman" w:eastAsia="Times New Roman"/>
        </w:rPr>
        <w:drawing>
          <wp:inline xmlns:a="http://schemas.openxmlformats.org/drawingml/2006/main" xmlns:pic="http://schemas.openxmlformats.org/drawingml/2006/picture">
            <wp:extent cx="5580000" cy="3331763"/>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580000" cy="3331763"/>
                    </a:xfrm>
                    <a:prstGeom prst="rect"/>
                  </pic:spPr>
                </pic:pic>
              </a:graphicData>
            </a:graphic>
          </wp:inline>
        </w:drawing>
      </w:r>
    </w:p>
    <w:p w:rsidR="15A15A15">
      <w:pPr>
        <w:jc w:val="center"/>
      </w:pPr>
      <w:r>
        <w:rPr>
          <w:rFonts w:ascii="Times New Roman" w:hAnsi="Times New Roman" w:eastAsia="Times New Roman"/>
          <w:sz w:val="24"/>
        </w:rPr>
        <w:t>Рисунок 6.1 – Сопоставление априорной и фактической интегральных оценок</w:t>
      </w:r>
    </w:p>
    <w:p>
      <w:pPr>
        <w:jc w:val="center"/>
      </w:pPr>
      <w:r>
        <w:rPr>
          <w:rFonts w:ascii="Times New Roman" w:hAnsi="Times New Roman" w:eastAsia="Times New Roman"/>
        </w:rPr>
        <w:drawing>
          <wp:inline xmlns:a="http://schemas.openxmlformats.org/drawingml/2006/main" xmlns:pic="http://schemas.openxmlformats.org/drawingml/2006/picture">
            <wp:extent cx="5580000" cy="3331763"/>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580000" cy="3331763"/>
                    </a:xfrm>
                    <a:prstGeom prst="rect"/>
                  </pic:spPr>
                </pic:pic>
              </a:graphicData>
            </a:graphic>
          </wp:inline>
        </w:drawing>
      </w:r>
    </w:p>
    <w:p w:rsidR="15A15A15">
      <w:pPr>
        <w:jc w:val="center"/>
      </w:pPr>
      <w:r>
        <w:rPr>
          <w:rFonts w:ascii="Times New Roman" w:hAnsi="Times New Roman" w:eastAsia="Times New Roman"/>
          <w:sz w:val="24"/>
        </w:rPr>
        <w:t>Рисунок 6.2 – Зависимость ошибки прогноза от фактического качества</w:t>
      </w:r>
    </w:p>
    <w:p>
      <w:pPr>
        <w:jc w:val="center"/>
      </w:pPr>
      <w:r>
        <w:rPr>
          <w:rFonts w:ascii="Times New Roman" w:hAnsi="Times New Roman" w:eastAsia="Times New Roman"/>
        </w:rPr>
        <w:drawing>
          <wp:inline xmlns:a="http://schemas.openxmlformats.org/drawingml/2006/main" xmlns:pic="http://schemas.openxmlformats.org/drawingml/2006/picture">
            <wp:extent cx="5580000" cy="3331763"/>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580000" cy="3331763"/>
                    </a:xfrm>
                    <a:prstGeom prst="rect"/>
                  </pic:spPr>
                </pic:pic>
              </a:graphicData>
            </a:graphic>
          </wp:inline>
        </w:drawing>
      </w:r>
    </w:p>
    <w:p w:rsidR="15A15A15">
      <w:pPr>
        <w:jc w:val="center"/>
      </w:pPr>
      <w:r>
        <w:rPr>
          <w:rFonts w:ascii="Times New Roman" w:hAnsi="Times New Roman" w:eastAsia="Times New Roman"/>
          <w:sz w:val="24"/>
        </w:rPr>
        <w:t>Рисунок 6.3 – Распределение абсолютной ошибки интегрального прогноза</w:t>
      </w:r>
    </w:p>
    <w:p/>
    <w:p>
      <w:pPr>
        <w:spacing w:line="360" w:lineRule="auto" w:before="0" w:after="0"/>
        <w:ind w:firstLine="709"/>
        <w:jc w:val="both"/>
      </w:pPr>
      <w:r>
        <w:rPr>
          <w:rFonts w:ascii="Times New Roman" w:hAnsi="Times New Roman" w:eastAsia="Times New Roman"/>
        </w:rPr>
        <w:t>Полученные результаты показывают сочетание высокой ранговой согласованности (Spearman = 0,881769, Kendall = 0,699329) и неудовлетворительной калибровки абсолютной шкалы. MAE составила 0,159244, RMSE — 0,194403, Bias — -0,149399, R² — -1,971612. Следовательно, модель надежно сохраняет относительный порядок сценариев, но систематически занижает фактический уровень качества.</w:t>
      </w:r>
    </w:p>
    <w:p>
      <w:pPr>
        <w:spacing w:line="360" w:lineRule="auto" w:before="0" w:after="0"/>
        <w:ind w:firstLine="709"/>
        <w:jc w:val="both"/>
      </w:pPr>
      <w:r>
        <w:rPr>
          <w:rFonts w:ascii="Times New Roman" w:hAnsi="Times New Roman" w:eastAsia="Times New Roman"/>
        </w:rPr>
        <w:t>На рисунках 6.1–6.3 представлены сопоставление Q_pred и Q_fact, структура остатков и распределение абсолютных ошибок. Все изображения сформированы программно из зафиксированного проверочного датасета без ручной подмены расчетных значений.</w:t>
      </w:r>
    </w:p>
    <w:p>
      <w:pPr>
        <w:pStyle w:val="Heading1"/>
        <w:keepNext/>
        <w:pageBreakBefore w:val="0"/>
        <w:spacing w:before="240" w:after="120"/>
        <w:jc w:val="left"/>
      </w:pPr>
      <w:r>
        <w:rPr>
          <w:rFonts w:ascii="Times New Roman" w:hAnsi="Times New Roman" w:eastAsia="Times New Roman"/>
          <w:b/>
          <w:i w:val="0"/>
          <w:sz w:val="32"/>
        </w:rPr>
        <w:t>6.5. Проверка частных прогнозных критериев</w:t>
      </w:r>
    </w:p>
    <w:p>
      <w:pPr>
        <w:spacing w:line="360" w:lineRule="auto" w:before="0" w:after="0"/>
        <w:ind w:firstLine="709"/>
        <w:jc w:val="both"/>
      </w:pPr>
      <w:r>
        <w:rPr>
          <w:rFonts w:ascii="Times New Roman" w:hAnsi="Times New Roman" w:eastAsia="Times New Roman"/>
          <w:b w:val="0"/>
          <w:i w:val="0"/>
          <w:sz w:val="28"/>
        </w:rPr>
        <w:t>Интегральная ошибка не показывает, какая именно компонента качества ограничивает достоверность метода. Поэтому для каждого сценария отдельно сопоставляются шесть пар прогнозных и фактических критериев. Такой анализ позволяет различить ошибки, связанные с оценкой точности, временной пригодности, трудоемкости, результативности, повторяемости и соответствия условиям применения.</w:t>
      </w:r>
    </w:p>
    <w:p>
      <w:pPr>
        <w:keepNext/>
        <w:spacing w:before="120" w:after="60"/>
        <w:jc w:val="center"/>
      </w:pPr>
      <w:r>
        <w:rPr>
          <w:rFonts w:ascii="Times New Roman" w:hAnsi="Times New Roman" w:eastAsia="Times New Roman"/>
          <w:b w:val="0"/>
          <w:i w:val="0"/>
          <w:sz w:val="20"/>
        </w:rPr>
        <w:t>Таблица 6.6 - Сопоставление частных прогнозных и фактических критериев</w:t>
      </w:r>
    </w:p>
    <w:tbl>
      <w:tblPr>
        <w:tblStyle w:val="TableGrid"/>
        <w:tblW w:type="auto" w:w="0"/>
        <w:jc w:val="center"/>
        <w:tblLayout w:type="fixed"/>
        <w:tblLook w:firstColumn="1" w:firstRow="1" w:lastColumn="0" w:lastRow="0" w:noHBand="0" w:noVBand="1" w:val="04A0"/>
      </w:tblPr>
      <w:tblGrid>
        <w:gridCol w:w="3118"/>
        <w:gridCol w:w="3118"/>
        <w:gridCol w:w="3118"/>
      </w:tblGrid>
      <w:tr>
        <w:trPr>
          <w:trHeight w:hRule="atLeast"/>
          <w:tblHeader w:val="true"/>
        </w:trPr>
        <w:tc>
          <w:tcPr>
            <w:tcW w:type="dxa" w:w="2551"/>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Прогноз главы 5</w:t>
            </w:r>
          </w:p>
        </w:tc>
        <w:tc>
          <w:tcPr>
            <w:tcW w:type="dxa" w:w="2268"/>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Фактический показатель</w:t>
            </w:r>
          </w:p>
        </w:tc>
        <w:tc>
          <w:tcPr>
            <w:tcW w:type="dxa" w:w="4252"/>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Предметный смысл</w:t>
            </w:r>
          </w:p>
        </w:tc>
      </w:tr>
      <w:tr>
        <w:trPr>
          <w:trHeight w:hRule="atLeast"/>
        </w:trPr>
        <w:tc>
          <w:tcPr>
            <w:tcW w:type="dxa" w:w="2551"/>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q_acc_pred</w:t>
            </w:r>
          </w:p>
        </w:tc>
        <w:tc>
          <w:tcPr>
            <w:tcW w:type="dxa" w:w="2268"/>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q_acc</w:t>
            </w:r>
          </w:p>
        </w:tc>
        <w:tc>
          <w:tcPr>
            <w:tcW w:type="dxa" w:w="4252"/>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Точность восстановления сообщения</w:t>
            </w:r>
          </w:p>
        </w:tc>
      </w:tr>
      <w:tr>
        <w:trPr>
          <w:trHeight w:hRule="atLeast"/>
        </w:trPr>
        <w:tc>
          <w:tcPr>
            <w:tcW w:type="dxa" w:w="2551"/>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q_time_pred</w:t>
            </w:r>
          </w:p>
        </w:tc>
        <w:tc>
          <w:tcPr>
            <w:tcW w:type="dxa" w:w="2268"/>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q_time</w:t>
            </w:r>
          </w:p>
        </w:tc>
        <w:tc>
          <w:tcPr>
            <w:tcW w:type="dxa" w:w="4252"/>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Временная эффективность</w:t>
            </w:r>
          </w:p>
        </w:tc>
      </w:tr>
      <w:tr>
        <w:trPr>
          <w:trHeight w:hRule="atLeast"/>
        </w:trPr>
        <w:tc>
          <w:tcPr>
            <w:tcW w:type="dxa" w:w="2551"/>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q_effort_pred</w:t>
            </w:r>
          </w:p>
        </w:tc>
        <w:tc>
          <w:tcPr>
            <w:tcW w:type="dxa" w:w="2268"/>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q_effort</w:t>
            </w:r>
          </w:p>
        </w:tc>
        <w:tc>
          <w:tcPr>
            <w:tcW w:type="dxa" w:w="4252"/>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Трудоемкость ручной процедуры</w:t>
            </w:r>
          </w:p>
        </w:tc>
      </w:tr>
      <w:tr>
        <w:trPr>
          <w:trHeight w:hRule="atLeast"/>
        </w:trPr>
        <w:tc>
          <w:tcPr>
            <w:tcW w:type="dxa" w:w="2551"/>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q_res_pred</w:t>
            </w:r>
          </w:p>
        </w:tc>
        <w:tc>
          <w:tcPr>
            <w:tcW w:type="dxa" w:w="2268"/>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q_res</w:t>
            </w:r>
          </w:p>
        </w:tc>
        <w:tc>
          <w:tcPr>
            <w:tcW w:type="dxa" w:w="4252"/>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Результативность и устойчивость</w:t>
            </w:r>
          </w:p>
        </w:tc>
      </w:tr>
      <w:tr>
        <w:trPr>
          <w:trHeight w:hRule="atLeast"/>
        </w:trPr>
        <w:tc>
          <w:tcPr>
            <w:tcW w:type="dxa" w:w="2551"/>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q_rep_pred</w:t>
            </w:r>
          </w:p>
        </w:tc>
        <w:tc>
          <w:tcPr>
            <w:tcW w:type="dxa" w:w="2268"/>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q_rep</w:t>
            </w:r>
          </w:p>
        </w:tc>
        <w:tc>
          <w:tcPr>
            <w:tcW w:type="dxa" w:w="4252"/>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Повторяемость результата</w:t>
            </w:r>
          </w:p>
        </w:tc>
      </w:tr>
      <w:tr>
        <w:trPr>
          <w:trHeight w:hRule="atLeast"/>
        </w:trPr>
        <w:tc>
          <w:tcPr>
            <w:tcW w:type="dxa" w:w="2551"/>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q_fit_pred</w:t>
            </w:r>
          </w:p>
        </w:tc>
        <w:tc>
          <w:tcPr>
            <w:tcW w:type="dxa" w:w="2268"/>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q_fit</w:t>
            </w:r>
          </w:p>
        </w:tc>
        <w:tc>
          <w:tcPr>
            <w:tcW w:type="dxa" w:w="4252"/>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Соответствие условиям применения</w:t>
            </w:r>
          </w:p>
        </w:tc>
      </w:tr>
    </w:tbl>
    <w:p>
      <w:pPr>
        <w:spacing w:line="360" w:lineRule="auto" w:before="0" w:after="0"/>
        <w:ind w:firstLine="709"/>
        <w:jc w:val="both"/>
      </w:pPr>
      <w:r>
        <w:rPr>
          <w:rFonts w:ascii="Times New Roman" w:hAnsi="Times New Roman" w:eastAsia="Times New Roman"/>
          <w:b w:val="0"/>
          <w:i w:val="0"/>
          <w:sz w:val="28"/>
        </w:rPr>
        <w:t>Для каждой пары рассчитываются MAE, RMSE, Bias, Spearman и Kendall. Дополнительно целесообразно проверить диапазон значений и распределение остатков: высокий коэффициент корреляции при сжатом диапазоне q_j,pred может скрывать неудовлетворительную калибровку шкалы.</w:t>
      </w:r>
    </w:p>
    <w:p>
      <w:pPr>
        <w:keepNext/>
        <w:spacing w:before="120" w:after="60"/>
        <w:jc w:val="center"/>
      </w:pPr>
      <w:r>
        <w:rPr>
          <w:rFonts w:ascii="Times New Roman" w:hAnsi="Times New Roman" w:eastAsia="Times New Roman"/>
          <w:b w:val="0"/>
          <w:i w:val="0"/>
          <w:sz w:val="20"/>
        </w:rPr>
        <w:t>Таблица 6.7 - Шаблон результатов проверки частных критериев</w:t>
      </w:r>
    </w:p>
    <w:tbl>
      <w:tblPr>
        <w:tblStyle w:val="TableGrid"/>
        <w:tblW w:type="auto" w:w="0"/>
        <w:jc w:val="center"/>
        <w:tblLayout w:type="fixed"/>
        <w:tblLook w:firstColumn="1" w:firstRow="1" w:lastColumn="0" w:lastRow="0" w:noHBand="0" w:noVBand="1" w:val="04A0"/>
      </w:tblPr>
      <w:tblGrid>
        <w:gridCol w:w="1559"/>
        <w:gridCol w:w="1559"/>
        <w:gridCol w:w="1559"/>
        <w:gridCol w:w="1559"/>
        <w:gridCol w:w="1559"/>
        <w:gridCol w:w="1559"/>
      </w:tblGrid>
      <w:tr>
        <w:trPr>
          <w:trHeight w:hRule="atLeast"/>
          <w:tblHeader w:val="true"/>
        </w:trPr>
        <w:tc>
          <w:tcPr>
            <w:tcW w:type="dxa" w:w="1587"/>
            <w:shd w:fill="D9E2F3"/>
            <w:tcMar>
              <w:top w:w="60" w:type="dxa"/>
              <w:start w:w="70" w:type="dxa"/>
              <w:bottom w:w="60" w:type="dxa"/>
              <w:end w:w="70" w:type="dxa"/>
            </w:tcMar>
            <w:vAlign w:val="center"/>
          </w:tcPr>
          <w:p>
            <w:pPr>
              <w:spacing w:after="0" w:line="240" w:lineRule="auto"/>
              <w:jc w:val="left"/>
            </w:pPr>
            <w:r>
              <w:rPr>
                <w:rFonts w:ascii="Times New Roman" w:hAnsi="Times New Roman" w:eastAsia="Times New Roman"/>
                <w:b/>
                <w:i w:val="0"/>
                <w:sz w:val="20"/>
              </w:rPr>
              <w:t>Критерий</w:t>
            </w:r>
          </w:p>
        </w:tc>
        <w:tc>
          <w:tcPr>
            <w:tcW w:type="dxa" w:w="1361"/>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MAE</w:t>
            </w:r>
          </w:p>
        </w:tc>
        <w:tc>
          <w:tcPr>
            <w:tcW w:type="dxa" w:w="1361"/>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RMSE</w:t>
            </w:r>
          </w:p>
        </w:tc>
        <w:tc>
          <w:tcPr>
            <w:tcW w:type="dxa" w:w="1361"/>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Bias</w:t>
            </w:r>
          </w:p>
        </w:tc>
        <w:tc>
          <w:tcPr>
            <w:tcW w:type="dxa" w:w="1701"/>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Spearman</w:t>
            </w:r>
          </w:p>
        </w:tc>
        <w:tc>
          <w:tcPr>
            <w:tcW w:type="dxa" w:w="1701"/>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Kendall</w:t>
            </w:r>
          </w:p>
        </w:tc>
      </w:tr>
      <w:tr>
        <w:trPr>
          <w:trHeight w:hRule="atLeast"/>
        </w:trPr>
        <w:tc>
          <w:tcPr>
            <w:tcW w:type="dxa" w:w="1587"/>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q_acc</w:t>
            </w:r>
          </w:p>
        </w:tc>
        <w:tc>
          <w:tcPr>
            <w:tcW w:type="dxa" w:w="1361"/>
            <w:tcMar>
              <w:top w:w="60" w:type="dxa"/>
              <w:start w:w="70" w:type="dxa"/>
              <w:bottom w:w="60" w:type="dxa"/>
              <w:end w:w="70" w:type="dxa"/>
            </w:tcMar>
            <w:vAlign w:val="center"/>
          </w:tcPr>
          <w:p>
            <w:pPr>
              <w:jc w:val="center"/>
            </w:pPr>
            <w:r>
              <w:rPr>
                <w:rFonts w:ascii="Times New Roman" w:hAnsi="Times New Roman"/>
                <w:sz w:val="20"/>
              </w:rPr>
              <w:t>0,208927</w:t>
            </w:r>
          </w:p>
        </w:tc>
        <w:tc>
          <w:tcPr>
            <w:tcW w:type="dxa" w:w="1361"/>
            <w:tcMar>
              <w:top w:w="60" w:type="dxa"/>
              <w:start w:w="70" w:type="dxa"/>
              <w:bottom w:w="60" w:type="dxa"/>
              <w:end w:w="70" w:type="dxa"/>
            </w:tcMar>
            <w:vAlign w:val="center"/>
          </w:tcPr>
          <w:p>
            <w:pPr>
              <w:jc w:val="center"/>
            </w:pPr>
            <w:r>
              <w:rPr>
                <w:rFonts w:ascii="Times New Roman" w:hAnsi="Times New Roman"/>
                <w:sz w:val="20"/>
              </w:rPr>
              <w:t>0,254995</w:t>
            </w:r>
          </w:p>
        </w:tc>
        <w:tc>
          <w:tcPr>
            <w:tcW w:type="dxa" w:w="1361"/>
            <w:tcMar>
              <w:top w:w="60" w:type="dxa"/>
              <w:start w:w="70" w:type="dxa"/>
              <w:bottom w:w="60" w:type="dxa"/>
              <w:end w:w="70" w:type="dxa"/>
            </w:tcMar>
            <w:vAlign w:val="center"/>
          </w:tcPr>
          <w:p>
            <w:pPr>
              <w:jc w:val="center"/>
            </w:pPr>
            <w:r>
              <w:rPr>
                <w:rFonts w:ascii="Times New Roman" w:hAnsi="Times New Roman"/>
                <w:sz w:val="20"/>
              </w:rPr>
              <w:t>-0,190562</w:t>
            </w:r>
          </w:p>
        </w:tc>
        <w:tc>
          <w:tcPr>
            <w:tcW w:type="dxa" w:w="1701"/>
            <w:tcMar>
              <w:top w:w="60" w:type="dxa"/>
              <w:start w:w="70" w:type="dxa"/>
              <w:bottom w:w="60" w:type="dxa"/>
              <w:end w:w="70" w:type="dxa"/>
            </w:tcMar>
            <w:vAlign w:val="center"/>
          </w:tcPr>
          <w:p>
            <w:pPr>
              <w:jc w:val="center"/>
            </w:pPr>
            <w:r>
              <w:rPr>
                <w:rFonts w:ascii="Times New Roman" w:hAnsi="Times New Roman"/>
                <w:sz w:val="20"/>
              </w:rPr>
              <w:t>0,858321</w:t>
            </w:r>
          </w:p>
        </w:tc>
        <w:tc>
          <w:tcPr>
            <w:tcW w:type="dxa" w:w="1701"/>
            <w:tcMar>
              <w:top w:w="60" w:type="dxa"/>
              <w:start w:w="70" w:type="dxa"/>
              <w:bottom w:w="60" w:type="dxa"/>
              <w:end w:w="70" w:type="dxa"/>
            </w:tcMar>
            <w:vAlign w:val="center"/>
          </w:tcPr>
          <w:p>
            <w:pPr>
              <w:jc w:val="center"/>
            </w:pPr>
            <w:r>
              <w:rPr>
                <w:rFonts w:ascii="Times New Roman" w:hAnsi="Times New Roman"/>
                <w:sz w:val="20"/>
              </w:rPr>
              <w:t>0,691816</w:t>
            </w:r>
          </w:p>
        </w:tc>
      </w:tr>
      <w:tr>
        <w:trPr>
          <w:trHeight w:hRule="atLeast"/>
        </w:trPr>
        <w:tc>
          <w:tcPr>
            <w:tcW w:type="dxa" w:w="1587"/>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q_time</w:t>
            </w:r>
          </w:p>
        </w:tc>
        <w:tc>
          <w:tcPr>
            <w:tcW w:type="dxa" w:w="1361"/>
            <w:tcMar>
              <w:top w:w="60" w:type="dxa"/>
              <w:start w:w="70" w:type="dxa"/>
              <w:bottom w:w="60" w:type="dxa"/>
              <w:end w:w="70" w:type="dxa"/>
            </w:tcMar>
            <w:vAlign w:val="center"/>
          </w:tcPr>
          <w:p>
            <w:pPr>
              <w:jc w:val="center"/>
            </w:pPr>
            <w:r>
              <w:rPr>
                <w:rFonts w:ascii="Times New Roman" w:hAnsi="Times New Roman"/>
                <w:sz w:val="20"/>
              </w:rPr>
              <w:t>0,170228</w:t>
            </w:r>
          </w:p>
        </w:tc>
        <w:tc>
          <w:tcPr>
            <w:tcW w:type="dxa" w:w="1361"/>
            <w:tcMar>
              <w:top w:w="60" w:type="dxa"/>
              <w:start w:w="70" w:type="dxa"/>
              <w:bottom w:w="60" w:type="dxa"/>
              <w:end w:w="70" w:type="dxa"/>
            </w:tcMar>
            <w:vAlign w:val="center"/>
          </w:tcPr>
          <w:p>
            <w:pPr>
              <w:jc w:val="center"/>
            </w:pPr>
            <w:r>
              <w:rPr>
                <w:rFonts w:ascii="Times New Roman" w:hAnsi="Times New Roman"/>
                <w:sz w:val="20"/>
              </w:rPr>
              <w:t>0,225267</w:t>
            </w:r>
          </w:p>
        </w:tc>
        <w:tc>
          <w:tcPr>
            <w:tcW w:type="dxa" w:w="1361"/>
            <w:tcMar>
              <w:top w:w="60" w:type="dxa"/>
              <w:start w:w="70" w:type="dxa"/>
              <w:bottom w:w="60" w:type="dxa"/>
              <w:end w:w="70" w:type="dxa"/>
            </w:tcMar>
            <w:vAlign w:val="center"/>
          </w:tcPr>
          <w:p>
            <w:pPr>
              <w:jc w:val="center"/>
            </w:pPr>
            <w:r>
              <w:rPr>
                <w:rFonts w:ascii="Times New Roman" w:hAnsi="Times New Roman"/>
                <w:sz w:val="20"/>
              </w:rPr>
              <w:t>-0,112615</w:t>
            </w:r>
          </w:p>
        </w:tc>
        <w:tc>
          <w:tcPr>
            <w:tcW w:type="dxa" w:w="1701"/>
            <w:tcMar>
              <w:top w:w="60" w:type="dxa"/>
              <w:start w:w="70" w:type="dxa"/>
              <w:bottom w:w="60" w:type="dxa"/>
              <w:end w:w="70" w:type="dxa"/>
            </w:tcMar>
            <w:vAlign w:val="center"/>
          </w:tcPr>
          <w:p>
            <w:pPr>
              <w:jc w:val="center"/>
            </w:pPr>
            <w:r>
              <w:rPr>
                <w:rFonts w:ascii="Times New Roman" w:hAnsi="Times New Roman"/>
                <w:sz w:val="20"/>
              </w:rPr>
              <w:t>0,594474</w:t>
            </w:r>
          </w:p>
        </w:tc>
        <w:tc>
          <w:tcPr>
            <w:tcW w:type="dxa" w:w="1701"/>
            <w:tcMar>
              <w:top w:w="60" w:type="dxa"/>
              <w:start w:w="70" w:type="dxa"/>
              <w:bottom w:w="60" w:type="dxa"/>
              <w:end w:w="70" w:type="dxa"/>
            </w:tcMar>
            <w:vAlign w:val="center"/>
          </w:tcPr>
          <w:p>
            <w:pPr>
              <w:jc w:val="center"/>
            </w:pPr>
            <w:r>
              <w:rPr>
                <w:rFonts w:ascii="Times New Roman" w:hAnsi="Times New Roman"/>
                <w:sz w:val="20"/>
              </w:rPr>
              <w:t>0,419060</w:t>
            </w:r>
          </w:p>
        </w:tc>
      </w:tr>
      <w:tr>
        <w:trPr>
          <w:trHeight w:hRule="atLeast"/>
        </w:trPr>
        <w:tc>
          <w:tcPr>
            <w:tcW w:type="dxa" w:w="1587"/>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q_effort</w:t>
            </w:r>
          </w:p>
        </w:tc>
        <w:tc>
          <w:tcPr>
            <w:tcW w:type="dxa" w:w="1361"/>
            <w:tcMar>
              <w:top w:w="60" w:type="dxa"/>
              <w:start w:w="70" w:type="dxa"/>
              <w:bottom w:w="60" w:type="dxa"/>
              <w:end w:w="70" w:type="dxa"/>
            </w:tcMar>
            <w:vAlign w:val="center"/>
          </w:tcPr>
          <w:p>
            <w:pPr>
              <w:jc w:val="center"/>
            </w:pPr>
            <w:r>
              <w:rPr>
                <w:rFonts w:ascii="Times New Roman" w:hAnsi="Times New Roman"/>
                <w:sz w:val="20"/>
              </w:rPr>
              <w:t>0,156064</w:t>
            </w:r>
          </w:p>
        </w:tc>
        <w:tc>
          <w:tcPr>
            <w:tcW w:type="dxa" w:w="1361"/>
            <w:tcMar>
              <w:top w:w="60" w:type="dxa"/>
              <w:start w:w="70" w:type="dxa"/>
              <w:bottom w:w="60" w:type="dxa"/>
              <w:end w:w="70" w:type="dxa"/>
            </w:tcMar>
            <w:vAlign w:val="center"/>
          </w:tcPr>
          <w:p>
            <w:pPr>
              <w:jc w:val="center"/>
            </w:pPr>
            <w:r>
              <w:rPr>
                <w:rFonts w:ascii="Times New Roman" w:hAnsi="Times New Roman"/>
                <w:sz w:val="20"/>
              </w:rPr>
              <w:t>0,184929</w:t>
            </w:r>
          </w:p>
        </w:tc>
        <w:tc>
          <w:tcPr>
            <w:tcW w:type="dxa" w:w="1361"/>
            <w:tcMar>
              <w:top w:w="60" w:type="dxa"/>
              <w:start w:w="70" w:type="dxa"/>
              <w:bottom w:w="60" w:type="dxa"/>
              <w:end w:w="70" w:type="dxa"/>
            </w:tcMar>
            <w:vAlign w:val="center"/>
          </w:tcPr>
          <w:p>
            <w:pPr>
              <w:jc w:val="center"/>
            </w:pPr>
            <w:r>
              <w:rPr>
                <w:rFonts w:ascii="Times New Roman" w:hAnsi="Times New Roman"/>
                <w:sz w:val="20"/>
              </w:rPr>
              <w:t>-0,047225</w:t>
            </w:r>
          </w:p>
        </w:tc>
        <w:tc>
          <w:tcPr>
            <w:tcW w:type="dxa" w:w="1701"/>
            <w:tcMar>
              <w:top w:w="60" w:type="dxa"/>
              <w:start w:w="70" w:type="dxa"/>
              <w:bottom w:w="60" w:type="dxa"/>
              <w:end w:w="70" w:type="dxa"/>
            </w:tcMar>
            <w:vAlign w:val="center"/>
          </w:tcPr>
          <w:p>
            <w:pPr>
              <w:jc w:val="center"/>
            </w:pPr>
            <w:r>
              <w:rPr>
                <w:rFonts w:ascii="Times New Roman" w:hAnsi="Times New Roman"/>
                <w:sz w:val="20"/>
              </w:rPr>
              <w:t>0,611719</w:t>
            </w:r>
          </w:p>
        </w:tc>
        <w:tc>
          <w:tcPr>
            <w:tcW w:type="dxa" w:w="1701"/>
            <w:tcMar>
              <w:top w:w="60" w:type="dxa"/>
              <w:start w:w="70" w:type="dxa"/>
              <w:bottom w:w="60" w:type="dxa"/>
              <w:end w:w="70" w:type="dxa"/>
            </w:tcMar>
            <w:vAlign w:val="center"/>
          </w:tcPr>
          <w:p>
            <w:pPr>
              <w:jc w:val="center"/>
            </w:pPr>
            <w:r>
              <w:rPr>
                <w:rFonts w:ascii="Times New Roman" w:hAnsi="Times New Roman"/>
                <w:sz w:val="20"/>
              </w:rPr>
              <w:t>0,455609</w:t>
            </w:r>
          </w:p>
        </w:tc>
      </w:tr>
      <w:tr>
        <w:trPr>
          <w:trHeight w:hRule="atLeast"/>
        </w:trPr>
        <w:tc>
          <w:tcPr>
            <w:tcW w:type="dxa" w:w="1587"/>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q_res</w:t>
            </w:r>
          </w:p>
        </w:tc>
        <w:tc>
          <w:tcPr>
            <w:tcW w:type="dxa" w:w="1361"/>
            <w:tcMar>
              <w:top w:w="60" w:type="dxa"/>
              <w:start w:w="70" w:type="dxa"/>
              <w:bottom w:w="60" w:type="dxa"/>
              <w:end w:w="70" w:type="dxa"/>
            </w:tcMar>
            <w:vAlign w:val="center"/>
          </w:tcPr>
          <w:p>
            <w:pPr>
              <w:jc w:val="center"/>
            </w:pPr>
            <w:r>
              <w:rPr>
                <w:rFonts w:ascii="Times New Roman" w:hAnsi="Times New Roman"/>
                <w:sz w:val="20"/>
              </w:rPr>
              <w:t>0,205666</w:t>
            </w:r>
          </w:p>
        </w:tc>
        <w:tc>
          <w:tcPr>
            <w:tcW w:type="dxa" w:w="1361"/>
            <w:tcMar>
              <w:top w:w="60" w:type="dxa"/>
              <w:start w:w="70" w:type="dxa"/>
              <w:bottom w:w="60" w:type="dxa"/>
              <w:end w:w="70" w:type="dxa"/>
            </w:tcMar>
            <w:vAlign w:val="center"/>
          </w:tcPr>
          <w:p>
            <w:pPr>
              <w:jc w:val="center"/>
            </w:pPr>
            <w:r>
              <w:rPr>
                <w:rFonts w:ascii="Times New Roman" w:hAnsi="Times New Roman"/>
                <w:sz w:val="20"/>
              </w:rPr>
              <w:t>0,256061</w:t>
            </w:r>
          </w:p>
        </w:tc>
        <w:tc>
          <w:tcPr>
            <w:tcW w:type="dxa" w:w="1361"/>
            <w:tcMar>
              <w:top w:w="60" w:type="dxa"/>
              <w:start w:w="70" w:type="dxa"/>
              <w:bottom w:w="60" w:type="dxa"/>
              <w:end w:w="70" w:type="dxa"/>
            </w:tcMar>
            <w:vAlign w:val="center"/>
          </w:tcPr>
          <w:p>
            <w:pPr>
              <w:jc w:val="center"/>
            </w:pPr>
            <w:r>
              <w:rPr>
                <w:rFonts w:ascii="Times New Roman" w:hAnsi="Times New Roman"/>
                <w:sz w:val="20"/>
              </w:rPr>
              <w:t>-0,101341</w:t>
            </w:r>
          </w:p>
        </w:tc>
        <w:tc>
          <w:tcPr>
            <w:tcW w:type="dxa" w:w="1701"/>
            <w:tcMar>
              <w:top w:w="60" w:type="dxa"/>
              <w:start w:w="70" w:type="dxa"/>
              <w:bottom w:w="60" w:type="dxa"/>
              <w:end w:w="70" w:type="dxa"/>
            </w:tcMar>
            <w:vAlign w:val="center"/>
          </w:tcPr>
          <w:p>
            <w:pPr>
              <w:jc w:val="center"/>
            </w:pPr>
            <w:r>
              <w:rPr>
                <w:rFonts w:ascii="Times New Roman" w:hAnsi="Times New Roman"/>
                <w:sz w:val="20"/>
              </w:rPr>
              <w:t>0,632817</w:t>
            </w:r>
          </w:p>
        </w:tc>
        <w:tc>
          <w:tcPr>
            <w:tcW w:type="dxa" w:w="1701"/>
            <w:tcMar>
              <w:top w:w="60" w:type="dxa"/>
              <w:start w:w="70" w:type="dxa"/>
              <w:bottom w:w="60" w:type="dxa"/>
              <w:end w:w="70" w:type="dxa"/>
            </w:tcMar>
            <w:vAlign w:val="center"/>
          </w:tcPr>
          <w:p>
            <w:pPr>
              <w:jc w:val="center"/>
            </w:pPr>
            <w:r>
              <w:rPr>
                <w:rFonts w:ascii="Times New Roman" w:hAnsi="Times New Roman"/>
                <w:sz w:val="20"/>
              </w:rPr>
              <w:t>0,518413</w:t>
            </w:r>
          </w:p>
        </w:tc>
      </w:tr>
      <w:tr>
        <w:trPr>
          <w:trHeight w:hRule="atLeast"/>
        </w:trPr>
        <w:tc>
          <w:tcPr>
            <w:tcW w:type="dxa" w:w="1587"/>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q_rep</w:t>
            </w:r>
          </w:p>
        </w:tc>
        <w:tc>
          <w:tcPr>
            <w:tcW w:type="dxa" w:w="1361"/>
            <w:tcMar>
              <w:top w:w="60" w:type="dxa"/>
              <w:start w:w="70" w:type="dxa"/>
              <w:bottom w:w="60" w:type="dxa"/>
              <w:end w:w="70" w:type="dxa"/>
            </w:tcMar>
            <w:vAlign w:val="center"/>
          </w:tcPr>
          <w:p>
            <w:pPr>
              <w:jc w:val="center"/>
            </w:pPr>
            <w:r>
              <w:rPr>
                <w:rFonts w:ascii="Times New Roman" w:hAnsi="Times New Roman"/>
                <w:sz w:val="20"/>
              </w:rPr>
              <w:t>0,224452</w:t>
            </w:r>
          </w:p>
        </w:tc>
        <w:tc>
          <w:tcPr>
            <w:tcW w:type="dxa" w:w="1361"/>
            <w:tcMar>
              <w:top w:w="60" w:type="dxa"/>
              <w:start w:w="70" w:type="dxa"/>
              <w:bottom w:w="60" w:type="dxa"/>
              <w:end w:w="70" w:type="dxa"/>
            </w:tcMar>
            <w:vAlign w:val="center"/>
          </w:tcPr>
          <w:p>
            <w:pPr>
              <w:jc w:val="center"/>
            </w:pPr>
            <w:r>
              <w:rPr>
                <w:rFonts w:ascii="Times New Roman" w:hAnsi="Times New Roman"/>
                <w:sz w:val="20"/>
              </w:rPr>
              <w:t>0,274526</w:t>
            </w:r>
          </w:p>
        </w:tc>
        <w:tc>
          <w:tcPr>
            <w:tcW w:type="dxa" w:w="1361"/>
            <w:tcMar>
              <w:top w:w="60" w:type="dxa"/>
              <w:start w:w="70" w:type="dxa"/>
              <w:bottom w:w="60" w:type="dxa"/>
              <w:end w:w="70" w:type="dxa"/>
            </w:tcMar>
            <w:vAlign w:val="center"/>
          </w:tcPr>
          <w:p>
            <w:pPr>
              <w:jc w:val="center"/>
            </w:pPr>
            <w:r>
              <w:rPr>
                <w:rFonts w:ascii="Times New Roman" w:hAnsi="Times New Roman"/>
                <w:sz w:val="20"/>
              </w:rPr>
              <w:t>-0,157280</w:t>
            </w:r>
          </w:p>
        </w:tc>
        <w:tc>
          <w:tcPr>
            <w:tcW w:type="dxa" w:w="1701"/>
            <w:tcMar>
              <w:top w:w="60" w:type="dxa"/>
              <w:start w:w="70" w:type="dxa"/>
              <w:bottom w:w="60" w:type="dxa"/>
              <w:end w:w="70" w:type="dxa"/>
            </w:tcMar>
            <w:vAlign w:val="center"/>
          </w:tcPr>
          <w:p>
            <w:pPr>
              <w:jc w:val="center"/>
            </w:pPr>
            <w:r>
              <w:rPr>
                <w:rFonts w:ascii="Times New Roman" w:hAnsi="Times New Roman"/>
                <w:sz w:val="20"/>
              </w:rPr>
              <w:t>0,598172</w:t>
            </w:r>
          </w:p>
        </w:tc>
        <w:tc>
          <w:tcPr>
            <w:tcW w:type="dxa" w:w="1701"/>
            <w:tcMar>
              <w:top w:w="60" w:type="dxa"/>
              <w:start w:w="70" w:type="dxa"/>
              <w:bottom w:w="60" w:type="dxa"/>
              <w:end w:w="70" w:type="dxa"/>
            </w:tcMar>
            <w:vAlign w:val="center"/>
          </w:tcPr>
          <w:p>
            <w:pPr>
              <w:jc w:val="center"/>
            </w:pPr>
            <w:r>
              <w:rPr>
                <w:rFonts w:ascii="Times New Roman" w:hAnsi="Times New Roman"/>
                <w:sz w:val="20"/>
              </w:rPr>
              <w:t>0,460266</w:t>
            </w:r>
          </w:p>
        </w:tc>
      </w:tr>
      <w:tr>
        <w:trPr>
          <w:trHeight w:hRule="atLeast"/>
        </w:trPr>
        <w:tc>
          <w:tcPr>
            <w:tcW w:type="dxa" w:w="1587"/>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q_fit</w:t>
            </w:r>
          </w:p>
        </w:tc>
        <w:tc>
          <w:tcPr>
            <w:tcW w:type="dxa" w:w="1361"/>
            <w:tcMar>
              <w:top w:w="60" w:type="dxa"/>
              <w:start w:w="70" w:type="dxa"/>
              <w:bottom w:w="60" w:type="dxa"/>
              <w:end w:w="70" w:type="dxa"/>
            </w:tcMar>
            <w:vAlign w:val="center"/>
          </w:tcPr>
          <w:p>
            <w:pPr>
              <w:jc w:val="center"/>
            </w:pPr>
            <w:r>
              <w:rPr>
                <w:rFonts w:ascii="Times New Roman" w:hAnsi="Times New Roman"/>
                <w:sz w:val="20"/>
              </w:rPr>
              <w:t>0,344288</w:t>
            </w:r>
          </w:p>
        </w:tc>
        <w:tc>
          <w:tcPr>
            <w:tcW w:type="dxa" w:w="1361"/>
            <w:tcMar>
              <w:top w:w="60" w:type="dxa"/>
              <w:start w:w="70" w:type="dxa"/>
              <w:bottom w:w="60" w:type="dxa"/>
              <w:end w:w="70" w:type="dxa"/>
            </w:tcMar>
            <w:vAlign w:val="center"/>
          </w:tcPr>
          <w:p>
            <w:pPr>
              <w:jc w:val="center"/>
            </w:pPr>
            <w:r>
              <w:rPr>
                <w:rFonts w:ascii="Times New Roman" w:hAnsi="Times New Roman"/>
                <w:sz w:val="20"/>
              </w:rPr>
              <w:t>0,388426</w:t>
            </w:r>
          </w:p>
        </w:tc>
        <w:tc>
          <w:tcPr>
            <w:tcW w:type="dxa" w:w="1361"/>
            <w:tcMar>
              <w:top w:w="60" w:type="dxa"/>
              <w:start w:w="70" w:type="dxa"/>
              <w:bottom w:w="60" w:type="dxa"/>
              <w:end w:w="70" w:type="dxa"/>
            </w:tcMar>
            <w:vAlign w:val="center"/>
          </w:tcPr>
          <w:p>
            <w:pPr>
              <w:jc w:val="center"/>
            </w:pPr>
            <w:r>
              <w:rPr>
                <w:rFonts w:ascii="Times New Roman" w:hAnsi="Times New Roman"/>
                <w:sz w:val="20"/>
              </w:rPr>
              <w:t>-0,344288</w:t>
            </w:r>
          </w:p>
        </w:tc>
        <w:tc>
          <w:tcPr>
            <w:tcW w:type="dxa" w:w="1701"/>
            <w:tcMar>
              <w:top w:w="60" w:type="dxa"/>
              <w:start w:w="70" w:type="dxa"/>
              <w:bottom w:w="60" w:type="dxa"/>
              <w:end w:w="70" w:type="dxa"/>
            </w:tcMar>
            <w:vAlign w:val="center"/>
          </w:tcPr>
          <w:p>
            <w:pPr>
              <w:jc w:val="center"/>
            </w:pPr>
            <w:r>
              <w:rPr>
                <w:rFonts w:ascii="Times New Roman" w:hAnsi="Times New Roman"/>
                <w:sz w:val="20"/>
              </w:rPr>
              <w:t>0,873274</w:t>
            </w:r>
          </w:p>
        </w:tc>
        <w:tc>
          <w:tcPr>
            <w:tcW w:type="dxa" w:w="1701"/>
            <w:tcMar>
              <w:top w:w="60" w:type="dxa"/>
              <w:start w:w="70" w:type="dxa"/>
              <w:bottom w:w="60" w:type="dxa"/>
              <w:end w:w="70" w:type="dxa"/>
            </w:tcMar>
            <w:vAlign w:val="center"/>
          </w:tcPr>
          <w:p>
            <w:pPr>
              <w:jc w:val="center"/>
            </w:pPr>
            <w:r>
              <w:rPr>
                <w:rFonts w:ascii="Times New Roman" w:hAnsi="Times New Roman"/>
                <w:sz w:val="20"/>
              </w:rPr>
              <w:t>0,690201</w:t>
            </w:r>
          </w:p>
        </w:tc>
      </w:tr>
    </w:tbl>
    <w:p/>
    <w:p>
      <w:pPr>
        <w:jc w:val="center"/>
      </w:pPr>
      <w:r>
        <w:rPr>
          <w:rFonts w:ascii="Times New Roman" w:hAnsi="Times New Roman" w:eastAsia="Times New Roman"/>
        </w:rPr>
        <w:drawing>
          <wp:inline xmlns:a="http://schemas.openxmlformats.org/drawingml/2006/main" xmlns:pic="http://schemas.openxmlformats.org/drawingml/2006/picture">
            <wp:extent cx="5580000" cy="3331763"/>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580000" cy="3331763"/>
                    </a:xfrm>
                    <a:prstGeom prst="rect"/>
                  </pic:spPr>
                </pic:pic>
              </a:graphicData>
            </a:graphic>
          </wp:inline>
        </w:drawing>
      </w:r>
    </w:p>
    <w:p w:rsidR="15A15A15">
      <w:pPr>
        <w:jc w:val="center"/>
      </w:pPr>
      <w:r>
        <w:rPr>
          <w:rFonts w:ascii="Times New Roman" w:hAnsi="Times New Roman" w:eastAsia="Times New Roman"/>
          <w:sz w:val="24"/>
        </w:rPr>
        <w:t>Рисунок 6.4 – Сравнение точности частных прогнозных критериев</w:t>
      </w:r>
    </w:p>
    <w:p/>
    <w:p>
      <w:pPr>
        <w:spacing w:line="360" w:lineRule="auto" w:before="0" w:after="0"/>
        <w:ind w:firstLine="709"/>
        <w:jc w:val="both"/>
      </w:pPr>
      <w:r>
        <w:rPr>
          <w:rFonts w:ascii="Times New Roman" w:hAnsi="Times New Roman" w:eastAsia="Times New Roman"/>
        </w:rPr>
        <w:t>Средняя MAE по шести частным критериям равна 0,218271. Наименьшая ошибка получена для q_effort, наибольшая — для q_fit. Средний коэффициент Spearman составил 0,694796. Во всех частных оценках выявлено отрицательное смещение, поэтому основной недостаток связан не с потерей порядка сценариев, а с уровнем шкалы прогноза.</w:t>
      </w:r>
    </w:p>
    <w:p>
      <w:pPr>
        <w:spacing w:line="360" w:lineRule="auto" w:before="0" w:after="0"/>
        <w:ind w:firstLine="709"/>
        <w:jc w:val="both"/>
      </w:pPr>
      <w:r>
        <w:rPr>
          <w:rFonts w:ascii="Times New Roman" w:hAnsi="Times New Roman" w:eastAsia="Times New Roman"/>
          <w:b w:val="0"/>
          <w:i w:val="0"/>
          <w:sz w:val="28"/>
        </w:rPr>
        <w:t>Диагностическая интерпретация допускает использование fact_features.csv. Например, ошибка q_acc_pred может сопоставляться с фактическим числом ошибок, q_time_pred — с длительностью, q_rep_pred — с числом повторных проверок. Однако эти признаки используются только для объяснения остатка и не включаются обратно в проверяемый априорный прогноз.</w:t>
      </w:r>
    </w:p>
    <w:p>
      <w:pPr>
        <w:pStyle w:val="Heading1"/>
        <w:keepNext/>
        <w:pageBreakBefore w:val="0"/>
        <w:spacing w:before="240" w:after="120"/>
        <w:jc w:val="left"/>
      </w:pPr>
      <w:r>
        <w:rPr>
          <w:rFonts w:ascii="Times New Roman" w:hAnsi="Times New Roman" w:eastAsia="Times New Roman"/>
          <w:b/>
          <w:i w:val="0"/>
          <w:sz w:val="32"/>
        </w:rPr>
        <w:t>6.6. Проверка классификации уровней качества</w:t>
      </w:r>
    </w:p>
    <w:p>
      <w:pPr>
        <w:spacing w:line="360" w:lineRule="auto" w:before="0" w:after="0"/>
        <w:ind w:firstLine="709"/>
        <w:jc w:val="both"/>
      </w:pPr>
      <w:r>
        <w:rPr>
          <w:rFonts w:ascii="Times New Roman" w:hAnsi="Times New Roman" w:eastAsia="Times New Roman"/>
          <w:b w:val="0"/>
          <w:i w:val="0"/>
          <w:sz w:val="28"/>
        </w:rPr>
        <w:t>Для прикладной интерпретации непрерывные значения качества переводятся в три класса: low, medium и high. Пороговые значения должны полностью совпадать с главой 5: низкий класс соответствует Q &lt; 0,45, средний — 0,45 ≤ Q &lt; 0,70, высокий — Q ≥ 0,70.</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118"/>
        <w:gridCol w:w="3118"/>
        <w:gridCol w:w="3118"/>
      </w:tblGrid>
      <w:tr>
        <w:tc>
          <w:tcPr>
            <w:tcW w:type="dxa" w:w="680"/>
            <w:tcMar>
              <w:top w:w="20" w:type="dxa"/>
              <w:start w:w="0" w:type="dxa"/>
              <w:bottom w:w="20" w:type="dxa"/>
              <w:end w:w="0" w:type="dxa"/>
            </w:tcMar>
          </w:tcPr>
          <w:p/>
        </w:tc>
        <w:tc>
          <w:tcPr>
            <w:tcW w:type="dxa" w:w="7710"/>
            <w:tcMar>
              <w:top w:w="20" w:type="dxa"/>
              <w:start w:w="0" w:type="dxa"/>
              <w:bottom w:w="20" w:type="dxa"/>
              <w:end w:w="0" w:type="dxa"/>
            </w:tcMar>
          </w:tcPr>
          <w:p>
            <w:pPr>
              <w:spacing w:before="80" w:after="80"/>
              <w:jc w:val="center"/>
            </w:pPr>
            <m:oMathPara>
              <m:oMathParaPr>
                <m:jc m:val="center"/>
              </m:oMathParaPr>
              <m:oMath>
                <m:sSub>
                  <m:e>
                    <m:r>
                      <m:t>C</m:t>
                    </m:r>
                  </m:e>
                  <m:sub>
                    <m:r>
                      <m:t>i</m:t>
                    </m:r>
                  </m:sub>
                </m:sSub>
                <m:r>
                  <m:rPr>
                    <m:sty m:val="p"/>
                  </m:rPr>
                  <m:t>∈</m:t>
                </m:r>
                <m:r>
                  <m:rPr>
                    <m:sty m:val="p"/>
                  </m:rPr>
                  <m:t>{low, medium, high}</m:t>
                </m:r>
              </m:oMath>
            </m:oMathPara>
          </w:p>
        </w:tc>
        <w:tc>
          <w:tcPr>
            <w:tcW w:type="dxa" w:w="680"/>
            <w:tcMar>
              <w:top w:w="20" w:type="dxa"/>
              <w:start w:w="0" w:type="dxa"/>
              <w:bottom w:w="20" w:type="dxa"/>
              <w:end w:w="0" w:type="dxa"/>
            </w:tcMar>
          </w:tcPr>
          <w:p>
            <w:pPr>
              <w:spacing w:before="80" w:after="80"/>
              <w:jc w:val="right"/>
            </w:pPr>
            <w:r>
              <w:rPr>
                <w:rFonts w:ascii="Times New Roman" w:hAnsi="Times New Roman" w:eastAsia="Times New Roman"/>
                <w:b w:val="0"/>
                <w:i w:val="0"/>
                <w:sz w:val="20"/>
              </w:rPr>
              <w:t>(6.8)</w:t>
            </w:r>
          </w:p>
        </w:tc>
      </w:tr>
    </w:tbl>
    <w:p>
      <w:pPr>
        <w:keepNext/>
        <w:spacing w:before="120" w:after="60"/>
        <w:jc w:val="center"/>
      </w:pPr>
      <w:r>
        <w:rPr>
          <w:rFonts w:ascii="Times New Roman" w:hAnsi="Times New Roman" w:eastAsia="Times New Roman"/>
          <w:b w:val="0"/>
          <w:i w:val="0"/>
          <w:sz w:val="20"/>
        </w:rPr>
        <w:t>Таблица 6.8 - Описательное распределение прогнозных и фактических классов</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trHeight w:hRule="atLeast"/>
          <w:tblHeader w:val="true"/>
        </w:trPr>
        <w:tc>
          <w:tcPr>
            <w:tcW w:type="dxa" w:w="1701"/>
            <w:shd w:fill="D9E2F3"/>
            <w:tcMar>
              <w:top w:w="60" w:type="dxa"/>
              <w:start w:w="70" w:type="dxa"/>
              <w:bottom w:w="60" w:type="dxa"/>
              <w:end w:w="70" w:type="dxa"/>
            </w:tcMar>
            <w:vAlign w:val="center"/>
          </w:tcPr>
          <w:p>
            <w:pPr>
              <w:spacing w:after="0" w:line="240" w:lineRule="auto"/>
              <w:jc w:val="left"/>
            </w:pPr>
            <w:r>
              <w:rPr>
                <w:rFonts w:ascii="Times New Roman" w:hAnsi="Times New Roman" w:eastAsia="Times New Roman"/>
                <w:b/>
                <w:i w:val="0"/>
                <w:sz w:val="20"/>
              </w:rPr>
              <w:t>Класс</w:t>
            </w:r>
          </w:p>
        </w:tc>
        <w:tc>
          <w:tcPr>
            <w:tcW w:type="dxa" w:w="2268"/>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Прогноз главы 5</w:t>
            </w:r>
          </w:p>
        </w:tc>
        <w:tc>
          <w:tcPr>
            <w:tcW w:type="dxa" w:w="2551"/>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Фактическое качество</w:t>
            </w:r>
          </w:p>
        </w:tc>
        <w:tc>
          <w:tcPr>
            <w:tcW w:type="dxa" w:w="2551"/>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Разность количества</w:t>
            </w:r>
          </w:p>
        </w:tc>
      </w:tr>
      <w:tr>
        <w:trPr>
          <w:trHeight w:hRule="atLeast"/>
        </w:trPr>
        <w:tc>
          <w:tcPr>
            <w:tcW w:type="dxa" w:w="1701"/>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low</w:t>
            </w:r>
          </w:p>
        </w:tc>
        <w:tc>
          <w:tcPr>
            <w:tcW w:type="dxa" w:w="2268"/>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67</w:t>
            </w:r>
          </w:p>
        </w:tc>
        <w:tc>
          <w:tcPr>
            <w:tcW w:type="dxa" w:w="2551"/>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1</w:t>
            </w:r>
          </w:p>
        </w:tc>
        <w:tc>
          <w:tcPr>
            <w:tcW w:type="dxa" w:w="2551"/>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+66</w:t>
            </w:r>
          </w:p>
        </w:tc>
      </w:tr>
      <w:tr>
        <w:trPr>
          <w:trHeight w:hRule="atLeast"/>
        </w:trPr>
        <w:tc>
          <w:tcPr>
            <w:tcW w:type="dxa" w:w="1701"/>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medium</w:t>
            </w:r>
          </w:p>
        </w:tc>
        <w:tc>
          <w:tcPr>
            <w:tcW w:type="dxa" w:w="2268"/>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49</w:t>
            </w:r>
          </w:p>
        </w:tc>
        <w:tc>
          <w:tcPr>
            <w:tcW w:type="dxa" w:w="2551"/>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100</w:t>
            </w:r>
          </w:p>
        </w:tc>
        <w:tc>
          <w:tcPr>
            <w:tcW w:type="dxa" w:w="2551"/>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−51</w:t>
            </w:r>
          </w:p>
        </w:tc>
      </w:tr>
      <w:tr>
        <w:trPr>
          <w:trHeight w:hRule="atLeast"/>
        </w:trPr>
        <w:tc>
          <w:tcPr>
            <w:tcW w:type="dxa" w:w="1701"/>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high</w:t>
            </w:r>
          </w:p>
        </w:tc>
        <w:tc>
          <w:tcPr>
            <w:tcW w:type="dxa" w:w="2268"/>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34</w:t>
            </w:r>
          </w:p>
        </w:tc>
        <w:tc>
          <w:tcPr>
            <w:tcW w:type="dxa" w:w="2551"/>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49</w:t>
            </w:r>
          </w:p>
        </w:tc>
        <w:tc>
          <w:tcPr>
            <w:tcW w:type="dxa" w:w="2551"/>
            <w:tcMar>
              <w:top w:w="60" w:type="dxa"/>
              <w:start w:w="70" w:type="dxa"/>
              <w:bottom w:w="60" w:type="dxa"/>
              <w:end w:w="70" w:type="dxa"/>
            </w:tcMar>
            <w:vAlign w:val="center"/>
          </w:tcPr>
          <w:p>
            <w:pPr>
              <w:spacing w:after="0" w:line="240" w:lineRule="auto"/>
              <w:jc w:val="center"/>
            </w:pPr>
            <w:r>
              <w:rPr>
                <w:rFonts w:ascii="Times New Roman" w:hAnsi="Times New Roman" w:eastAsia="Times New Roman"/>
                <w:b w:val="0"/>
                <w:i w:val="0"/>
                <w:sz w:val="20"/>
              </w:rPr>
              <w:t>−15</w:t>
            </w:r>
          </w:p>
        </w:tc>
      </w:tr>
    </w:tbl>
    <w:p>
      <w:pPr>
        <w:spacing w:line="360" w:lineRule="auto" w:before="0" w:after="0"/>
        <w:ind w:firstLine="709"/>
        <w:jc w:val="both"/>
      </w:pPr>
      <w:r>
        <w:rPr>
          <w:rFonts w:ascii="Times New Roman" w:hAnsi="Times New Roman" w:eastAsia="Times New Roman"/>
        </w:rPr>
        <w:t>Матрица ошибок подтверждает выраженную консервативность классификации: 66 фактических сценариев среднего класса отнесены к low, тогда как критические переходы low→high и high→low отсутствуют.</w:t>
      </w:r>
    </w:p>
    <w:p>
      <w:pPr>
        <w:keepNext/>
        <w:spacing w:before="120" w:after="60"/>
        <w:jc w:val="center"/>
      </w:pPr>
      <w:r>
        <w:rPr>
          <w:rFonts w:ascii="Times New Roman" w:hAnsi="Times New Roman" w:eastAsia="Times New Roman"/>
          <w:b w:val="0"/>
          <w:i w:val="0"/>
          <w:sz w:val="20"/>
        </w:rPr>
        <w:t>Таблица 6.9 - Матрица ошибок классификации качества</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trHeight w:hRule="atLeast"/>
          <w:tblHeader w:val="true"/>
        </w:trPr>
        <w:tc>
          <w:tcPr>
            <w:tcW w:type="dxa" w:w="3402"/>
            <w:shd w:fill="D9E2F3"/>
            <w:tcMar>
              <w:top w:w="60" w:type="dxa"/>
              <w:start w:w="70" w:type="dxa"/>
              <w:bottom w:w="60" w:type="dxa"/>
              <w:end w:w="70" w:type="dxa"/>
            </w:tcMar>
            <w:vAlign w:val="center"/>
          </w:tcPr>
          <w:p>
            <w:pPr>
              <w:spacing w:after="0" w:line="240" w:lineRule="auto"/>
              <w:jc w:val="left"/>
            </w:pPr>
            <w:r>
              <w:rPr>
                <w:rFonts w:ascii="Times New Roman" w:hAnsi="Times New Roman" w:eastAsia="Times New Roman"/>
                <w:b/>
                <w:i w:val="0"/>
                <w:sz w:val="20"/>
              </w:rPr>
              <w:t>Фактический / прогнозный</w:t>
            </w:r>
          </w:p>
        </w:tc>
        <w:tc>
          <w:tcPr>
            <w:tcW w:type="dxa" w:w="1871"/>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low</w:t>
            </w:r>
          </w:p>
        </w:tc>
        <w:tc>
          <w:tcPr>
            <w:tcW w:type="dxa" w:w="1871"/>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medium</w:t>
            </w:r>
          </w:p>
        </w:tc>
        <w:tc>
          <w:tcPr>
            <w:tcW w:type="dxa" w:w="1928"/>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high</w:t>
            </w:r>
          </w:p>
        </w:tc>
      </w:tr>
      <w:tr>
        <w:trPr>
          <w:trHeight w:hRule="atLeast"/>
        </w:trPr>
        <w:tc>
          <w:tcPr>
            <w:tcW w:type="dxa" w:w="3402"/>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low</w:t>
            </w:r>
          </w:p>
        </w:tc>
        <w:tc>
          <w:tcPr>
            <w:tcW w:type="dxa" w:w="1871"/>
            <w:tcMar>
              <w:top w:w="60" w:type="dxa"/>
              <w:start w:w="70" w:type="dxa"/>
              <w:bottom w:w="60" w:type="dxa"/>
              <w:end w:w="70" w:type="dxa"/>
            </w:tcMar>
            <w:vAlign w:val="center"/>
          </w:tcPr>
          <w:p>
            <w:pPr>
              <w:jc w:val="center"/>
            </w:pPr>
            <w:r>
              <w:rPr>
                <w:rFonts w:ascii="Times New Roman" w:hAnsi="Times New Roman"/>
                <w:sz w:val="20"/>
              </w:rPr>
              <w:t>1</w:t>
            </w:r>
          </w:p>
        </w:tc>
        <w:tc>
          <w:tcPr>
            <w:tcW w:type="dxa" w:w="1871"/>
            <w:tcMar>
              <w:top w:w="60" w:type="dxa"/>
              <w:start w:w="70" w:type="dxa"/>
              <w:bottom w:w="60" w:type="dxa"/>
              <w:end w:w="70" w:type="dxa"/>
            </w:tcMar>
            <w:vAlign w:val="center"/>
          </w:tcPr>
          <w:p>
            <w:pPr>
              <w:jc w:val="center"/>
            </w:pPr>
            <w:r>
              <w:rPr>
                <w:rFonts w:ascii="Times New Roman" w:hAnsi="Times New Roman"/>
                <w:sz w:val="20"/>
              </w:rPr>
              <w:t>0</w:t>
            </w:r>
          </w:p>
        </w:tc>
        <w:tc>
          <w:tcPr>
            <w:tcW w:type="dxa" w:w="1928"/>
            <w:tcMar>
              <w:top w:w="60" w:type="dxa"/>
              <w:start w:w="70" w:type="dxa"/>
              <w:bottom w:w="60" w:type="dxa"/>
              <w:end w:w="70" w:type="dxa"/>
            </w:tcMar>
            <w:vAlign w:val="center"/>
          </w:tcPr>
          <w:p>
            <w:pPr>
              <w:jc w:val="center"/>
            </w:pPr>
            <w:r>
              <w:rPr>
                <w:rFonts w:ascii="Times New Roman" w:hAnsi="Times New Roman"/>
                <w:sz w:val="20"/>
              </w:rPr>
              <w:t>0</w:t>
            </w:r>
          </w:p>
        </w:tc>
      </w:tr>
      <w:tr>
        <w:trPr>
          <w:trHeight w:hRule="atLeast"/>
        </w:trPr>
        <w:tc>
          <w:tcPr>
            <w:tcW w:type="dxa" w:w="3402"/>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medium</w:t>
            </w:r>
          </w:p>
        </w:tc>
        <w:tc>
          <w:tcPr>
            <w:tcW w:type="dxa" w:w="1871"/>
            <w:tcMar>
              <w:top w:w="60" w:type="dxa"/>
              <w:start w:w="70" w:type="dxa"/>
              <w:bottom w:w="60" w:type="dxa"/>
              <w:end w:w="70" w:type="dxa"/>
            </w:tcMar>
            <w:vAlign w:val="center"/>
          </w:tcPr>
          <w:p>
            <w:pPr>
              <w:jc w:val="center"/>
            </w:pPr>
            <w:r>
              <w:rPr>
                <w:rFonts w:ascii="Times New Roman" w:hAnsi="Times New Roman"/>
                <w:sz w:val="20"/>
              </w:rPr>
              <w:t>66</w:t>
            </w:r>
          </w:p>
        </w:tc>
        <w:tc>
          <w:tcPr>
            <w:tcW w:type="dxa" w:w="1871"/>
            <w:tcMar>
              <w:top w:w="60" w:type="dxa"/>
              <w:start w:w="70" w:type="dxa"/>
              <w:bottom w:w="60" w:type="dxa"/>
              <w:end w:w="70" w:type="dxa"/>
            </w:tcMar>
            <w:vAlign w:val="center"/>
          </w:tcPr>
          <w:p>
            <w:pPr>
              <w:jc w:val="center"/>
            </w:pPr>
            <w:r>
              <w:rPr>
                <w:rFonts w:ascii="Times New Roman" w:hAnsi="Times New Roman"/>
                <w:sz w:val="20"/>
              </w:rPr>
              <w:t>33</w:t>
            </w:r>
          </w:p>
        </w:tc>
        <w:tc>
          <w:tcPr>
            <w:tcW w:type="dxa" w:w="1928"/>
            <w:tcMar>
              <w:top w:w="60" w:type="dxa"/>
              <w:start w:w="70" w:type="dxa"/>
              <w:bottom w:w="60" w:type="dxa"/>
              <w:end w:w="70" w:type="dxa"/>
            </w:tcMar>
            <w:vAlign w:val="center"/>
          </w:tcPr>
          <w:p>
            <w:pPr>
              <w:jc w:val="center"/>
            </w:pPr>
            <w:r>
              <w:rPr>
                <w:rFonts w:ascii="Times New Roman" w:hAnsi="Times New Roman"/>
                <w:sz w:val="20"/>
              </w:rPr>
              <w:t>1</w:t>
            </w:r>
          </w:p>
        </w:tc>
      </w:tr>
      <w:tr>
        <w:trPr>
          <w:trHeight w:hRule="atLeast"/>
        </w:trPr>
        <w:tc>
          <w:tcPr>
            <w:tcW w:type="dxa" w:w="3402"/>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high</w:t>
            </w:r>
          </w:p>
        </w:tc>
        <w:tc>
          <w:tcPr>
            <w:tcW w:type="dxa" w:w="1871"/>
            <w:tcMar>
              <w:top w:w="60" w:type="dxa"/>
              <w:start w:w="70" w:type="dxa"/>
              <w:bottom w:w="60" w:type="dxa"/>
              <w:end w:w="70" w:type="dxa"/>
            </w:tcMar>
            <w:vAlign w:val="center"/>
          </w:tcPr>
          <w:p>
            <w:pPr>
              <w:jc w:val="center"/>
            </w:pPr>
            <w:r>
              <w:rPr>
                <w:rFonts w:ascii="Times New Roman" w:hAnsi="Times New Roman"/>
                <w:sz w:val="20"/>
              </w:rPr>
              <w:t>0</w:t>
            </w:r>
          </w:p>
        </w:tc>
        <w:tc>
          <w:tcPr>
            <w:tcW w:type="dxa" w:w="1871"/>
            <w:tcMar>
              <w:top w:w="60" w:type="dxa"/>
              <w:start w:w="70" w:type="dxa"/>
              <w:bottom w:w="60" w:type="dxa"/>
              <w:end w:w="70" w:type="dxa"/>
            </w:tcMar>
            <w:vAlign w:val="center"/>
          </w:tcPr>
          <w:p>
            <w:pPr>
              <w:jc w:val="center"/>
            </w:pPr>
            <w:r>
              <w:rPr>
                <w:rFonts w:ascii="Times New Roman" w:hAnsi="Times New Roman"/>
                <w:sz w:val="20"/>
              </w:rPr>
              <w:t>16</w:t>
            </w:r>
          </w:p>
        </w:tc>
        <w:tc>
          <w:tcPr>
            <w:tcW w:type="dxa" w:w="1928"/>
            <w:tcMar>
              <w:top w:w="60" w:type="dxa"/>
              <w:start w:w="70" w:type="dxa"/>
              <w:bottom w:w="60" w:type="dxa"/>
              <w:end w:w="70" w:type="dxa"/>
            </w:tcMar>
            <w:vAlign w:val="center"/>
          </w:tcPr>
          <w:p>
            <w:pPr>
              <w:jc w:val="center"/>
            </w:pPr>
            <w:r>
              <w:rPr>
                <w:rFonts w:ascii="Times New Roman" w:hAnsi="Times New Roman"/>
                <w:sz w:val="20"/>
              </w:rPr>
              <w:t>33</w:t>
            </w:r>
          </w:p>
        </w:tc>
      </w:tr>
    </w:tbl>
    <w:p>
      <w:pPr>
        <w:keepNext/>
        <w:spacing w:before="120" w:after="60"/>
        <w:jc w:val="center"/>
      </w:pPr>
      <w:r>
        <w:rPr>
          <w:rFonts w:ascii="Times New Roman" w:hAnsi="Times New Roman" w:eastAsia="Times New Roman"/>
          <w:b w:val="0"/>
          <w:i w:val="0"/>
          <w:sz w:val="20"/>
        </w:rPr>
        <w:t>Таблица 6.10 - Метрики классификационной проверки</w:t>
      </w:r>
    </w:p>
    <w:tbl>
      <w:tblPr>
        <w:tblStyle w:val="TableGrid"/>
        <w:tblW w:type="auto" w:w="0"/>
        <w:jc w:val="center"/>
        <w:tblLayout w:type="fixed"/>
        <w:tblLook w:firstColumn="1" w:firstRow="1" w:lastColumn="0" w:lastRow="0" w:noHBand="0" w:noVBand="1" w:val="04A0"/>
      </w:tblPr>
      <w:tblGrid>
        <w:gridCol w:w="3118"/>
        <w:gridCol w:w="3118"/>
        <w:gridCol w:w="3118"/>
      </w:tblGrid>
      <w:tr>
        <w:trPr>
          <w:trHeight w:hRule="atLeast"/>
          <w:tblHeader w:val="true"/>
        </w:trPr>
        <w:tc>
          <w:tcPr>
            <w:tcW w:type="dxa" w:w="2835"/>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Метрика</w:t>
            </w:r>
          </w:p>
        </w:tc>
        <w:tc>
          <w:tcPr>
            <w:tcW w:type="dxa" w:w="2268"/>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Значение</w:t>
            </w:r>
          </w:p>
        </w:tc>
        <w:tc>
          <w:tcPr>
            <w:tcW w:type="dxa" w:w="3969"/>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Назначение</w:t>
            </w:r>
          </w:p>
        </w:tc>
      </w:tr>
      <w:tr>
        <w:trPr>
          <w:trHeight w:hRule="atLeast"/>
        </w:trPr>
        <w:tc>
          <w:tcPr>
            <w:tcW w:type="dxa" w:w="283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Accuracy</w:t>
            </w:r>
          </w:p>
        </w:tc>
        <w:tc>
          <w:tcPr>
            <w:tcW w:type="dxa" w:w="2268"/>
            <w:tcMar>
              <w:top w:w="60" w:type="dxa"/>
              <w:start w:w="70" w:type="dxa"/>
              <w:bottom w:w="60" w:type="dxa"/>
              <w:end w:w="70" w:type="dxa"/>
            </w:tcMar>
            <w:vAlign w:val="center"/>
          </w:tcPr>
          <w:p>
            <w:pPr>
              <w:jc w:val="center"/>
            </w:pPr>
            <w:r>
              <w:rPr>
                <w:rFonts w:ascii="Times New Roman" w:hAnsi="Times New Roman"/>
                <w:sz w:val="20"/>
              </w:rPr>
              <w:t>0,446667</w:t>
            </w:r>
          </w:p>
        </w:tc>
        <w:tc>
          <w:tcPr>
            <w:tcW w:type="dxa" w:w="39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Общая доля правильных классов</w:t>
            </w:r>
          </w:p>
        </w:tc>
      </w:tr>
      <w:tr>
        <w:trPr>
          <w:trHeight w:hRule="atLeast"/>
        </w:trPr>
        <w:tc>
          <w:tcPr>
            <w:tcW w:type="dxa" w:w="283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Balanced Accuracy</w:t>
            </w:r>
          </w:p>
        </w:tc>
        <w:tc>
          <w:tcPr>
            <w:tcW w:type="dxa" w:w="2268"/>
            <w:tcMar>
              <w:top w:w="60" w:type="dxa"/>
              <w:start w:w="70" w:type="dxa"/>
              <w:bottom w:w="60" w:type="dxa"/>
              <w:end w:w="70" w:type="dxa"/>
            </w:tcMar>
            <w:vAlign w:val="center"/>
          </w:tcPr>
          <w:p>
            <w:pPr>
              <w:jc w:val="center"/>
            </w:pPr>
            <w:r>
              <w:rPr>
                <w:rFonts w:ascii="Times New Roman" w:hAnsi="Times New Roman"/>
                <w:sz w:val="20"/>
              </w:rPr>
              <w:t>0,667823</w:t>
            </w:r>
          </w:p>
        </w:tc>
        <w:tc>
          <w:tcPr>
            <w:tcW w:type="dxa" w:w="39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Средняя полнота по классам при дисбалансе</w:t>
            </w:r>
          </w:p>
        </w:tc>
      </w:tr>
      <w:tr>
        <w:trPr>
          <w:trHeight w:hRule="atLeast"/>
        </w:trPr>
        <w:tc>
          <w:tcPr>
            <w:tcW w:type="dxa" w:w="283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Macro F1</w:t>
            </w:r>
          </w:p>
        </w:tc>
        <w:tc>
          <w:tcPr>
            <w:tcW w:type="dxa" w:w="2268"/>
            <w:tcMar>
              <w:top w:w="60" w:type="dxa"/>
              <w:start w:w="70" w:type="dxa"/>
              <w:bottom w:w="60" w:type="dxa"/>
              <w:end w:w="70" w:type="dxa"/>
            </w:tcMar>
            <w:vAlign w:val="center"/>
          </w:tcPr>
          <w:p>
            <w:pPr>
              <w:jc w:val="center"/>
            </w:pPr>
            <w:r>
              <w:rPr>
                <w:rFonts w:ascii="Times New Roman" w:hAnsi="Times New Roman"/>
                <w:sz w:val="20"/>
              </w:rPr>
              <w:t>0,422515</w:t>
            </w:r>
          </w:p>
        </w:tc>
        <w:tc>
          <w:tcPr>
            <w:tcW w:type="dxa" w:w="39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Равновесная оценка качества по классам</w:t>
            </w:r>
          </w:p>
        </w:tc>
      </w:tr>
      <w:tr>
        <w:trPr>
          <w:trHeight w:hRule="atLeast"/>
        </w:trPr>
        <w:tc>
          <w:tcPr>
            <w:tcW w:type="dxa" w:w="283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Precision low / medium / high</w:t>
            </w:r>
          </w:p>
        </w:tc>
        <w:tc>
          <w:tcPr>
            <w:tcW w:type="dxa" w:w="2268"/>
            <w:tcMar>
              <w:top w:w="60" w:type="dxa"/>
              <w:start w:w="70" w:type="dxa"/>
              <w:bottom w:w="60" w:type="dxa"/>
              <w:end w:w="70" w:type="dxa"/>
            </w:tcMar>
            <w:vAlign w:val="center"/>
          </w:tcPr>
          <w:p>
            <w:pPr>
              <w:jc w:val="center"/>
            </w:pPr>
            <w:r>
              <w:rPr>
                <w:rFonts w:ascii="Times New Roman" w:hAnsi="Times New Roman"/>
                <w:sz w:val="20"/>
              </w:rPr>
              <w:t>0,014925 / 0,673469 / 0,970588</w:t>
            </w:r>
          </w:p>
        </w:tc>
        <w:tc>
          <w:tcPr>
            <w:tcW w:type="dxa" w:w="39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Чистота прогнозов каждого класса</w:t>
            </w:r>
          </w:p>
        </w:tc>
      </w:tr>
      <w:tr>
        <w:trPr>
          <w:trHeight w:hRule="atLeast"/>
        </w:trPr>
        <w:tc>
          <w:tcPr>
            <w:tcW w:type="dxa" w:w="283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Recall low / medium / high</w:t>
            </w:r>
          </w:p>
        </w:tc>
        <w:tc>
          <w:tcPr>
            <w:tcW w:type="dxa" w:w="2268"/>
            <w:tcMar>
              <w:top w:w="60" w:type="dxa"/>
              <w:start w:w="70" w:type="dxa"/>
              <w:bottom w:w="60" w:type="dxa"/>
              <w:end w:w="70" w:type="dxa"/>
            </w:tcMar>
            <w:vAlign w:val="center"/>
          </w:tcPr>
          <w:p>
            <w:pPr>
              <w:jc w:val="center"/>
            </w:pPr>
            <w:r>
              <w:rPr>
                <w:rFonts w:ascii="Times New Roman" w:hAnsi="Times New Roman"/>
                <w:sz w:val="20"/>
              </w:rPr>
              <w:t>1,000000 / 0,330000 / 0,673469</w:t>
            </w:r>
          </w:p>
        </w:tc>
        <w:tc>
          <w:tcPr>
            <w:tcW w:type="dxa" w:w="39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Полнота обнаружения каждого класса</w:t>
            </w:r>
          </w:p>
        </w:tc>
      </w:tr>
      <w:tr>
        <w:trPr>
          <w:trHeight w:hRule="atLeast"/>
        </w:trPr>
        <w:tc>
          <w:tcPr>
            <w:tcW w:type="dxa" w:w="283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Критичные ошибки low→high</w:t>
            </w:r>
          </w:p>
        </w:tc>
        <w:tc>
          <w:tcPr>
            <w:tcW w:type="dxa" w:w="2268"/>
            <w:tcMar>
              <w:top w:w="60" w:type="dxa"/>
              <w:start w:w="70" w:type="dxa"/>
              <w:bottom w:w="60" w:type="dxa"/>
              <w:end w:w="70" w:type="dxa"/>
            </w:tcMar>
            <w:vAlign w:val="center"/>
          </w:tcPr>
          <w:p>
            <w:pPr>
              <w:jc w:val="center"/>
            </w:pPr>
            <w:r>
              <w:rPr>
                <w:rFonts w:ascii="Times New Roman" w:hAnsi="Times New Roman"/>
                <w:sz w:val="20"/>
              </w:rPr>
              <w:t>0</w:t>
            </w:r>
          </w:p>
        </w:tc>
        <w:tc>
          <w:tcPr>
            <w:tcW w:type="dxa" w:w="39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Опасное завышение качества</w:t>
            </w:r>
          </w:p>
        </w:tc>
      </w:tr>
      <w:tr>
        <w:trPr>
          <w:trHeight w:hRule="atLeast"/>
        </w:trPr>
        <w:tc>
          <w:tcPr>
            <w:tcW w:type="dxa" w:w="283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Критичные ошибки high→low</w:t>
            </w:r>
          </w:p>
        </w:tc>
        <w:tc>
          <w:tcPr>
            <w:tcW w:type="dxa" w:w="2268"/>
            <w:tcMar>
              <w:top w:w="60" w:type="dxa"/>
              <w:start w:w="70" w:type="dxa"/>
              <w:bottom w:w="60" w:type="dxa"/>
              <w:end w:w="70" w:type="dxa"/>
            </w:tcMar>
            <w:vAlign w:val="center"/>
          </w:tcPr>
          <w:p>
            <w:pPr>
              <w:jc w:val="center"/>
            </w:pPr>
            <w:r>
              <w:rPr>
                <w:rFonts w:ascii="Times New Roman" w:hAnsi="Times New Roman"/>
                <w:sz w:val="20"/>
              </w:rPr>
              <w:t>0</w:t>
            </w:r>
          </w:p>
        </w:tc>
        <w:tc>
          <w:tcPr>
            <w:tcW w:type="dxa" w:w="39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Сильное занижение качества</w:t>
            </w:r>
          </w:p>
        </w:tc>
      </w:tr>
    </w:tbl>
    <w:p/>
    <w:p>
      <w:pPr>
        <w:jc w:val="center"/>
      </w:pPr>
      <w:r>
        <w:rPr>
          <w:rFonts w:ascii="Times New Roman" w:hAnsi="Times New Roman" w:eastAsia="Times New Roman"/>
        </w:rPr>
        <w:drawing>
          <wp:inline xmlns:a="http://schemas.openxmlformats.org/drawingml/2006/main" xmlns:pic="http://schemas.openxmlformats.org/drawingml/2006/picture">
            <wp:extent cx="5580000" cy="4560597"/>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580000" cy="4560597"/>
                    </a:xfrm>
                    <a:prstGeom prst="rect"/>
                  </pic:spPr>
                </pic:pic>
              </a:graphicData>
            </a:graphic>
          </wp:inline>
        </w:drawing>
      </w:r>
    </w:p>
    <w:p w:rsidR="15A15A15">
      <w:pPr>
        <w:jc w:val="center"/>
      </w:pPr>
      <w:r>
        <w:rPr>
          <w:rFonts w:ascii="Times New Roman" w:hAnsi="Times New Roman" w:eastAsia="Times New Roman"/>
          <w:sz w:val="24"/>
        </w:rPr>
        <w:t>Рисунок 6.5 – Матрица ошибок классификации уровней качества</w:t>
      </w:r>
    </w:p>
    <w:p/>
    <w:p>
      <w:pPr>
        <w:spacing w:line="360" w:lineRule="auto" w:before="0" w:after="0"/>
        <w:ind w:firstLine="709"/>
        <w:jc w:val="both"/>
      </w:pPr>
      <w:r>
        <w:rPr>
          <w:rFonts w:ascii="Times New Roman" w:hAnsi="Times New Roman" w:eastAsia="Times New Roman"/>
        </w:rPr>
        <w:t>Accuracy составила 0,446667, Balanced Accuracy — 0,667823, Macro F1 — 0,422515. Число критических ошибок равно 0. Результат пригоден для предварительного ранжирования и консервативного отбора, но не подтверждает сбалансированную классификацию всех трех уровней.</w:t>
      </w:r>
    </w:p>
    <w:p>
      <w:pPr>
        <w:pStyle w:val="Heading1"/>
        <w:keepNext/>
        <w:pageBreakBefore w:val="0"/>
        <w:spacing w:before="240" w:after="120"/>
        <w:jc w:val="left"/>
      </w:pPr>
      <w:r>
        <w:rPr>
          <w:rFonts w:ascii="Times New Roman" w:hAnsi="Times New Roman" w:eastAsia="Times New Roman"/>
          <w:b/>
          <w:i w:val="0"/>
          <w:sz w:val="32"/>
        </w:rPr>
        <w:t>6.7. Проверка интервального прогноза</w:t>
      </w:r>
    </w:p>
    <w:p>
      <w:pPr>
        <w:spacing w:line="360" w:lineRule="auto" w:before="0" w:after="0"/>
        <w:ind w:firstLine="709"/>
        <w:jc w:val="both"/>
      </w:pPr>
      <w:r>
        <w:rPr>
          <w:rFonts w:ascii="Times New Roman" w:hAnsi="Times New Roman" w:eastAsia="Times New Roman"/>
          <w:b w:val="0"/>
          <w:i w:val="0"/>
          <w:sz w:val="28"/>
        </w:rPr>
        <w:t>В главе 5 для каждого сценария сформирован интервал [q_pred_lower; q_pred_upper], радиус которого зависит от энтропии латентного профиля, устойчивости LDA-факторов и полноты входных априорных данных. Внешняя проверка должна установить, насколько часто фактическое качество находится внутри заявленного интервала и какой ценой по ширине достигается это покрытие.</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118"/>
        <w:gridCol w:w="3118"/>
        <w:gridCol w:w="3118"/>
      </w:tblGrid>
      <w:tr>
        <w:tc>
          <w:tcPr>
            <w:tcW w:type="dxa" w:w="680"/>
            <w:tcMar>
              <w:top w:w="20" w:type="dxa"/>
              <w:start w:w="0" w:type="dxa"/>
              <w:bottom w:w="20" w:type="dxa"/>
              <w:end w:w="0" w:type="dxa"/>
            </w:tcMar>
          </w:tcPr>
          <w:p/>
        </w:tc>
        <w:tc>
          <w:tcPr>
            <w:tcW w:type="dxa" w:w="7710"/>
            <w:tcMar>
              <w:top w:w="20" w:type="dxa"/>
              <w:start w:w="0" w:type="dxa"/>
              <w:bottom w:w="20" w:type="dxa"/>
              <w:end w:w="0" w:type="dxa"/>
            </w:tcMar>
          </w:tcPr>
          <w:p>
            <w:pPr>
              <w:spacing w:before="80" w:after="80"/>
              <w:jc w:val="center"/>
            </w:pPr>
            <m:oMathPara>
              <m:oMathParaPr>
                <m:jc m:val="center"/>
              </m:oMathParaPr>
              <m:oMath>
                <m:sSub>
                  <m:e>
                    <m:r>
                      <m:t>q</m:t>
                    </m:r>
                  </m:e>
                  <m:sub>
                    <m:r>
                      <m:rPr>
                        <m:sty m:val="p"/>
                      </m:rPr>
                      <m:t>pred,lower</m:t>
                    </m:r>
                    <m:r>
                      <m:rPr>
                        <m:sty m:val="p"/>
                      </m:rPr>
                      <m:t>,</m:t>
                    </m:r>
                    <m:r>
                      <m:t>i</m:t>
                    </m:r>
                  </m:sub>
                </m:sSub>
                <m:r>
                  <m:rPr>
                    <m:sty m:val="p"/>
                  </m:rPr>
                  <m:t>≤</m:t>
                </m:r>
                <m:sSub>
                  <m:e>
                    <m:r>
                      <m:t>Q</m:t>
                    </m:r>
                  </m:e>
                  <m:sub>
                    <m:r>
                      <m:rPr>
                        <m:sty m:val="p"/>
                      </m:rPr>
                      <m:t>fact</m:t>
                    </m:r>
                    <m:r>
                      <m:rPr>
                        <m:sty m:val="p"/>
                      </m:rPr>
                      <m:t>,</m:t>
                    </m:r>
                    <m:r>
                      <m:t>i</m:t>
                    </m:r>
                  </m:sub>
                </m:sSub>
                <m:r>
                  <m:rPr>
                    <m:sty m:val="p"/>
                  </m:rPr>
                  <m:t>≤</m:t>
                </m:r>
                <m:sSub>
                  <m:e>
                    <m:r>
                      <m:t>q</m:t>
                    </m:r>
                  </m:e>
                  <m:sub>
                    <m:r>
                      <m:rPr>
                        <m:sty m:val="p"/>
                      </m:rPr>
                      <m:t>pred,upper</m:t>
                    </m:r>
                    <m:r>
                      <m:rPr>
                        <m:sty m:val="p"/>
                      </m:rPr>
                      <m:t>,</m:t>
                    </m:r>
                    <m:r>
                      <m:t>i</m:t>
                    </m:r>
                  </m:sub>
                </m:sSub>
              </m:oMath>
            </m:oMathPara>
          </w:p>
        </w:tc>
        <w:tc>
          <w:tcPr>
            <w:tcW w:type="dxa" w:w="680"/>
            <w:tcMar>
              <w:top w:w="20" w:type="dxa"/>
              <w:start w:w="0" w:type="dxa"/>
              <w:bottom w:w="20" w:type="dxa"/>
              <w:end w:w="0" w:type="dxa"/>
            </w:tcMar>
          </w:tcPr>
          <w:p>
            <w:pPr>
              <w:spacing w:before="80" w:after="80"/>
              <w:jc w:val="right"/>
            </w:pPr>
            <w:r>
              <w:rPr>
                <w:rFonts w:ascii="Times New Roman" w:hAnsi="Times New Roman" w:eastAsia="Times New Roman"/>
                <w:b w:val="0"/>
                <w:i w:val="0"/>
                <w:sz w:val="20"/>
              </w:rPr>
              <w:t>(6.9)</w:t>
            </w:r>
          </w:p>
        </w:tc>
      </w:tr>
    </w:tbl>
    <w:p>
      <w:pPr>
        <w:spacing w:line="360" w:lineRule="auto" w:before="0" w:after="0"/>
        <w:ind w:firstLine="709"/>
        <w:jc w:val="both"/>
      </w:pPr>
      <w:r>
        <w:rPr>
          <w:rFonts w:ascii="Times New Roman" w:hAnsi="Times New Roman" w:eastAsia="Times New Roman"/>
          <w:b w:val="0"/>
          <w:i w:val="0"/>
          <w:sz w:val="28"/>
        </w:rPr>
        <w:t>Доля покрытых сценариев определяется как: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118"/>
        <w:gridCol w:w="3118"/>
        <w:gridCol w:w="3118"/>
      </w:tblGrid>
      <w:tr>
        <w:tc>
          <w:tcPr>
            <w:tcW w:type="dxa" w:w="680"/>
            <w:tcMar>
              <w:top w:w="20" w:type="dxa"/>
              <w:start w:w="0" w:type="dxa"/>
              <w:bottom w:w="20" w:type="dxa"/>
              <w:end w:w="0" w:type="dxa"/>
            </w:tcMar>
          </w:tcPr>
          <w:p/>
        </w:tc>
        <w:tc>
          <w:tcPr>
            <w:tcW w:type="dxa" w:w="7710"/>
            <w:tcMar>
              <w:top w:w="20" w:type="dxa"/>
              <w:start w:w="0" w:type="dxa"/>
              <w:bottom w:w="20" w:type="dxa"/>
              <w:end w:w="0" w:type="dxa"/>
            </w:tcMar>
          </w:tcPr>
          <w:p>
            <w:pPr>
              <w:spacing w:before="80" w:after="80"/>
              <w:jc w:val="center"/>
            </w:pPr>
            <m:oMathPara>
              <m:oMathParaPr>
                <m:jc m:val="center"/>
              </m:oMathParaPr>
              <m:oMath>
                <m:r>
                  <m:rPr>
                    <m:sty m:val="p"/>
                  </m:rPr>
                  <m:t>coverage_rate</m:t>
                </m:r>
                <m:r>
                  <m:rPr>
                    <m:sty m:val="p"/>
                  </m:rPr>
                  <m:t>=</m:t>
                </m:r>
                <m:f>
                  <m:num>
                    <m:sSub>
                      <m:e>
                        <m:r>
                          <m:t>N</m:t>
                        </m:r>
                      </m:e>
                      <m:sub>
                        <m:r>
                          <m:rPr>
                            <m:sty m:val="p"/>
                          </m:rPr>
                          <m:t>hit</m:t>
                        </m:r>
                      </m:sub>
                    </m:sSub>
                  </m:num>
                  <m:den>
                    <m:r>
                      <m:t>N</m:t>
                    </m:r>
                  </m:den>
                </m:f>
              </m:oMath>
            </m:oMathPara>
          </w:p>
        </w:tc>
        <w:tc>
          <w:tcPr>
            <w:tcW w:type="dxa" w:w="680"/>
            <w:tcMar>
              <w:top w:w="20" w:type="dxa"/>
              <w:start w:w="0" w:type="dxa"/>
              <w:bottom w:w="20" w:type="dxa"/>
              <w:end w:w="0" w:type="dxa"/>
            </w:tcMar>
          </w:tcPr>
          <w:p>
            <w:pPr>
              <w:spacing w:before="80" w:after="80"/>
              <w:jc w:val="right"/>
            </w:pPr>
            <w:r>
              <w:rPr>
                <w:rFonts w:ascii="Times New Roman" w:hAnsi="Times New Roman" w:eastAsia="Times New Roman"/>
                <w:b w:val="0"/>
                <w:i w:val="0"/>
                <w:sz w:val="20"/>
              </w:rPr>
              <w:t>(6.10)</w:t>
            </w:r>
          </w:p>
        </w:tc>
      </w:tr>
    </w:tbl>
    <w:p>
      <w:pPr>
        <w:spacing w:line="360" w:lineRule="auto" w:before="0" w:after="0"/>
        <w:ind w:firstLine="709"/>
        <w:jc w:val="both"/>
      </w:pPr>
      <w:r>
        <w:rPr>
          <w:rFonts w:ascii="Times New Roman" w:hAnsi="Times New Roman" w:eastAsia="Times New Roman"/>
          <w:b w:val="0"/>
          <w:i w:val="0"/>
          <w:sz w:val="28"/>
        </w:rPr>
        <w:t>где N_hit — число сценариев, для которых фактическое качество попало в прогнозный интервал. Дополнительно рассчитываются средняя ширина интервала, число промахов ниже нижней границы и выше верхней границы, а также зависимость попадания от uncertainty_score.</w:t>
      </w:r>
    </w:p>
    <w:p>
      <w:pPr>
        <w:keepNext/>
        <w:spacing w:before="120" w:after="60"/>
        <w:jc w:val="center"/>
      </w:pPr>
      <w:r>
        <w:rPr>
          <w:rFonts w:ascii="Times New Roman" w:hAnsi="Times New Roman" w:eastAsia="Times New Roman"/>
          <w:b w:val="0"/>
          <w:i w:val="0"/>
          <w:sz w:val="20"/>
        </w:rPr>
        <w:t>Таблица 6.11 - Проверка интервального прогноза</w:t>
      </w:r>
    </w:p>
    <w:tbl>
      <w:tblPr>
        <w:tblStyle w:val="TableGrid"/>
        <w:tblW w:type="auto" w:w="0"/>
        <w:jc w:val="center"/>
        <w:tblLayout w:type="fixed"/>
        <w:tblLook w:firstColumn="1" w:firstRow="1" w:lastColumn="0" w:lastRow="0" w:noHBand="0" w:noVBand="1" w:val="04A0"/>
      </w:tblPr>
      <w:tblGrid>
        <w:gridCol w:w="4677"/>
        <w:gridCol w:w="4677"/>
      </w:tblGrid>
      <w:tr>
        <w:trPr>
          <w:trHeight w:hRule="atLeast"/>
          <w:tblHeader w:val="true"/>
        </w:trPr>
        <w:tc>
          <w:tcPr>
            <w:tcW w:type="dxa" w:w="5669"/>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Показатель</w:t>
            </w:r>
          </w:p>
        </w:tc>
        <w:tc>
          <w:tcPr>
            <w:tcW w:type="dxa" w:w="3402"/>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Значение</w:t>
            </w:r>
          </w:p>
        </w:tc>
      </w:tr>
      <w:tr>
        <w:trPr>
          <w:trHeight w:hRule="atLeast"/>
        </w:trPr>
        <w:tc>
          <w:tcPr>
            <w:tcW w:type="dxa" w:w="56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Средний uncertainty_score</w:t>
            </w:r>
          </w:p>
        </w:tc>
        <w:tc>
          <w:tcPr>
            <w:tcW w:type="dxa" w:w="3402"/>
            <w:tcMar>
              <w:top w:w="60" w:type="dxa"/>
              <w:start w:w="70" w:type="dxa"/>
              <w:bottom w:w="60" w:type="dxa"/>
              <w:end w:w="70" w:type="dxa"/>
            </w:tcMar>
            <w:vAlign w:val="center"/>
          </w:tcPr>
          <w:p>
            <w:pPr>
              <w:jc w:val="center"/>
            </w:pPr>
            <w:r>
              <w:rPr>
                <w:rFonts w:ascii="Times New Roman" w:hAnsi="Times New Roman"/>
                <w:sz w:val="20"/>
              </w:rPr>
              <w:t>0,280611</w:t>
            </w:r>
          </w:p>
        </w:tc>
      </w:tr>
      <w:tr>
        <w:trPr>
          <w:trHeight w:hRule="atLeast"/>
        </w:trPr>
        <w:tc>
          <w:tcPr>
            <w:tcW w:type="dxa" w:w="56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Средний радиус интервала</w:t>
            </w:r>
          </w:p>
        </w:tc>
        <w:tc>
          <w:tcPr>
            <w:tcW w:type="dxa" w:w="3402"/>
            <w:tcMar>
              <w:top w:w="60" w:type="dxa"/>
              <w:start w:w="70" w:type="dxa"/>
              <w:bottom w:w="60" w:type="dxa"/>
              <w:end w:w="70" w:type="dxa"/>
            </w:tcMar>
            <w:vAlign w:val="center"/>
          </w:tcPr>
          <w:p>
            <w:pPr>
              <w:jc w:val="center"/>
            </w:pPr>
            <w:r>
              <w:rPr>
                <w:rFonts w:ascii="Times New Roman" w:hAnsi="Times New Roman"/>
                <w:sz w:val="20"/>
              </w:rPr>
              <w:t>0,042092</w:t>
            </w:r>
          </w:p>
        </w:tc>
      </w:tr>
      <w:tr>
        <w:trPr>
          <w:trHeight w:hRule="atLeast"/>
        </w:trPr>
        <w:tc>
          <w:tcPr>
            <w:tcW w:type="dxa" w:w="56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Средняя ширина интервала до учета обрезки [0; 1]</w:t>
            </w:r>
          </w:p>
        </w:tc>
        <w:tc>
          <w:tcPr>
            <w:tcW w:type="dxa" w:w="3402"/>
            <w:tcMar>
              <w:top w:w="60" w:type="dxa"/>
              <w:start w:w="70" w:type="dxa"/>
              <w:bottom w:w="60" w:type="dxa"/>
              <w:end w:w="70" w:type="dxa"/>
            </w:tcMar>
            <w:vAlign w:val="center"/>
          </w:tcPr>
          <w:p>
            <w:pPr>
              <w:jc w:val="center"/>
            </w:pPr>
            <w:r>
              <w:rPr>
                <w:rFonts w:ascii="Times New Roman" w:hAnsi="Times New Roman"/>
                <w:sz w:val="20"/>
              </w:rPr>
              <w:t>0,084183</w:t>
            </w:r>
          </w:p>
        </w:tc>
      </w:tr>
      <w:tr>
        <w:trPr>
          <w:trHeight w:hRule="atLeast"/>
        </w:trPr>
        <w:tc>
          <w:tcPr>
            <w:tcW w:type="dxa" w:w="56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coverage_rate</w:t>
            </w:r>
          </w:p>
        </w:tc>
        <w:tc>
          <w:tcPr>
            <w:tcW w:type="dxa" w:w="3402"/>
            <w:tcMar>
              <w:top w:w="60" w:type="dxa"/>
              <w:start w:w="70" w:type="dxa"/>
              <w:bottom w:w="60" w:type="dxa"/>
              <w:end w:w="70" w:type="dxa"/>
            </w:tcMar>
            <w:vAlign w:val="center"/>
          </w:tcPr>
          <w:p>
            <w:pPr>
              <w:jc w:val="center"/>
            </w:pPr>
            <w:r>
              <w:rPr>
                <w:rFonts w:ascii="Times New Roman" w:hAnsi="Times New Roman"/>
                <w:sz w:val="20"/>
              </w:rPr>
              <w:t>0,186667</w:t>
            </w:r>
          </w:p>
        </w:tc>
      </w:tr>
      <w:tr>
        <w:trPr>
          <w:trHeight w:hRule="atLeast"/>
        </w:trPr>
        <w:tc>
          <w:tcPr>
            <w:tcW w:type="dxa" w:w="56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miss_lower_count</w:t>
            </w:r>
          </w:p>
        </w:tc>
        <w:tc>
          <w:tcPr>
            <w:tcW w:type="dxa" w:w="3402"/>
            <w:tcMar>
              <w:top w:w="60" w:type="dxa"/>
              <w:start w:w="70" w:type="dxa"/>
              <w:bottom w:w="60" w:type="dxa"/>
              <w:end w:w="70" w:type="dxa"/>
            </w:tcMar>
            <w:vAlign w:val="center"/>
          </w:tcPr>
          <w:p>
            <w:pPr>
              <w:jc w:val="center"/>
            </w:pPr>
            <w:r>
              <w:rPr>
                <w:rFonts w:ascii="Times New Roman" w:hAnsi="Times New Roman"/>
                <w:sz w:val="20"/>
              </w:rPr>
              <w:t>11</w:t>
            </w:r>
          </w:p>
        </w:tc>
      </w:tr>
      <w:tr>
        <w:trPr>
          <w:trHeight w:hRule="atLeast"/>
        </w:trPr>
        <w:tc>
          <w:tcPr>
            <w:tcW w:type="dxa" w:w="56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miss_upper_count</w:t>
            </w:r>
          </w:p>
        </w:tc>
        <w:tc>
          <w:tcPr>
            <w:tcW w:type="dxa" w:w="3402"/>
            <w:tcMar>
              <w:top w:w="60" w:type="dxa"/>
              <w:start w:w="70" w:type="dxa"/>
              <w:bottom w:w="60" w:type="dxa"/>
              <w:end w:w="70" w:type="dxa"/>
            </w:tcMar>
            <w:vAlign w:val="center"/>
          </w:tcPr>
          <w:p>
            <w:pPr>
              <w:jc w:val="center"/>
            </w:pPr>
            <w:r>
              <w:rPr>
                <w:rFonts w:ascii="Times New Roman" w:hAnsi="Times New Roman"/>
                <w:sz w:val="20"/>
              </w:rPr>
              <w:t>111</w:t>
            </w:r>
          </w:p>
        </w:tc>
      </w:tr>
      <w:tr>
        <w:trPr>
          <w:trHeight w:hRule="atLeast"/>
        </w:trPr>
        <w:tc>
          <w:tcPr>
            <w:tcW w:type="dxa" w:w="56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Покрытие по классам low / medium / high</w:t>
            </w:r>
          </w:p>
        </w:tc>
        <w:tc>
          <w:tcPr>
            <w:tcW w:type="dxa" w:w="3402"/>
            <w:tcMar>
              <w:top w:w="60" w:type="dxa"/>
              <w:start w:w="70" w:type="dxa"/>
              <w:bottom w:w="60" w:type="dxa"/>
              <w:end w:w="70" w:type="dxa"/>
            </w:tcMar>
            <w:vAlign w:val="center"/>
          </w:tcPr>
          <w:p>
            <w:pPr>
              <w:jc w:val="center"/>
            </w:pPr>
            <w:r>
              <w:rPr>
                <w:rFonts w:ascii="Times New Roman" w:hAnsi="Times New Roman"/>
                <w:sz w:val="20"/>
              </w:rPr>
              <w:t>см. JSON-отчет</w:t>
            </w:r>
          </w:p>
        </w:tc>
      </w:tr>
      <w:tr>
        <w:trPr>
          <w:trHeight w:hRule="atLeast"/>
        </w:trPr>
        <w:tc>
          <w:tcPr>
            <w:tcW w:type="dxa" w:w="56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Корреляция uncertainty_score с abs_error</w:t>
            </w:r>
          </w:p>
        </w:tc>
        <w:tc>
          <w:tcPr>
            <w:tcW w:type="dxa" w:w="3402"/>
            <w:tcMar>
              <w:top w:w="60" w:type="dxa"/>
              <w:start w:w="70" w:type="dxa"/>
              <w:bottom w:w="60" w:type="dxa"/>
              <w:end w:w="70" w:type="dxa"/>
            </w:tcMar>
            <w:vAlign w:val="center"/>
          </w:tcPr>
          <w:p>
            <w:pPr>
              <w:jc w:val="center"/>
            </w:pPr>
            <w:r>
              <w:rPr>
                <w:rFonts w:ascii="Times New Roman" w:hAnsi="Times New Roman"/>
                <w:sz w:val="20"/>
              </w:rPr>
              <w:t>0,164670</w:t>
            </w:r>
          </w:p>
        </w:tc>
      </w:tr>
    </w:tbl>
    <w:p/>
    <w:p>
      <w:pPr>
        <w:jc w:val="center"/>
      </w:pPr>
      <w:r>
        <w:rPr>
          <w:rFonts w:ascii="Times New Roman" w:hAnsi="Times New Roman" w:eastAsia="Times New Roman"/>
        </w:rPr>
        <w:drawing>
          <wp:inline xmlns:a="http://schemas.openxmlformats.org/drawingml/2006/main" xmlns:pic="http://schemas.openxmlformats.org/drawingml/2006/picture">
            <wp:extent cx="5580000" cy="3331763"/>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580000" cy="3331763"/>
                    </a:xfrm>
                    <a:prstGeom prst="rect"/>
                  </pic:spPr>
                </pic:pic>
              </a:graphicData>
            </a:graphic>
          </wp:inline>
        </w:drawing>
      </w:r>
    </w:p>
    <w:p w:rsidR="15A15A15">
      <w:pPr>
        <w:jc w:val="center"/>
      </w:pPr>
      <w:r>
        <w:rPr>
          <w:rFonts w:ascii="Times New Roman" w:hAnsi="Times New Roman" w:eastAsia="Times New Roman"/>
          <w:sz w:val="24"/>
        </w:rPr>
        <w:t>Рисунок 6.6 – Проверка прогнозных интервалов на фактических значениях</w:t>
      </w:r>
    </w:p>
    <w:p/>
    <w:p>
      <w:pPr>
        <w:spacing w:line="360" w:lineRule="auto" w:before="0" w:after="0"/>
        <w:ind w:firstLine="709"/>
        <w:jc w:val="both"/>
      </w:pPr>
      <w:r>
        <w:rPr>
          <w:rFonts w:ascii="Times New Roman" w:hAnsi="Times New Roman" w:eastAsia="Times New Roman"/>
        </w:rPr>
        <w:t>Фактическое покрытие составило только 0,186667, то есть 28 из 150 сценариев. Средняя ширина интервала равна 0,084183; в 111 случаях фактическое качество оказалось выше верхней границы. Интервалы являются слишком узкими и смещенными вниз.</w:t>
      </w:r>
    </w:p>
    <w:p>
      <w:pPr>
        <w:spacing w:line="360" w:lineRule="auto" w:before="0" w:after="0"/>
        <w:ind w:firstLine="709"/>
        <w:jc w:val="both"/>
      </w:pPr>
      <w:r>
        <w:rPr>
          <w:rFonts w:ascii="Times New Roman" w:hAnsi="Times New Roman" w:eastAsia="Times New Roman"/>
        </w:rPr>
        <w:t>Связь uncertainty_score с абсолютной ошибкой оказалась слабой (Spearman = 0,164670). Текущая оценка неопределенности не может рассматриваться как надежный индикатор сценариев повышенного риска и требует отдельной перекалибровки.</w:t>
      </w:r>
    </w:p>
    <w:p>
      <w:pPr>
        <w:pStyle w:val="Heading1"/>
        <w:keepNext/>
        <w:pageBreakBefore w:val="0"/>
        <w:spacing w:before="240" w:after="120"/>
        <w:jc w:val="left"/>
      </w:pPr>
      <w:r>
        <w:rPr>
          <w:rFonts w:ascii="Times New Roman" w:hAnsi="Times New Roman" w:eastAsia="Times New Roman"/>
          <w:b/>
          <w:i w:val="0"/>
          <w:sz w:val="32"/>
        </w:rPr>
        <w:t>6.8. Сравнение с базовыми моделями без LDA</w:t>
      </w:r>
    </w:p>
    <w:p>
      <w:pPr>
        <w:spacing w:line="360" w:lineRule="auto" w:before="0" w:after="0"/>
        <w:ind w:firstLine="709"/>
        <w:jc w:val="both"/>
      </w:pPr>
      <w:r>
        <w:rPr>
          <w:rFonts w:ascii="Times New Roman" w:hAnsi="Times New Roman" w:eastAsia="Times New Roman"/>
          <w:b w:val="0"/>
          <w:i w:val="0"/>
          <w:sz w:val="28"/>
        </w:rPr>
        <w:t>Ключевой экспериментальный вопрос заключается в том, дает ли совместное использование X_prior и θ_prior измеримое преимущество относительно более простых схем. Для ответа вводятся три baseline-модели и основная модель главы 5. Все варианты должны оцениваться на одних и тех же сценариях и с одинаковыми метриками.</w:t>
      </w:r>
    </w:p>
    <w:p>
      <w:pPr>
        <w:keepNext/>
        <w:spacing w:before="120" w:after="60"/>
        <w:jc w:val="center"/>
      </w:pPr>
      <w:r>
        <w:rPr>
          <w:rFonts w:ascii="Times New Roman" w:hAnsi="Times New Roman" w:eastAsia="Times New Roman"/>
          <w:b w:val="0"/>
          <w:i w:val="0"/>
          <w:sz w:val="20"/>
        </w:rPr>
        <w:t>Таблица 6.12 - Состав сравниваемых моделей</w:t>
      </w:r>
    </w:p>
    <w:tbl>
      <w:tblPr>
        <w:tblStyle w:val="TableGrid"/>
        <w:tblW w:type="auto" w:w="0"/>
        <w:jc w:val="center"/>
        <w:tblLayout w:type="fixed"/>
        <w:tblLook w:firstColumn="1" w:firstRow="1" w:lastColumn="0" w:lastRow="0" w:noHBand="0" w:noVBand="1" w:val="04A0"/>
      </w:tblPr>
      <w:tblGrid>
        <w:gridCol w:w="3118"/>
        <w:gridCol w:w="3118"/>
        <w:gridCol w:w="3118"/>
      </w:tblGrid>
      <w:tr>
        <w:trPr>
          <w:trHeight w:hRule="atLeast"/>
          <w:tblHeader w:val="true"/>
        </w:trPr>
        <w:tc>
          <w:tcPr>
            <w:tcW w:type="dxa" w:w="2268"/>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Модель</w:t>
            </w:r>
          </w:p>
        </w:tc>
        <w:tc>
          <w:tcPr>
            <w:tcW w:type="dxa" w:w="2835"/>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Входы</w:t>
            </w:r>
          </w:p>
        </w:tc>
        <w:tc>
          <w:tcPr>
            <w:tcW w:type="dxa" w:w="3969"/>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Смысл сравнения</w:t>
            </w:r>
          </w:p>
        </w:tc>
      </w:tr>
      <w:tr>
        <w:trPr>
          <w:trHeight w:hRule="atLeast"/>
        </w:trPr>
        <w:tc>
          <w:tcPr>
            <w:tcW w:type="dxa" w:w="2268"/>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Mean baseline</w:t>
            </w:r>
          </w:p>
        </w:tc>
        <w:tc>
          <w:tcPr>
            <w:tcW w:type="dxa" w:w="283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Среднее Q_fact обучающей части</w:t>
            </w:r>
          </w:p>
        </w:tc>
        <w:tc>
          <w:tcPr>
            <w:tcW w:type="dxa" w:w="39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Минимальная константная модель</w:t>
            </w:r>
          </w:p>
        </w:tc>
      </w:tr>
      <w:tr>
        <w:trPr>
          <w:trHeight w:hRule="atLeast"/>
        </w:trPr>
        <w:tc>
          <w:tcPr>
            <w:tcW w:type="dxa" w:w="2268"/>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Prior-only baseline</w:t>
            </w:r>
          </w:p>
        </w:tc>
        <w:tc>
          <w:tcPr>
            <w:tcW w:type="dxa" w:w="283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Только X_prior</w:t>
            </w:r>
          </w:p>
        </w:tc>
        <w:tc>
          <w:tcPr>
            <w:tcW w:type="dxa" w:w="39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Оценка без латентного профиля</w:t>
            </w:r>
          </w:p>
        </w:tc>
      </w:tr>
      <w:tr>
        <w:trPr>
          <w:trHeight w:hRule="atLeast"/>
        </w:trPr>
        <w:tc>
          <w:tcPr>
            <w:tcW w:type="dxa" w:w="2268"/>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Theta-only baseline</w:t>
            </w:r>
          </w:p>
        </w:tc>
        <w:tc>
          <w:tcPr>
            <w:tcW w:type="dxa" w:w="283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Только theta_0, theta_1, theta_2</w:t>
            </w:r>
          </w:p>
        </w:tc>
        <w:tc>
          <w:tcPr>
            <w:tcW w:type="dxa" w:w="39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Изолированный вклад LDA-профиля</w:t>
            </w:r>
          </w:p>
        </w:tc>
      </w:tr>
      <w:tr>
        <w:trPr>
          <w:trHeight w:hRule="atLeast"/>
        </w:trPr>
        <w:tc>
          <w:tcPr>
            <w:tcW w:type="dxa" w:w="2268"/>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Chapter 5 model</w:t>
            </w:r>
          </w:p>
        </w:tc>
        <w:tc>
          <w:tcPr>
            <w:tcW w:type="dxa" w:w="2835"/>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X_prior + theta_prior</w:t>
            </w:r>
          </w:p>
        </w:tc>
        <w:tc>
          <w:tcPr>
            <w:tcW w:type="dxa" w:w="39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Полная предложенная априорная схема</w:t>
            </w:r>
          </w:p>
        </w:tc>
      </w:tr>
    </w:tbl>
    <w:p>
      <w:pPr>
        <w:spacing w:line="360" w:lineRule="auto" w:before="0" w:after="0"/>
        <w:ind w:firstLine="709"/>
        <w:jc w:val="both"/>
      </w:pPr>
      <w:r>
        <w:rPr>
          <w:rFonts w:ascii="Times New Roman" w:hAnsi="Times New Roman" w:eastAsia="Times New Roman"/>
          <w:b w:val="0"/>
          <w:i w:val="0"/>
          <w:sz w:val="28"/>
        </w:rPr>
        <w:t>Константный baseline определяется по обучающей части данных:</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118"/>
        <w:gridCol w:w="3118"/>
        <w:gridCol w:w="3118"/>
      </w:tblGrid>
      <w:tr>
        <w:tc>
          <w:tcPr>
            <w:tcW w:type="dxa" w:w="680"/>
            <w:tcMar>
              <w:top w:w="20" w:type="dxa"/>
              <w:start w:w="0" w:type="dxa"/>
              <w:bottom w:w="20" w:type="dxa"/>
              <w:end w:w="0" w:type="dxa"/>
            </w:tcMar>
          </w:tcPr>
          <w:p/>
        </w:tc>
        <w:tc>
          <w:tcPr>
            <w:tcW w:type="dxa" w:w="7710"/>
            <w:tcMar>
              <w:top w:w="20" w:type="dxa"/>
              <w:start w:w="0" w:type="dxa"/>
              <w:bottom w:w="20" w:type="dxa"/>
              <w:end w:w="0" w:type="dxa"/>
            </w:tcMar>
          </w:tcPr>
          <w:p>
            <w:pPr>
              <w:spacing w:before="80" w:after="80"/>
              <w:jc w:val="center"/>
            </w:pPr>
            <m:oMathPara>
              <m:oMathParaPr>
                <m:jc m:val="center"/>
              </m:oMathParaPr>
              <m:oMath>
                <m:sSub>
                  <m:e>
                    <m:r>
                      <m:t>Q</m:t>
                    </m:r>
                  </m:e>
                  <m:sub>
                    <m:r>
                      <m:rPr>
                        <m:sty m:val="p"/>
                      </m:rPr>
                      <m:t>base,mean</m:t>
                    </m:r>
                  </m:sub>
                </m:sSub>
                <m:r>
                  <m:rPr>
                    <m:sty m:val="p"/>
                  </m:rPr>
                  <m:t>=</m:t>
                </m:r>
                <m:sSub>
                  <m:e>
                    <m:r>
                      <m:t>μ</m:t>
                    </m:r>
                  </m:e>
                  <m:sub>
                    <m:r>
                      <m:rPr>
                        <m:sty m:val="p"/>
                      </m:rPr>
                      <m:t>train</m:t>
                    </m:r>
                  </m:sub>
                </m:sSub>
              </m:oMath>
            </m:oMathPara>
          </w:p>
        </w:tc>
        <w:tc>
          <w:tcPr>
            <w:tcW w:type="dxa" w:w="680"/>
            <w:tcMar>
              <w:top w:w="20" w:type="dxa"/>
              <w:start w:w="0" w:type="dxa"/>
              <w:bottom w:w="20" w:type="dxa"/>
              <w:end w:w="0" w:type="dxa"/>
            </w:tcMar>
          </w:tcPr>
          <w:p>
            <w:pPr>
              <w:spacing w:before="80" w:after="80"/>
              <w:jc w:val="right"/>
            </w:pPr>
            <w:r>
              <w:rPr>
                <w:rFonts w:ascii="Times New Roman" w:hAnsi="Times New Roman" w:eastAsia="Times New Roman"/>
                <w:b w:val="0"/>
                <w:i w:val="0"/>
                <w:sz w:val="20"/>
              </w:rPr>
              <w:t>(6.11)</w:t>
            </w:r>
          </w:p>
        </w:tc>
      </w:tr>
    </w:tbl>
    <w:p>
      <w:pPr>
        <w:spacing w:line="360" w:lineRule="auto" w:before="0" w:after="0"/>
        <w:ind w:firstLine="709"/>
        <w:jc w:val="both"/>
      </w:pPr>
      <w:r>
        <w:rPr>
          <w:rFonts w:ascii="Times New Roman" w:hAnsi="Times New Roman" w:eastAsia="Times New Roman"/>
          <w:b w:val="0"/>
          <w:i w:val="0"/>
          <w:sz w:val="28"/>
        </w:rPr>
        <w:t>где μ_train — среднее фактическое качество сценариев обучающей части.</w:t>
      </w:r>
    </w:p>
    <w:p>
      <w:pPr>
        <w:spacing w:line="360" w:lineRule="auto" w:before="0" w:after="0"/>
        <w:ind w:firstLine="709"/>
        <w:jc w:val="both"/>
      </w:pPr>
      <w:r>
        <w:rPr>
          <w:rFonts w:ascii="Times New Roman" w:hAnsi="Times New Roman" w:eastAsia="Times New Roman"/>
          <w:b w:val="0"/>
          <w:i w:val="0"/>
          <w:sz w:val="28"/>
        </w:rPr>
        <w:t>Использование среднего фактического качества всей проверочной выборки привело бы к информационной утечке. Поэтому mean baseline должен рассчитываться по заранее зафиксированной обучающей части либо в режиме cross-validation. Если prior-only или theta-only baseline содержит обучаемые коэффициенты, для них применяется тот же split или вложенная cross-validation; подбор коэффициентов на проверочных строках недопустим.</w:t>
      </w:r>
    </w:p>
    <w:p>
      <w:pPr>
        <w:spacing w:line="360" w:lineRule="auto" w:before="0" w:after="0"/>
        <w:ind w:firstLine="709"/>
        <w:jc w:val="both"/>
      </w:pPr>
      <w:r>
        <w:rPr>
          <w:rFonts w:ascii="Times New Roman" w:hAnsi="Times New Roman" w:eastAsia="Times New Roman"/>
          <w:b w:val="0"/>
          <w:i w:val="0"/>
          <w:sz w:val="28"/>
        </w:rPr>
        <w:t>Для нормативного prior-only baseline допускается использовать ту же схему частных критериев, что в главе 5, но с нулевым весом латентной компоненты. Theta-only baseline, напротив, строится только на направленном латентном профиле. Такое разложение позволяет оценить, является ли преимущество результатом самой LDA-компоненты или возникает только при ее совместном использовании с исходными признаками.</w:t>
      </w:r>
    </w:p>
    <w:p>
      <w:pPr>
        <w:keepNext/>
        <w:spacing w:before="120" w:after="60"/>
        <w:jc w:val="center"/>
      </w:pPr>
      <w:r>
        <w:rPr>
          <w:rFonts w:ascii="Times New Roman" w:hAnsi="Times New Roman" w:eastAsia="Times New Roman"/>
          <w:b w:val="0"/>
          <w:i w:val="0"/>
          <w:sz w:val="20"/>
        </w:rPr>
        <w:t>Таблица 6.13 - Итоговое сравнение моделей</w:t>
      </w:r>
    </w:p>
    <w:tbl>
      <w:tblPr>
        <w:tblStyle w:val="TableGrid"/>
        <w:tblW w:type="auto" w:w="0"/>
        <w:jc w:val="center"/>
        <w:tblLayout w:type="fixed"/>
        <w:tblLook w:firstColumn="1" w:firstRow="1" w:lastColumn="0" w:lastRow="0" w:noHBand="0" w:noVBand="1" w:val="04A0"/>
      </w:tblPr>
      <w:tblGrid>
        <w:gridCol w:w="1169"/>
        <w:gridCol w:w="1169"/>
        <w:gridCol w:w="1169"/>
        <w:gridCol w:w="1169"/>
        <w:gridCol w:w="1169"/>
        <w:gridCol w:w="1169"/>
        <w:gridCol w:w="1169"/>
        <w:gridCol w:w="1169"/>
      </w:tblGrid>
      <w:tr>
        <w:trPr>
          <w:trHeight w:hRule="atLeast"/>
          <w:tblHeader w:val="true"/>
        </w:trPr>
        <w:tc>
          <w:tcPr>
            <w:tcW w:type="dxa" w:w="1984"/>
            <w:shd w:fill="D9E2F3"/>
            <w:tcMar>
              <w:top w:w="60" w:type="dxa"/>
              <w:start w:w="70" w:type="dxa"/>
              <w:bottom w:w="60" w:type="dxa"/>
              <w:end w:w="70" w:type="dxa"/>
            </w:tcMar>
            <w:vAlign w:val="center"/>
          </w:tcPr>
          <w:p>
            <w:pPr>
              <w:spacing w:after="0" w:line="240" w:lineRule="auto"/>
              <w:jc w:val="left"/>
            </w:pPr>
            <w:r>
              <w:rPr>
                <w:rFonts w:ascii="Times New Roman" w:hAnsi="Times New Roman" w:eastAsia="Times New Roman"/>
                <w:b/>
                <w:i w:val="0"/>
                <w:sz w:val="20"/>
              </w:rPr>
              <w:t>Модель</w:t>
            </w:r>
          </w:p>
        </w:tc>
        <w:tc>
          <w:tcPr>
            <w:tcW w:type="dxa" w:w="1020"/>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MAE</w:t>
            </w:r>
          </w:p>
        </w:tc>
        <w:tc>
          <w:tcPr>
            <w:tcW w:type="dxa" w:w="1020"/>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RMSE</w:t>
            </w:r>
          </w:p>
        </w:tc>
        <w:tc>
          <w:tcPr>
            <w:tcW w:type="dxa" w:w="1020"/>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Bias</w:t>
            </w:r>
          </w:p>
        </w:tc>
        <w:tc>
          <w:tcPr>
            <w:tcW w:type="dxa" w:w="1247"/>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Spearman</w:t>
            </w:r>
          </w:p>
        </w:tc>
        <w:tc>
          <w:tcPr>
            <w:tcW w:type="dxa" w:w="1247"/>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Kendall</w:t>
            </w:r>
          </w:p>
        </w:tc>
        <w:tc>
          <w:tcPr>
            <w:tcW w:type="dxa" w:w="1474"/>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Balanced Acc.</w:t>
            </w:r>
          </w:p>
        </w:tc>
        <w:tc>
          <w:tcPr>
            <w:tcW w:type="dxa" w:w="1191"/>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Macro F1</w:t>
            </w:r>
          </w:p>
        </w:tc>
      </w:tr>
      <w:tr>
        <w:trPr>
          <w:trHeight w:hRule="atLeast"/>
        </w:trPr>
        <w:tc>
          <w:tcPr>
            <w:tcW w:type="dxa" w:w="1984"/>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Mean baseline</w:t>
            </w:r>
          </w:p>
        </w:tc>
        <w:tc>
          <w:tcPr>
            <w:tcW w:type="dxa" w:w="1020"/>
            <w:tcMar>
              <w:top w:w="60" w:type="dxa"/>
              <w:start w:w="70" w:type="dxa"/>
              <w:bottom w:w="60" w:type="dxa"/>
              <w:end w:w="70" w:type="dxa"/>
            </w:tcMar>
            <w:vAlign w:val="center"/>
          </w:tcPr>
          <w:p>
            <w:pPr>
              <w:jc w:val="center"/>
            </w:pPr>
            <w:r>
              <w:rPr>
                <w:rFonts w:ascii="Times New Roman" w:hAnsi="Times New Roman"/>
                <w:sz w:val="20"/>
              </w:rPr>
              <w:t>0,097227</w:t>
            </w:r>
          </w:p>
        </w:tc>
        <w:tc>
          <w:tcPr>
            <w:tcW w:type="dxa" w:w="1020"/>
            <w:tcMar>
              <w:top w:w="60" w:type="dxa"/>
              <w:start w:w="70" w:type="dxa"/>
              <w:bottom w:w="60" w:type="dxa"/>
              <w:end w:w="70" w:type="dxa"/>
            </w:tcMar>
            <w:vAlign w:val="center"/>
          </w:tcPr>
          <w:p>
            <w:pPr>
              <w:jc w:val="center"/>
            </w:pPr>
            <w:r>
              <w:rPr>
                <w:rFonts w:ascii="Times New Roman" w:hAnsi="Times New Roman"/>
                <w:sz w:val="20"/>
              </w:rPr>
              <w:t>0,112903</w:t>
            </w:r>
          </w:p>
        </w:tc>
        <w:tc>
          <w:tcPr>
            <w:tcW w:type="dxa" w:w="1020"/>
            <w:tcMar>
              <w:top w:w="60" w:type="dxa"/>
              <w:start w:w="70" w:type="dxa"/>
              <w:bottom w:w="60" w:type="dxa"/>
              <w:end w:w="70" w:type="dxa"/>
            </w:tcMar>
            <w:vAlign w:val="center"/>
          </w:tcPr>
          <w:p>
            <w:pPr>
              <w:jc w:val="center"/>
            </w:pPr>
            <w:r>
              <w:rPr>
                <w:rFonts w:ascii="Times New Roman" w:hAnsi="Times New Roman"/>
                <w:sz w:val="20"/>
              </w:rPr>
              <w:t>-0,000000</w:t>
            </w:r>
          </w:p>
        </w:tc>
        <w:tc>
          <w:tcPr>
            <w:tcW w:type="dxa" w:w="1247"/>
            <w:tcMar>
              <w:top w:w="60" w:type="dxa"/>
              <w:start w:w="70" w:type="dxa"/>
              <w:bottom w:w="60" w:type="dxa"/>
              <w:end w:w="70" w:type="dxa"/>
            </w:tcMar>
            <w:vAlign w:val="center"/>
          </w:tcPr>
          <w:p>
            <w:pPr>
              <w:jc w:val="center"/>
            </w:pPr>
            <w:r>
              <w:rPr>
                <w:rFonts w:ascii="Times New Roman" w:hAnsi="Times New Roman"/>
                <w:sz w:val="20"/>
              </w:rPr>
              <w:t>-0,071744</w:t>
            </w:r>
          </w:p>
        </w:tc>
        <w:tc>
          <w:tcPr>
            <w:tcW w:type="dxa" w:w="1247"/>
            <w:tcMar>
              <w:top w:w="60" w:type="dxa"/>
              <w:start w:w="70" w:type="dxa"/>
              <w:bottom w:w="60" w:type="dxa"/>
              <w:end w:w="70" w:type="dxa"/>
            </w:tcMar>
            <w:vAlign w:val="center"/>
          </w:tcPr>
          <w:p>
            <w:pPr>
              <w:jc w:val="center"/>
            </w:pPr>
            <w:r>
              <w:rPr>
                <w:rFonts w:ascii="Times New Roman" w:hAnsi="Times New Roman"/>
                <w:sz w:val="20"/>
              </w:rPr>
              <w:t>-0,051253</w:t>
            </w:r>
          </w:p>
        </w:tc>
        <w:tc>
          <w:tcPr>
            <w:tcW w:type="dxa" w:w="1474"/>
            <w:tcMar>
              <w:top w:w="60" w:type="dxa"/>
              <w:start w:w="70" w:type="dxa"/>
              <w:bottom w:w="60" w:type="dxa"/>
              <w:end w:w="70" w:type="dxa"/>
            </w:tcMar>
            <w:vAlign w:val="center"/>
          </w:tcPr>
          <w:p>
            <w:pPr>
              <w:jc w:val="center"/>
            </w:pPr>
            <w:r>
              <w:rPr>
                <w:rFonts w:ascii="Times New Roman" w:hAnsi="Times New Roman"/>
                <w:sz w:val="20"/>
              </w:rPr>
              <w:t>0,333333</w:t>
            </w:r>
          </w:p>
        </w:tc>
        <w:tc>
          <w:tcPr>
            <w:tcW w:type="dxa" w:w="1191"/>
            <w:tcMar>
              <w:top w:w="60" w:type="dxa"/>
              <w:start w:w="70" w:type="dxa"/>
              <w:bottom w:w="60" w:type="dxa"/>
              <w:end w:w="70" w:type="dxa"/>
            </w:tcMar>
            <w:vAlign w:val="center"/>
          </w:tcPr>
          <w:p>
            <w:pPr>
              <w:jc w:val="center"/>
            </w:pPr>
            <w:r>
              <w:rPr>
                <w:rFonts w:ascii="Times New Roman" w:hAnsi="Times New Roman"/>
                <w:sz w:val="20"/>
              </w:rPr>
              <w:t>0,266667</w:t>
            </w:r>
          </w:p>
        </w:tc>
      </w:tr>
      <w:tr>
        <w:trPr>
          <w:trHeight w:hRule="atLeast"/>
        </w:trPr>
        <w:tc>
          <w:tcPr>
            <w:tcW w:type="dxa" w:w="1984"/>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Prior-only baseline</w:t>
            </w:r>
          </w:p>
        </w:tc>
        <w:tc>
          <w:tcPr>
            <w:tcW w:type="dxa" w:w="1020"/>
            <w:tcMar>
              <w:top w:w="60" w:type="dxa"/>
              <w:start w:w="70" w:type="dxa"/>
              <w:bottom w:w="60" w:type="dxa"/>
              <w:end w:w="70" w:type="dxa"/>
            </w:tcMar>
            <w:vAlign w:val="center"/>
          </w:tcPr>
          <w:p>
            <w:pPr>
              <w:jc w:val="center"/>
            </w:pPr>
            <w:r>
              <w:rPr>
                <w:rFonts w:ascii="Times New Roman" w:hAnsi="Times New Roman"/>
                <w:sz w:val="20"/>
              </w:rPr>
              <w:t>0,111822</w:t>
            </w:r>
          </w:p>
        </w:tc>
        <w:tc>
          <w:tcPr>
            <w:tcW w:type="dxa" w:w="1020"/>
            <w:tcMar>
              <w:top w:w="60" w:type="dxa"/>
              <w:start w:w="70" w:type="dxa"/>
              <w:bottom w:w="60" w:type="dxa"/>
              <w:end w:w="70" w:type="dxa"/>
            </w:tcMar>
            <w:vAlign w:val="center"/>
          </w:tcPr>
          <w:p>
            <w:pPr>
              <w:jc w:val="center"/>
            </w:pPr>
            <w:r>
              <w:rPr>
                <w:rFonts w:ascii="Times New Roman" w:hAnsi="Times New Roman"/>
                <w:sz w:val="20"/>
              </w:rPr>
              <w:t>0,132113</w:t>
            </w:r>
          </w:p>
        </w:tc>
        <w:tc>
          <w:tcPr>
            <w:tcW w:type="dxa" w:w="1020"/>
            <w:tcMar>
              <w:top w:w="60" w:type="dxa"/>
              <w:start w:w="70" w:type="dxa"/>
              <w:bottom w:w="60" w:type="dxa"/>
              <w:end w:w="70" w:type="dxa"/>
            </w:tcMar>
            <w:vAlign w:val="center"/>
          </w:tcPr>
          <w:p>
            <w:pPr>
              <w:jc w:val="center"/>
            </w:pPr>
            <w:r>
              <w:rPr>
                <w:rFonts w:ascii="Times New Roman" w:hAnsi="Times New Roman"/>
                <w:sz w:val="20"/>
              </w:rPr>
              <w:t>-0,107710</w:t>
            </w:r>
          </w:p>
        </w:tc>
        <w:tc>
          <w:tcPr>
            <w:tcW w:type="dxa" w:w="1247"/>
            <w:tcMar>
              <w:top w:w="60" w:type="dxa"/>
              <w:start w:w="70" w:type="dxa"/>
              <w:bottom w:w="60" w:type="dxa"/>
              <w:end w:w="70" w:type="dxa"/>
            </w:tcMar>
            <w:vAlign w:val="center"/>
          </w:tcPr>
          <w:p>
            <w:pPr>
              <w:jc w:val="center"/>
            </w:pPr>
            <w:r>
              <w:rPr>
                <w:rFonts w:ascii="Times New Roman" w:hAnsi="Times New Roman"/>
                <w:sz w:val="20"/>
              </w:rPr>
              <w:t>0,859052</w:t>
            </w:r>
          </w:p>
        </w:tc>
        <w:tc>
          <w:tcPr>
            <w:tcW w:type="dxa" w:w="1247"/>
            <w:tcMar>
              <w:top w:w="60" w:type="dxa"/>
              <w:start w:w="70" w:type="dxa"/>
              <w:bottom w:w="60" w:type="dxa"/>
              <w:end w:w="70" w:type="dxa"/>
            </w:tcMar>
            <w:vAlign w:val="center"/>
          </w:tcPr>
          <w:p>
            <w:pPr>
              <w:jc w:val="center"/>
            </w:pPr>
            <w:r>
              <w:rPr>
                <w:rFonts w:ascii="Times New Roman" w:hAnsi="Times New Roman"/>
                <w:sz w:val="20"/>
              </w:rPr>
              <w:t>0,666577</w:t>
            </w:r>
          </w:p>
        </w:tc>
        <w:tc>
          <w:tcPr>
            <w:tcW w:type="dxa" w:w="1474"/>
            <w:tcMar>
              <w:top w:w="60" w:type="dxa"/>
              <w:start w:w="70" w:type="dxa"/>
              <w:bottom w:w="60" w:type="dxa"/>
              <w:end w:w="70" w:type="dxa"/>
            </w:tcMar>
            <w:vAlign w:val="center"/>
          </w:tcPr>
          <w:p>
            <w:pPr>
              <w:jc w:val="center"/>
            </w:pPr>
            <w:r>
              <w:rPr>
                <w:rFonts w:ascii="Times New Roman" w:hAnsi="Times New Roman"/>
                <w:sz w:val="20"/>
              </w:rPr>
              <w:t>0,645646</w:t>
            </w:r>
          </w:p>
        </w:tc>
        <w:tc>
          <w:tcPr>
            <w:tcW w:type="dxa" w:w="1191"/>
            <w:tcMar>
              <w:top w:w="60" w:type="dxa"/>
              <w:start w:w="70" w:type="dxa"/>
              <w:bottom w:w="60" w:type="dxa"/>
              <w:end w:w="70" w:type="dxa"/>
            </w:tcMar>
            <w:vAlign w:val="center"/>
          </w:tcPr>
          <w:p>
            <w:pPr>
              <w:jc w:val="center"/>
            </w:pPr>
            <w:r>
              <w:rPr>
                <w:rFonts w:ascii="Times New Roman" w:hAnsi="Times New Roman"/>
                <w:sz w:val="20"/>
              </w:rPr>
              <w:t>0,393155</w:t>
            </w:r>
          </w:p>
        </w:tc>
      </w:tr>
      <w:tr>
        <w:trPr>
          <w:trHeight w:hRule="atLeast"/>
        </w:trPr>
        <w:tc>
          <w:tcPr>
            <w:tcW w:type="dxa" w:w="1984"/>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Theta-only baseline</w:t>
            </w:r>
          </w:p>
        </w:tc>
        <w:tc>
          <w:tcPr>
            <w:tcW w:type="dxa" w:w="1020"/>
            <w:tcMar>
              <w:top w:w="60" w:type="dxa"/>
              <w:start w:w="70" w:type="dxa"/>
              <w:bottom w:w="60" w:type="dxa"/>
              <w:end w:w="70" w:type="dxa"/>
            </w:tcMar>
            <w:vAlign w:val="center"/>
          </w:tcPr>
          <w:p>
            <w:pPr>
              <w:jc w:val="center"/>
            </w:pPr>
            <w:r>
              <w:rPr>
                <w:rFonts w:ascii="Times New Roman" w:hAnsi="Times New Roman"/>
                <w:sz w:val="20"/>
              </w:rPr>
              <w:t>0,304125</w:t>
            </w:r>
          </w:p>
        </w:tc>
        <w:tc>
          <w:tcPr>
            <w:tcW w:type="dxa" w:w="1020"/>
            <w:tcMar>
              <w:top w:w="60" w:type="dxa"/>
              <w:start w:w="70" w:type="dxa"/>
              <w:bottom w:w="60" w:type="dxa"/>
              <w:end w:w="70" w:type="dxa"/>
            </w:tcMar>
            <w:vAlign w:val="center"/>
          </w:tcPr>
          <w:p>
            <w:pPr>
              <w:jc w:val="center"/>
            </w:pPr>
            <w:r>
              <w:rPr>
                <w:rFonts w:ascii="Times New Roman" w:hAnsi="Times New Roman"/>
                <w:sz w:val="20"/>
              </w:rPr>
              <w:t>0,360544</w:t>
            </w:r>
          </w:p>
        </w:tc>
        <w:tc>
          <w:tcPr>
            <w:tcW w:type="dxa" w:w="1020"/>
            <w:tcMar>
              <w:top w:w="60" w:type="dxa"/>
              <w:start w:w="70" w:type="dxa"/>
              <w:bottom w:w="60" w:type="dxa"/>
              <w:end w:w="70" w:type="dxa"/>
            </w:tcMar>
            <w:vAlign w:val="center"/>
          </w:tcPr>
          <w:p>
            <w:pPr>
              <w:jc w:val="center"/>
            </w:pPr>
            <w:r>
              <w:rPr>
                <w:rFonts w:ascii="Times New Roman" w:hAnsi="Times New Roman"/>
                <w:sz w:val="20"/>
              </w:rPr>
              <w:t>-0,228721</w:t>
            </w:r>
          </w:p>
        </w:tc>
        <w:tc>
          <w:tcPr>
            <w:tcW w:type="dxa" w:w="1247"/>
            <w:tcMar>
              <w:top w:w="60" w:type="dxa"/>
              <w:start w:w="70" w:type="dxa"/>
              <w:bottom w:w="60" w:type="dxa"/>
              <w:end w:w="70" w:type="dxa"/>
            </w:tcMar>
            <w:vAlign w:val="center"/>
          </w:tcPr>
          <w:p>
            <w:pPr>
              <w:jc w:val="center"/>
            </w:pPr>
            <w:r>
              <w:rPr>
                <w:rFonts w:ascii="Times New Roman" w:hAnsi="Times New Roman"/>
                <w:sz w:val="20"/>
              </w:rPr>
              <w:t>0,866689</w:t>
            </w:r>
          </w:p>
        </w:tc>
        <w:tc>
          <w:tcPr>
            <w:tcW w:type="dxa" w:w="1247"/>
            <w:tcMar>
              <w:top w:w="60" w:type="dxa"/>
              <w:start w:w="70" w:type="dxa"/>
              <w:bottom w:w="60" w:type="dxa"/>
              <w:end w:w="70" w:type="dxa"/>
            </w:tcMar>
            <w:vAlign w:val="center"/>
          </w:tcPr>
          <w:p>
            <w:pPr>
              <w:jc w:val="center"/>
            </w:pPr>
            <w:r>
              <w:rPr>
                <w:rFonts w:ascii="Times New Roman" w:hAnsi="Times New Roman"/>
                <w:sz w:val="20"/>
              </w:rPr>
              <w:t>0,677494</w:t>
            </w:r>
          </w:p>
        </w:tc>
        <w:tc>
          <w:tcPr>
            <w:tcW w:type="dxa" w:w="1474"/>
            <w:tcMar>
              <w:top w:w="60" w:type="dxa"/>
              <w:start w:w="70" w:type="dxa"/>
              <w:bottom w:w="60" w:type="dxa"/>
              <w:end w:w="70" w:type="dxa"/>
            </w:tcMar>
            <w:vAlign w:val="center"/>
          </w:tcPr>
          <w:p>
            <w:pPr>
              <w:jc w:val="center"/>
            </w:pPr>
            <w:r>
              <w:rPr>
                <w:rFonts w:ascii="Times New Roman" w:hAnsi="Times New Roman"/>
                <w:sz w:val="20"/>
              </w:rPr>
              <w:t>0,624898</w:t>
            </w:r>
          </w:p>
        </w:tc>
        <w:tc>
          <w:tcPr>
            <w:tcW w:type="dxa" w:w="1191"/>
            <w:tcMar>
              <w:top w:w="60" w:type="dxa"/>
              <w:start w:w="70" w:type="dxa"/>
              <w:bottom w:w="60" w:type="dxa"/>
              <w:end w:w="70" w:type="dxa"/>
            </w:tcMar>
            <w:vAlign w:val="center"/>
          </w:tcPr>
          <w:p>
            <w:pPr>
              <w:jc w:val="center"/>
            </w:pPr>
            <w:r>
              <w:rPr>
                <w:rFonts w:ascii="Times New Roman" w:hAnsi="Times New Roman"/>
                <w:sz w:val="20"/>
              </w:rPr>
              <w:t>0,343074</w:t>
            </w:r>
          </w:p>
        </w:tc>
      </w:tr>
      <w:tr>
        <w:trPr>
          <w:trHeight w:hRule="atLeast"/>
        </w:trPr>
        <w:tc>
          <w:tcPr>
            <w:tcW w:type="dxa" w:w="1984"/>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Chapter 5 model</w:t>
            </w:r>
          </w:p>
        </w:tc>
        <w:tc>
          <w:tcPr>
            <w:tcW w:type="dxa" w:w="1020"/>
            <w:tcMar>
              <w:top w:w="60" w:type="dxa"/>
              <w:start w:w="70" w:type="dxa"/>
              <w:bottom w:w="60" w:type="dxa"/>
              <w:end w:w="70" w:type="dxa"/>
            </w:tcMar>
            <w:vAlign w:val="center"/>
          </w:tcPr>
          <w:p>
            <w:pPr>
              <w:jc w:val="center"/>
            </w:pPr>
            <w:r>
              <w:rPr>
                <w:rFonts w:ascii="Times New Roman" w:hAnsi="Times New Roman"/>
                <w:sz w:val="20"/>
              </w:rPr>
              <w:t>0,159244</w:t>
            </w:r>
          </w:p>
        </w:tc>
        <w:tc>
          <w:tcPr>
            <w:tcW w:type="dxa" w:w="1020"/>
            <w:tcMar>
              <w:top w:w="60" w:type="dxa"/>
              <w:start w:w="70" w:type="dxa"/>
              <w:bottom w:w="60" w:type="dxa"/>
              <w:end w:w="70" w:type="dxa"/>
            </w:tcMar>
            <w:vAlign w:val="center"/>
          </w:tcPr>
          <w:p>
            <w:pPr>
              <w:jc w:val="center"/>
            </w:pPr>
            <w:r>
              <w:rPr>
                <w:rFonts w:ascii="Times New Roman" w:hAnsi="Times New Roman"/>
                <w:sz w:val="20"/>
              </w:rPr>
              <w:t>0,194403</w:t>
            </w:r>
          </w:p>
        </w:tc>
        <w:tc>
          <w:tcPr>
            <w:tcW w:type="dxa" w:w="1020"/>
            <w:tcMar>
              <w:top w:w="60" w:type="dxa"/>
              <w:start w:w="70" w:type="dxa"/>
              <w:bottom w:w="60" w:type="dxa"/>
              <w:end w:w="70" w:type="dxa"/>
            </w:tcMar>
            <w:vAlign w:val="center"/>
          </w:tcPr>
          <w:p>
            <w:pPr>
              <w:jc w:val="center"/>
            </w:pPr>
            <w:r>
              <w:rPr>
                <w:rFonts w:ascii="Times New Roman" w:hAnsi="Times New Roman"/>
                <w:sz w:val="20"/>
              </w:rPr>
              <w:t>-0,149399</w:t>
            </w:r>
          </w:p>
        </w:tc>
        <w:tc>
          <w:tcPr>
            <w:tcW w:type="dxa" w:w="1247"/>
            <w:tcMar>
              <w:top w:w="60" w:type="dxa"/>
              <w:start w:w="70" w:type="dxa"/>
              <w:bottom w:w="60" w:type="dxa"/>
              <w:end w:w="70" w:type="dxa"/>
            </w:tcMar>
            <w:vAlign w:val="center"/>
          </w:tcPr>
          <w:p>
            <w:pPr>
              <w:jc w:val="center"/>
            </w:pPr>
            <w:r>
              <w:rPr>
                <w:rFonts w:ascii="Times New Roman" w:hAnsi="Times New Roman"/>
                <w:sz w:val="20"/>
              </w:rPr>
              <w:t>0,881769</w:t>
            </w:r>
          </w:p>
        </w:tc>
        <w:tc>
          <w:tcPr>
            <w:tcW w:type="dxa" w:w="1247"/>
            <w:tcMar>
              <w:top w:w="60" w:type="dxa"/>
              <w:start w:w="70" w:type="dxa"/>
              <w:bottom w:w="60" w:type="dxa"/>
              <w:end w:w="70" w:type="dxa"/>
            </w:tcMar>
            <w:vAlign w:val="center"/>
          </w:tcPr>
          <w:p>
            <w:pPr>
              <w:jc w:val="center"/>
            </w:pPr>
            <w:r>
              <w:rPr>
                <w:rFonts w:ascii="Times New Roman" w:hAnsi="Times New Roman"/>
                <w:sz w:val="20"/>
              </w:rPr>
              <w:t>0,699329</w:t>
            </w:r>
          </w:p>
        </w:tc>
        <w:tc>
          <w:tcPr>
            <w:tcW w:type="dxa" w:w="1474"/>
            <w:tcMar>
              <w:top w:w="60" w:type="dxa"/>
              <w:start w:w="70" w:type="dxa"/>
              <w:bottom w:w="60" w:type="dxa"/>
              <w:end w:w="70" w:type="dxa"/>
            </w:tcMar>
            <w:vAlign w:val="center"/>
          </w:tcPr>
          <w:p>
            <w:pPr>
              <w:jc w:val="center"/>
            </w:pPr>
            <w:r>
              <w:rPr>
                <w:rFonts w:ascii="Times New Roman" w:hAnsi="Times New Roman"/>
                <w:sz w:val="20"/>
              </w:rPr>
              <w:t>0,667823</w:t>
            </w:r>
          </w:p>
        </w:tc>
        <w:tc>
          <w:tcPr>
            <w:tcW w:type="dxa" w:w="1191"/>
            <w:tcMar>
              <w:top w:w="60" w:type="dxa"/>
              <w:start w:w="70" w:type="dxa"/>
              <w:bottom w:w="60" w:type="dxa"/>
              <w:end w:w="70" w:type="dxa"/>
            </w:tcMar>
            <w:vAlign w:val="center"/>
          </w:tcPr>
          <w:p>
            <w:pPr>
              <w:jc w:val="center"/>
            </w:pPr>
            <w:r>
              <w:rPr>
                <w:rFonts w:ascii="Times New Roman" w:hAnsi="Times New Roman"/>
                <w:sz w:val="20"/>
              </w:rPr>
              <w:t>0,422515</w:t>
            </w:r>
          </w:p>
        </w:tc>
      </w:tr>
    </w:tbl>
    <w:p/>
    <w:p>
      <w:pPr>
        <w:jc w:val="center"/>
      </w:pPr>
      <w:r>
        <w:rPr>
          <w:rFonts w:ascii="Times New Roman" w:hAnsi="Times New Roman" w:eastAsia="Times New Roman"/>
        </w:rPr>
        <w:drawing>
          <wp:inline xmlns:a="http://schemas.openxmlformats.org/drawingml/2006/main" xmlns:pic="http://schemas.openxmlformats.org/drawingml/2006/picture">
            <wp:extent cx="5580000" cy="3331763"/>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580000" cy="3331763"/>
                    </a:xfrm>
                    <a:prstGeom prst="rect"/>
                  </pic:spPr>
                </pic:pic>
              </a:graphicData>
            </a:graphic>
          </wp:inline>
        </w:drawing>
      </w:r>
    </w:p>
    <w:p w:rsidR="15A15A15">
      <w:pPr>
        <w:jc w:val="center"/>
      </w:pPr>
      <w:r>
        <w:rPr>
          <w:rFonts w:ascii="Times New Roman" w:hAnsi="Times New Roman" w:eastAsia="Times New Roman"/>
          <w:sz w:val="24"/>
        </w:rPr>
        <w:t>Рисунок 6.7 – Сравнение предложенной модели с базовыми схемами</w:t>
      </w:r>
    </w:p>
    <w:p/>
    <w:p>
      <w:pPr>
        <w:spacing w:line="360" w:lineRule="auto" w:before="0" w:after="0"/>
        <w:ind w:firstLine="709"/>
        <w:jc w:val="both"/>
      </w:pPr>
      <w:r>
        <w:rPr>
          <w:rFonts w:ascii="Times New Roman" w:hAnsi="Times New Roman" w:eastAsia="Times New Roman"/>
        </w:rPr>
        <w:t>Сравнение показало, что модель главы 5 уступает mean- и prior-only-baseline по MAE и RMSE, но превосходит theta-only baseline и имеет высокую ранговую согласованность. Поэтому включение латентного профиля не доказало универсального снижения абсолютной ошибки, однако сохранило диагностическую и ранговую ценность.</w:t>
      </w:r>
    </w:p>
    <w:p>
      <w:pPr>
        <w:pStyle w:val="Heading1"/>
        <w:keepNext/>
        <w:pageBreakBefore w:val="0"/>
        <w:spacing w:before="240" w:after="120"/>
        <w:jc w:val="left"/>
      </w:pPr>
      <w:r>
        <w:rPr>
          <w:rFonts w:ascii="Times New Roman" w:hAnsi="Times New Roman" w:eastAsia="Times New Roman"/>
          <w:b/>
          <w:i w:val="0"/>
          <w:sz w:val="32"/>
        </w:rPr>
        <w:t>6.9. Статистическая устойчивость результатов</w:t>
      </w:r>
    </w:p>
    <w:p>
      <w:pPr>
        <w:spacing w:line="360" w:lineRule="auto" w:before="0" w:after="0"/>
        <w:ind w:firstLine="709"/>
        <w:jc w:val="both"/>
      </w:pPr>
      <w:r>
        <w:rPr>
          <w:rFonts w:ascii="Times New Roman" w:hAnsi="Times New Roman" w:eastAsia="Times New Roman"/>
          <w:b w:val="0"/>
          <w:i w:val="0"/>
          <w:sz w:val="28"/>
        </w:rPr>
        <w:t>Точечные значения метрик на корпусе из 150 сценариев зависят от конкретного состава выборки. Для оценки этой неопределенности используется непараметрический bootstrap по сценариям. На каждой итерации из объединенного датасета случайно выбираются N строк с возвращением, после чего повторно рассчитываются метрики. В базовой конфигурации число повторов B принимается равным 1000, а random_state фиксируется в конфигурации эксперимента.</w:t>
      </w:r>
    </w:p>
    <w:p>
      <w:pPr>
        <w:spacing w:line="360" w:lineRule="auto" w:before="0" w:after="0"/>
        <w:ind w:firstLine="709"/>
        <w:jc w:val="both"/>
      </w:pPr>
      <w:r>
        <w:rPr>
          <w:rFonts w:ascii="Times New Roman" w:hAnsi="Times New Roman" w:eastAsia="Times New Roman"/>
          <w:b w:val="0"/>
          <w:i w:val="0"/>
          <w:sz w:val="28"/>
        </w:rPr>
        <w:t>Для каждой метрики формируется 95%-й процентильный доверительный интервал. Для сравнения моделей используется парный bootstrap: на одной и той же bootstrap-выборке рассчитываются метрики основной модели и baseline, а затем их разность. Такой способ сохраняет зависимость результатов, полученных на одних и тех же сценариях.</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118"/>
        <w:gridCol w:w="3118"/>
        <w:gridCol w:w="3118"/>
      </w:tblGrid>
      <w:tr>
        <w:tc>
          <w:tcPr>
            <w:tcW w:type="dxa" w:w="680"/>
            <w:tcMar>
              <w:top w:w="20" w:type="dxa"/>
              <w:start w:w="0" w:type="dxa"/>
              <w:bottom w:w="20" w:type="dxa"/>
              <w:end w:w="0" w:type="dxa"/>
            </w:tcMar>
          </w:tcPr>
          <w:p/>
        </w:tc>
        <w:tc>
          <w:tcPr>
            <w:tcW w:type="dxa" w:w="7710"/>
            <w:tcMar>
              <w:top w:w="20" w:type="dxa"/>
              <w:start w:w="0" w:type="dxa"/>
              <w:bottom w:w="20" w:type="dxa"/>
              <w:end w:w="0" w:type="dxa"/>
            </w:tcMar>
          </w:tcPr>
          <w:p>
            <w:pPr>
              <w:spacing w:before="80" w:after="80"/>
              <w:jc w:val="center"/>
            </w:pPr>
            <m:oMathPara>
              <m:oMathParaPr>
                <m:jc m:val="center"/>
              </m:oMathParaPr>
              <m:oMath>
                <m:r>
                  <m:rPr>
                    <m:sty m:val="p"/>
                  </m:rPr>
                  <m:t>ΔMAE</m:t>
                </m:r>
                <m:r>
                  <m:rPr>
                    <m:sty m:val="p"/>
                  </m:rPr>
                  <m:t>=</m:t>
                </m:r>
                <m:sSub>
                  <m:e>
                    <m:r>
                      <m:rPr>
                        <m:sty m:val="p"/>
                      </m:rPr>
                      <m:t>MAE</m:t>
                    </m:r>
                  </m:e>
                  <m:sub>
                    <m:r>
                      <m:rPr>
                        <m:sty m:val="p"/>
                      </m:rPr>
                      <m:t>chapter5</m:t>
                    </m:r>
                  </m:sub>
                </m:sSub>
                <m:r>
                  <m:rPr>
                    <m:sty m:val="p"/>
                  </m:rPr>
                  <m:t>−</m:t>
                </m:r>
                <m:sSub>
                  <m:e>
                    <m:r>
                      <m:rPr>
                        <m:sty m:val="p"/>
                      </m:rPr>
                      <m:t>MAE</m:t>
                    </m:r>
                  </m:e>
                  <m:sub>
                    <m:r>
                      <m:rPr>
                        <m:sty m:val="p"/>
                      </m:rPr>
                      <m:t>baseline</m:t>
                    </m:r>
                  </m:sub>
                </m:sSub>
              </m:oMath>
            </m:oMathPara>
          </w:p>
        </w:tc>
        <w:tc>
          <w:tcPr>
            <w:tcW w:type="dxa" w:w="680"/>
            <w:tcMar>
              <w:top w:w="20" w:type="dxa"/>
              <w:start w:w="0" w:type="dxa"/>
              <w:bottom w:w="20" w:type="dxa"/>
              <w:end w:w="0" w:type="dxa"/>
            </w:tcMar>
          </w:tcPr>
          <w:p>
            <w:pPr>
              <w:spacing w:before="80" w:after="80"/>
              <w:jc w:val="right"/>
            </w:pPr>
            <w:r>
              <w:rPr>
                <w:rFonts w:ascii="Times New Roman" w:hAnsi="Times New Roman" w:eastAsia="Times New Roman"/>
                <w:b w:val="0"/>
                <w:i w:val="0"/>
                <w:sz w:val="20"/>
              </w:rPr>
              <w:t>(6.12)</w:t>
            </w:r>
          </w:p>
        </w:tc>
      </w:tr>
    </w:tbl>
    <w:p>
      <w:pPr>
        <w:spacing w:line="360" w:lineRule="auto" w:before="0" w:after="0"/>
        <w:ind w:firstLine="709"/>
        <w:jc w:val="both"/>
      </w:pPr>
      <w:r>
        <w:rPr>
          <w:rFonts w:ascii="Times New Roman" w:hAnsi="Times New Roman" w:eastAsia="Times New Roman"/>
          <w:b w:val="0"/>
          <w:i w:val="0"/>
          <w:sz w:val="28"/>
        </w:rPr>
        <w:t>Отрицательное значение ΔMAE означает преимущество модели главы 5. Если весь 95%-й доверительный интервал разности находится ниже нуля, снижение ошибки рассматривается как статистически устойчивое для текущего корпуса. Аналогично оцениваются разности RMSE, Spearman, Kendall, Balanced Accuracy и Macro F1 с учетом направления «меньше лучше» или «больше лучше».</w:t>
      </w:r>
    </w:p>
    <w:p>
      <w:pPr>
        <w:keepNext/>
        <w:spacing w:before="120" w:after="60"/>
        <w:jc w:val="center"/>
      </w:pPr>
      <w:r>
        <w:rPr>
          <w:rFonts w:ascii="Times New Roman" w:hAnsi="Times New Roman" w:eastAsia="Times New Roman"/>
          <w:b w:val="0"/>
          <w:i w:val="0"/>
          <w:sz w:val="20"/>
        </w:rPr>
        <w:t>Таблица 6.14 - Bootstrap-доверительные интервалы основной модели</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trHeight w:hRule="atLeast"/>
          <w:tblHeader w:val="true"/>
        </w:trPr>
        <w:tc>
          <w:tcPr>
            <w:tcW w:type="dxa" w:w="2551"/>
            <w:shd w:fill="D9E2F3"/>
            <w:tcMar>
              <w:top w:w="60" w:type="dxa"/>
              <w:start w:w="70" w:type="dxa"/>
              <w:bottom w:w="60" w:type="dxa"/>
              <w:end w:w="70" w:type="dxa"/>
            </w:tcMar>
            <w:vAlign w:val="center"/>
          </w:tcPr>
          <w:p>
            <w:pPr>
              <w:spacing w:after="0" w:line="240" w:lineRule="auto"/>
              <w:jc w:val="left"/>
            </w:pPr>
            <w:r>
              <w:rPr>
                <w:rFonts w:ascii="Times New Roman" w:hAnsi="Times New Roman" w:eastAsia="Times New Roman"/>
                <w:b/>
                <w:i w:val="0"/>
                <w:sz w:val="20"/>
              </w:rPr>
              <w:t>Метрика</w:t>
            </w:r>
          </w:p>
        </w:tc>
        <w:tc>
          <w:tcPr>
            <w:tcW w:type="dxa" w:w="2154"/>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Точечная оценка</w:t>
            </w:r>
          </w:p>
        </w:tc>
        <w:tc>
          <w:tcPr>
            <w:tcW w:type="dxa" w:w="2154"/>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95% CI lower</w:t>
            </w:r>
          </w:p>
        </w:tc>
        <w:tc>
          <w:tcPr>
            <w:tcW w:type="dxa" w:w="2211"/>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95% CI upper</w:t>
            </w:r>
          </w:p>
        </w:tc>
      </w:tr>
      <w:tr>
        <w:trPr>
          <w:trHeight w:hRule="atLeast"/>
        </w:trPr>
        <w:tc>
          <w:tcPr>
            <w:tcW w:type="dxa" w:w="2551"/>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MAE</w:t>
            </w:r>
          </w:p>
        </w:tc>
        <w:tc>
          <w:tcPr>
            <w:tcW w:type="dxa" w:w="2154"/>
            <w:tcMar>
              <w:top w:w="60" w:type="dxa"/>
              <w:start w:w="70" w:type="dxa"/>
              <w:bottom w:w="60" w:type="dxa"/>
              <w:end w:w="70" w:type="dxa"/>
            </w:tcMar>
            <w:vAlign w:val="center"/>
          </w:tcPr>
          <w:p>
            <w:pPr>
              <w:jc w:val="center"/>
            </w:pPr>
            <w:r>
              <w:rPr>
                <w:rFonts w:ascii="Times New Roman" w:hAnsi="Times New Roman"/>
                <w:sz w:val="20"/>
              </w:rPr>
              <w:t>0,159244</w:t>
            </w:r>
          </w:p>
        </w:tc>
        <w:tc>
          <w:tcPr>
            <w:tcW w:type="dxa" w:w="2154"/>
            <w:tcMar>
              <w:top w:w="60" w:type="dxa"/>
              <w:start w:w="70" w:type="dxa"/>
              <w:bottom w:w="60" w:type="dxa"/>
              <w:end w:w="70" w:type="dxa"/>
            </w:tcMar>
            <w:vAlign w:val="center"/>
          </w:tcPr>
          <w:p>
            <w:pPr>
              <w:jc w:val="center"/>
            </w:pPr>
            <w:r>
              <w:rPr>
                <w:rFonts w:ascii="Times New Roman" w:hAnsi="Times New Roman"/>
                <w:sz w:val="20"/>
              </w:rPr>
              <w:t>0,140534</w:t>
            </w:r>
          </w:p>
        </w:tc>
        <w:tc>
          <w:tcPr>
            <w:tcW w:type="dxa" w:w="2211"/>
            <w:tcMar>
              <w:top w:w="60" w:type="dxa"/>
              <w:start w:w="70" w:type="dxa"/>
              <w:bottom w:w="60" w:type="dxa"/>
              <w:end w:w="70" w:type="dxa"/>
            </w:tcMar>
            <w:vAlign w:val="center"/>
          </w:tcPr>
          <w:p>
            <w:pPr>
              <w:jc w:val="center"/>
            </w:pPr>
            <w:r>
              <w:rPr>
                <w:rFonts w:ascii="Times New Roman" w:hAnsi="Times New Roman"/>
                <w:sz w:val="20"/>
              </w:rPr>
              <w:t>0,177974</w:t>
            </w:r>
          </w:p>
        </w:tc>
      </w:tr>
      <w:tr>
        <w:trPr>
          <w:trHeight w:hRule="atLeast"/>
        </w:trPr>
        <w:tc>
          <w:tcPr>
            <w:tcW w:type="dxa" w:w="2551"/>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RMSE</w:t>
            </w:r>
          </w:p>
        </w:tc>
        <w:tc>
          <w:tcPr>
            <w:tcW w:type="dxa" w:w="2154"/>
            <w:tcMar>
              <w:top w:w="60" w:type="dxa"/>
              <w:start w:w="70" w:type="dxa"/>
              <w:bottom w:w="60" w:type="dxa"/>
              <w:end w:w="70" w:type="dxa"/>
            </w:tcMar>
            <w:vAlign w:val="center"/>
          </w:tcPr>
          <w:p>
            <w:pPr>
              <w:jc w:val="center"/>
            </w:pPr>
            <w:r>
              <w:rPr>
                <w:rFonts w:ascii="Times New Roman" w:hAnsi="Times New Roman"/>
                <w:sz w:val="20"/>
              </w:rPr>
              <w:t>0,194403</w:t>
            </w:r>
          </w:p>
        </w:tc>
        <w:tc>
          <w:tcPr>
            <w:tcW w:type="dxa" w:w="2154"/>
            <w:tcMar>
              <w:top w:w="60" w:type="dxa"/>
              <w:start w:w="70" w:type="dxa"/>
              <w:bottom w:w="60" w:type="dxa"/>
              <w:end w:w="70" w:type="dxa"/>
            </w:tcMar>
            <w:vAlign w:val="center"/>
          </w:tcPr>
          <w:p>
            <w:pPr>
              <w:jc w:val="center"/>
            </w:pPr>
            <w:r>
              <w:rPr>
                <w:rFonts w:ascii="Times New Roman" w:hAnsi="Times New Roman"/>
                <w:sz w:val="20"/>
              </w:rPr>
              <w:t>0,176772</w:t>
            </w:r>
          </w:p>
        </w:tc>
        <w:tc>
          <w:tcPr>
            <w:tcW w:type="dxa" w:w="2211"/>
            <w:tcMar>
              <w:top w:w="60" w:type="dxa"/>
              <w:start w:w="70" w:type="dxa"/>
              <w:bottom w:w="60" w:type="dxa"/>
              <w:end w:w="70" w:type="dxa"/>
            </w:tcMar>
            <w:vAlign w:val="center"/>
          </w:tcPr>
          <w:p>
            <w:pPr>
              <w:jc w:val="center"/>
            </w:pPr>
            <w:r>
              <w:rPr>
                <w:rFonts w:ascii="Times New Roman" w:hAnsi="Times New Roman"/>
                <w:sz w:val="20"/>
              </w:rPr>
              <w:t>0,210660</w:t>
            </w:r>
          </w:p>
        </w:tc>
      </w:tr>
      <w:tr>
        <w:trPr>
          <w:trHeight w:hRule="atLeast"/>
        </w:trPr>
        <w:tc>
          <w:tcPr>
            <w:tcW w:type="dxa" w:w="2551"/>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Spearman</w:t>
            </w:r>
          </w:p>
        </w:tc>
        <w:tc>
          <w:tcPr>
            <w:tcW w:type="dxa" w:w="2154"/>
            <w:tcMar>
              <w:top w:w="60" w:type="dxa"/>
              <w:start w:w="70" w:type="dxa"/>
              <w:bottom w:w="60" w:type="dxa"/>
              <w:end w:w="70" w:type="dxa"/>
            </w:tcMar>
            <w:vAlign w:val="center"/>
          </w:tcPr>
          <w:p>
            <w:pPr>
              <w:jc w:val="center"/>
            </w:pPr>
            <w:r>
              <w:rPr>
                <w:rFonts w:ascii="Times New Roman" w:hAnsi="Times New Roman"/>
                <w:sz w:val="20"/>
              </w:rPr>
              <w:t>0,881769</w:t>
            </w:r>
          </w:p>
        </w:tc>
        <w:tc>
          <w:tcPr>
            <w:tcW w:type="dxa" w:w="2154"/>
            <w:tcMar>
              <w:top w:w="60" w:type="dxa"/>
              <w:start w:w="70" w:type="dxa"/>
              <w:bottom w:w="60" w:type="dxa"/>
              <w:end w:w="70" w:type="dxa"/>
            </w:tcMar>
            <w:vAlign w:val="center"/>
          </w:tcPr>
          <w:p>
            <w:pPr>
              <w:jc w:val="center"/>
            </w:pPr>
            <w:r>
              <w:rPr>
                <w:rFonts w:ascii="Times New Roman" w:hAnsi="Times New Roman"/>
                <w:sz w:val="20"/>
              </w:rPr>
              <w:t>0,827306</w:t>
            </w:r>
          </w:p>
        </w:tc>
        <w:tc>
          <w:tcPr>
            <w:tcW w:type="dxa" w:w="2211"/>
            <w:tcMar>
              <w:top w:w="60" w:type="dxa"/>
              <w:start w:w="70" w:type="dxa"/>
              <w:bottom w:w="60" w:type="dxa"/>
              <w:end w:w="70" w:type="dxa"/>
            </w:tcMar>
            <w:vAlign w:val="center"/>
          </w:tcPr>
          <w:p>
            <w:pPr>
              <w:jc w:val="center"/>
            </w:pPr>
            <w:r>
              <w:rPr>
                <w:rFonts w:ascii="Times New Roman" w:hAnsi="Times New Roman"/>
                <w:sz w:val="20"/>
              </w:rPr>
              <w:t>0,913632</w:t>
            </w:r>
          </w:p>
        </w:tc>
      </w:tr>
      <w:tr>
        <w:trPr>
          <w:trHeight w:hRule="atLeast"/>
        </w:trPr>
        <w:tc>
          <w:tcPr>
            <w:tcW w:type="dxa" w:w="2551"/>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Kendall</w:t>
            </w:r>
          </w:p>
        </w:tc>
        <w:tc>
          <w:tcPr>
            <w:tcW w:type="dxa" w:w="2154"/>
            <w:tcMar>
              <w:top w:w="60" w:type="dxa"/>
              <w:start w:w="70" w:type="dxa"/>
              <w:bottom w:w="60" w:type="dxa"/>
              <w:end w:w="70" w:type="dxa"/>
            </w:tcMar>
            <w:vAlign w:val="center"/>
          </w:tcPr>
          <w:p>
            <w:pPr>
              <w:jc w:val="center"/>
            </w:pPr>
            <w:r>
              <w:rPr>
                <w:rFonts w:ascii="Times New Roman" w:hAnsi="Times New Roman"/>
                <w:sz w:val="20"/>
              </w:rPr>
              <w:t>0,699329</w:t>
            </w:r>
          </w:p>
        </w:tc>
        <w:tc>
          <w:tcPr>
            <w:tcW w:type="dxa" w:w="2154"/>
            <w:tcMar>
              <w:top w:w="60" w:type="dxa"/>
              <w:start w:w="70" w:type="dxa"/>
              <w:bottom w:w="60" w:type="dxa"/>
              <w:end w:w="70" w:type="dxa"/>
            </w:tcMar>
            <w:vAlign w:val="center"/>
          </w:tcPr>
          <w:p>
            <w:pPr>
              <w:jc w:val="center"/>
            </w:pPr>
            <w:r>
              <w:rPr>
                <w:rFonts w:ascii="Times New Roman" w:hAnsi="Times New Roman"/>
                <w:sz w:val="20"/>
              </w:rPr>
              <w:t>0,640936</w:t>
            </w:r>
          </w:p>
        </w:tc>
        <w:tc>
          <w:tcPr>
            <w:tcW w:type="dxa" w:w="2211"/>
            <w:tcMar>
              <w:top w:w="60" w:type="dxa"/>
              <w:start w:w="70" w:type="dxa"/>
              <w:bottom w:w="60" w:type="dxa"/>
              <w:end w:w="70" w:type="dxa"/>
            </w:tcMar>
            <w:vAlign w:val="center"/>
          </w:tcPr>
          <w:p>
            <w:pPr>
              <w:jc w:val="center"/>
            </w:pPr>
            <w:r>
              <w:rPr>
                <w:rFonts w:ascii="Times New Roman" w:hAnsi="Times New Roman"/>
                <w:sz w:val="20"/>
              </w:rPr>
              <w:t>0,747594</w:t>
            </w:r>
          </w:p>
        </w:tc>
      </w:tr>
      <w:tr>
        <w:trPr>
          <w:trHeight w:hRule="atLeast"/>
        </w:trPr>
        <w:tc>
          <w:tcPr>
            <w:tcW w:type="dxa" w:w="2551"/>
            <w:tcMar>
              <w:top w:w="60" w:type="dxa"/>
              <w:start w:w="70" w:type="dxa"/>
              <w:bottom w:w="60" w:type="dxa"/>
              <w:end w:w="70" w:type="dxa"/>
            </w:tcMar>
            <w:vAlign w:val="center"/>
          </w:tcPr>
          <w:p>
            <w:pPr>
              <w:jc w:val="center"/>
            </w:pPr>
            <w:r>
              <w:rPr>
                <w:rFonts w:ascii="Times New Roman" w:hAnsi="Times New Roman"/>
                <w:sz w:val="20"/>
              </w:rPr>
              <w:t>Accuracy</w:t>
            </w:r>
          </w:p>
        </w:tc>
        <w:tc>
          <w:tcPr>
            <w:tcW w:type="dxa" w:w="2154"/>
            <w:tcMar>
              <w:top w:w="60" w:type="dxa"/>
              <w:start w:w="70" w:type="dxa"/>
              <w:bottom w:w="60" w:type="dxa"/>
              <w:end w:w="70" w:type="dxa"/>
            </w:tcMar>
            <w:vAlign w:val="center"/>
          </w:tcPr>
          <w:p>
            <w:pPr>
              <w:jc w:val="center"/>
            </w:pPr>
            <w:r>
              <w:rPr>
                <w:rFonts w:ascii="Times New Roman" w:hAnsi="Times New Roman"/>
                <w:sz w:val="20"/>
              </w:rPr>
              <w:t>0,446667</w:t>
            </w:r>
          </w:p>
        </w:tc>
        <w:tc>
          <w:tcPr>
            <w:tcW w:type="dxa" w:w="2154"/>
            <w:tcMar>
              <w:top w:w="60" w:type="dxa"/>
              <w:start w:w="70" w:type="dxa"/>
              <w:bottom w:w="60" w:type="dxa"/>
              <w:end w:w="70" w:type="dxa"/>
            </w:tcMar>
            <w:vAlign w:val="center"/>
          </w:tcPr>
          <w:p>
            <w:pPr>
              <w:jc w:val="center"/>
            </w:pPr>
            <w:r>
              <w:rPr>
                <w:rFonts w:ascii="Times New Roman" w:hAnsi="Times New Roman"/>
                <w:sz w:val="20"/>
              </w:rPr>
              <w:t>0,366667</w:t>
            </w:r>
          </w:p>
        </w:tc>
        <w:tc>
          <w:tcPr>
            <w:tcW w:type="dxa" w:w="2211"/>
            <w:tcMar>
              <w:top w:w="60" w:type="dxa"/>
              <w:start w:w="70" w:type="dxa"/>
              <w:bottom w:w="60" w:type="dxa"/>
              <w:end w:w="70" w:type="dxa"/>
            </w:tcMar>
            <w:vAlign w:val="center"/>
          </w:tcPr>
          <w:p>
            <w:pPr>
              <w:jc w:val="center"/>
            </w:pPr>
            <w:r>
              <w:rPr>
                <w:rFonts w:ascii="Times New Roman" w:hAnsi="Times New Roman"/>
                <w:sz w:val="20"/>
              </w:rPr>
              <w:t>0,526667</w:t>
            </w:r>
          </w:p>
        </w:tc>
      </w:tr>
      <w:tr>
        <w:trPr>
          <w:trHeight w:hRule="atLeast"/>
        </w:trPr>
        <w:tc>
          <w:tcPr>
            <w:tcW w:type="dxa" w:w="2551"/>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Macro F1</w:t>
            </w:r>
          </w:p>
        </w:tc>
        <w:tc>
          <w:tcPr>
            <w:tcW w:type="dxa" w:w="2154"/>
            <w:tcMar>
              <w:top w:w="60" w:type="dxa"/>
              <w:start w:w="70" w:type="dxa"/>
              <w:bottom w:w="60" w:type="dxa"/>
              <w:end w:w="70" w:type="dxa"/>
            </w:tcMar>
            <w:vAlign w:val="center"/>
          </w:tcPr>
          <w:p>
            <w:pPr>
              <w:jc w:val="center"/>
            </w:pPr>
            <w:r>
              <w:rPr>
                <w:rFonts w:ascii="Times New Roman" w:hAnsi="Times New Roman"/>
                <w:sz w:val="20"/>
              </w:rPr>
              <w:t>0,422515</w:t>
            </w:r>
          </w:p>
        </w:tc>
        <w:tc>
          <w:tcPr>
            <w:tcW w:type="dxa" w:w="2154"/>
            <w:tcMar>
              <w:top w:w="60" w:type="dxa"/>
              <w:start w:w="70" w:type="dxa"/>
              <w:bottom w:w="60" w:type="dxa"/>
              <w:end w:w="70" w:type="dxa"/>
            </w:tcMar>
            <w:vAlign w:val="center"/>
          </w:tcPr>
          <w:p>
            <w:pPr>
              <w:jc w:val="center"/>
            </w:pPr>
            <w:r>
              <w:rPr>
                <w:rFonts w:ascii="Times New Roman" w:hAnsi="Times New Roman"/>
                <w:sz w:val="20"/>
              </w:rPr>
              <w:t>0,366762</w:t>
            </w:r>
          </w:p>
        </w:tc>
        <w:tc>
          <w:tcPr>
            <w:tcW w:type="dxa" w:w="2211"/>
            <w:tcMar>
              <w:top w:w="60" w:type="dxa"/>
              <w:start w:w="70" w:type="dxa"/>
              <w:bottom w:w="60" w:type="dxa"/>
              <w:end w:w="70" w:type="dxa"/>
            </w:tcMar>
            <w:vAlign w:val="center"/>
          </w:tcPr>
          <w:p>
            <w:pPr>
              <w:jc w:val="center"/>
            </w:pPr>
            <w:r>
              <w:rPr>
                <w:rFonts w:ascii="Times New Roman" w:hAnsi="Times New Roman"/>
                <w:sz w:val="20"/>
              </w:rPr>
              <w:t>0,477204</w:t>
            </w:r>
          </w:p>
        </w:tc>
      </w:tr>
    </w:tbl>
    <w:p>
      <w:pPr>
        <w:keepNext/>
        <w:spacing w:before="120" w:after="60"/>
        <w:jc w:val="center"/>
      </w:pPr>
      <w:r>
        <w:rPr>
          <w:rFonts w:ascii="Times New Roman" w:hAnsi="Times New Roman" w:eastAsia="Times New Roman"/>
          <w:b w:val="0"/>
          <w:i w:val="0"/>
          <w:sz w:val="20"/>
        </w:rPr>
        <w:t>Таблица 6.15 - Парные bootstrap-разности модели главы 5 и baseline</w:t>
      </w:r>
    </w:p>
    <w:tbl>
      <w:tblPr>
        <w:tblStyle w:val="TableGrid"/>
        <w:tblW w:type="auto" w:w="0"/>
        <w:jc w:val="center"/>
        <w:tblLayout w:type="fixed"/>
        <w:tblLook w:firstColumn="1" w:firstRow="1" w:lastColumn="0" w:lastRow="0" w:noHBand="0" w:noVBand="1" w:val="04A0"/>
      </w:tblPr>
      <w:tblGrid>
        <w:gridCol w:w="1559"/>
        <w:gridCol w:w="1559"/>
        <w:gridCol w:w="1559"/>
        <w:gridCol w:w="1559"/>
        <w:gridCol w:w="1559"/>
        <w:gridCol w:w="1559"/>
      </w:tblGrid>
      <w:tr>
        <w:trPr>
          <w:trHeight w:hRule="atLeast"/>
          <w:tblHeader w:val="true"/>
        </w:trPr>
        <w:tc>
          <w:tcPr>
            <w:tcW w:type="dxa" w:w="2268"/>
            <w:shd w:fill="D9E2F3"/>
            <w:tcMar>
              <w:top w:w="60" w:type="dxa"/>
              <w:start w:w="70" w:type="dxa"/>
              <w:bottom w:w="60" w:type="dxa"/>
              <w:end w:w="70" w:type="dxa"/>
            </w:tcMar>
            <w:vAlign w:val="center"/>
          </w:tcPr>
          <w:p>
            <w:pPr>
              <w:spacing w:after="0" w:line="240" w:lineRule="auto"/>
              <w:jc w:val="left"/>
            </w:pPr>
            <w:r>
              <w:rPr>
                <w:rFonts w:ascii="Times New Roman" w:hAnsi="Times New Roman" w:eastAsia="Times New Roman"/>
                <w:b/>
                <w:i w:val="0"/>
                <w:sz w:val="20"/>
              </w:rPr>
              <w:t>Сравнение</w:t>
            </w:r>
          </w:p>
        </w:tc>
        <w:tc>
          <w:tcPr>
            <w:tcW w:type="dxa" w:w="1304"/>
            <w:shd w:fill="D9E2F3"/>
            <w:tcMar>
              <w:top w:w="60" w:type="dxa"/>
              <w:start w:w="70" w:type="dxa"/>
              <w:bottom w:w="60" w:type="dxa"/>
              <w:end w:w="70" w:type="dxa"/>
            </w:tcMar>
            <w:vAlign w:val="center"/>
          </w:tcPr>
          <w:p>
            <w:pPr>
              <w:spacing w:after="0" w:line="240" w:lineRule="auto"/>
              <w:jc w:val="left"/>
            </w:pPr>
            <w:r>
              <w:rPr>
                <w:rFonts w:ascii="Times New Roman" w:hAnsi="Times New Roman" w:eastAsia="Times New Roman"/>
                <w:b/>
                <w:i w:val="0"/>
                <w:sz w:val="20"/>
              </w:rPr>
              <w:t>Метрика</w:t>
            </w:r>
          </w:p>
        </w:tc>
        <w:tc>
          <w:tcPr>
            <w:tcW w:type="dxa" w:w="1191"/>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Δ</w:t>
            </w:r>
          </w:p>
        </w:tc>
        <w:tc>
          <w:tcPr>
            <w:tcW w:type="dxa" w:w="1474"/>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95% CI lower</w:t>
            </w:r>
          </w:p>
        </w:tc>
        <w:tc>
          <w:tcPr>
            <w:tcW w:type="dxa" w:w="1474"/>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95% CI upper</w:t>
            </w:r>
          </w:p>
        </w:tc>
        <w:tc>
          <w:tcPr>
            <w:tcW w:type="dxa" w:w="1701"/>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Устойчивое преимущество</w:t>
            </w:r>
          </w:p>
        </w:tc>
      </w:tr>
      <w:tr>
        <w:trPr>
          <w:trHeight w:hRule="atLeast"/>
        </w:trPr>
        <w:tc>
          <w:tcPr>
            <w:tcW w:type="dxa" w:w="2268"/>
            <w:tcMar>
              <w:top w:w="60" w:type="dxa"/>
              <w:start w:w="70" w:type="dxa"/>
              <w:bottom w:w="60" w:type="dxa"/>
              <w:end w:w="70" w:type="dxa"/>
            </w:tcMar>
            <w:vAlign w:val="center"/>
          </w:tcPr>
          <w:p>
            <w:pPr>
              <w:jc w:val="center"/>
            </w:pPr>
            <w:r>
              <w:rPr>
                <w:rFonts w:ascii="Times New Roman" w:hAnsi="Times New Roman"/>
                <w:sz w:val="20"/>
              </w:rPr>
              <w:t>Chapter 5 − Mean</w:t>
            </w:r>
          </w:p>
        </w:tc>
        <w:tc>
          <w:tcPr>
            <w:tcW w:type="dxa" w:w="1304"/>
            <w:tcMar>
              <w:top w:w="60" w:type="dxa"/>
              <w:start w:w="70" w:type="dxa"/>
              <w:bottom w:w="60" w:type="dxa"/>
              <w:end w:w="70" w:type="dxa"/>
            </w:tcMar>
            <w:vAlign w:val="center"/>
          </w:tcPr>
          <w:p>
            <w:pPr>
              <w:jc w:val="center"/>
            </w:pPr>
            <w:r>
              <w:rPr>
                <w:rFonts w:ascii="Times New Roman" w:hAnsi="Times New Roman"/>
                <w:sz w:val="20"/>
              </w:rPr>
              <w:t>MAE</w:t>
            </w:r>
          </w:p>
        </w:tc>
        <w:tc>
          <w:tcPr>
            <w:tcW w:type="dxa" w:w="1191"/>
            <w:tcMar>
              <w:top w:w="60" w:type="dxa"/>
              <w:start w:w="70" w:type="dxa"/>
              <w:bottom w:w="60" w:type="dxa"/>
              <w:end w:w="70" w:type="dxa"/>
            </w:tcMar>
            <w:vAlign w:val="center"/>
          </w:tcPr>
          <w:p>
            <w:pPr>
              <w:jc w:val="center"/>
            </w:pPr>
            <w:r>
              <w:rPr>
                <w:rFonts w:ascii="Times New Roman" w:hAnsi="Times New Roman"/>
                <w:sz w:val="20"/>
              </w:rPr>
              <w:t>0,062017</w:t>
            </w:r>
          </w:p>
        </w:tc>
        <w:tc>
          <w:tcPr>
            <w:tcW w:type="dxa" w:w="1474"/>
            <w:tcMar>
              <w:top w:w="60" w:type="dxa"/>
              <w:start w:w="70" w:type="dxa"/>
              <w:bottom w:w="60" w:type="dxa"/>
              <w:end w:w="70" w:type="dxa"/>
            </w:tcMar>
            <w:vAlign w:val="center"/>
          </w:tcPr>
          <w:p>
            <w:pPr>
              <w:jc w:val="center"/>
            </w:pPr>
            <w:r>
              <w:rPr>
                <w:rFonts w:ascii="Times New Roman" w:hAnsi="Times New Roman"/>
                <w:sz w:val="20"/>
              </w:rPr>
              <w:t>0,039978</w:t>
            </w:r>
          </w:p>
        </w:tc>
        <w:tc>
          <w:tcPr>
            <w:tcW w:type="dxa" w:w="1474"/>
            <w:tcMar>
              <w:top w:w="60" w:type="dxa"/>
              <w:start w:w="70" w:type="dxa"/>
              <w:bottom w:w="60" w:type="dxa"/>
              <w:end w:w="70" w:type="dxa"/>
            </w:tcMar>
            <w:vAlign w:val="center"/>
          </w:tcPr>
          <w:p>
            <w:pPr>
              <w:jc w:val="center"/>
            </w:pPr>
            <w:r>
              <w:rPr>
                <w:rFonts w:ascii="Times New Roman" w:hAnsi="Times New Roman"/>
                <w:sz w:val="20"/>
              </w:rPr>
              <w:t>0,083162</w:t>
            </w:r>
          </w:p>
        </w:tc>
        <w:tc>
          <w:tcPr>
            <w:tcW w:type="dxa" w:w="1701"/>
            <w:tcMar>
              <w:top w:w="60" w:type="dxa"/>
              <w:start w:w="70" w:type="dxa"/>
              <w:bottom w:w="60" w:type="dxa"/>
              <w:end w:w="70" w:type="dxa"/>
            </w:tcMar>
            <w:vAlign w:val="center"/>
          </w:tcPr>
          <w:p>
            <w:pPr>
              <w:jc w:val="center"/>
            </w:pPr>
            <w:r>
              <w:rPr>
                <w:rFonts w:ascii="Times New Roman" w:hAnsi="Times New Roman"/>
                <w:sz w:val="20"/>
              </w:rPr>
              <w:t>нет, преимущество baseline</w:t>
            </w:r>
          </w:p>
        </w:tc>
      </w:tr>
      <w:tr>
        <w:trPr>
          <w:trHeight w:hRule="atLeast"/>
        </w:trPr>
        <w:tc>
          <w:tcPr>
            <w:tcW w:type="dxa" w:w="2268"/>
            <w:tcMar>
              <w:top w:w="60" w:type="dxa"/>
              <w:start w:w="70" w:type="dxa"/>
              <w:bottom w:w="60" w:type="dxa"/>
              <w:end w:w="70" w:type="dxa"/>
            </w:tcMar>
            <w:vAlign w:val="center"/>
          </w:tcPr>
          <w:p>
            <w:pPr>
              <w:jc w:val="center"/>
            </w:pPr>
            <w:r>
              <w:rPr>
                <w:rFonts w:ascii="Times New Roman" w:hAnsi="Times New Roman"/>
                <w:sz w:val="20"/>
              </w:rPr>
              <w:t>Chapter 5 − Prior-only</w:t>
            </w:r>
          </w:p>
        </w:tc>
        <w:tc>
          <w:tcPr>
            <w:tcW w:type="dxa" w:w="1304"/>
            <w:tcMar>
              <w:top w:w="60" w:type="dxa"/>
              <w:start w:w="70" w:type="dxa"/>
              <w:bottom w:w="60" w:type="dxa"/>
              <w:end w:w="70" w:type="dxa"/>
            </w:tcMar>
            <w:vAlign w:val="center"/>
          </w:tcPr>
          <w:p>
            <w:pPr>
              <w:jc w:val="center"/>
            </w:pPr>
            <w:r>
              <w:rPr>
                <w:rFonts w:ascii="Times New Roman" w:hAnsi="Times New Roman"/>
                <w:sz w:val="20"/>
              </w:rPr>
              <w:t>MAE</w:t>
            </w:r>
          </w:p>
        </w:tc>
        <w:tc>
          <w:tcPr>
            <w:tcW w:type="dxa" w:w="1191"/>
            <w:tcMar>
              <w:top w:w="60" w:type="dxa"/>
              <w:start w:w="70" w:type="dxa"/>
              <w:bottom w:w="60" w:type="dxa"/>
              <w:end w:w="70" w:type="dxa"/>
            </w:tcMar>
            <w:vAlign w:val="center"/>
          </w:tcPr>
          <w:p>
            <w:pPr>
              <w:jc w:val="center"/>
            </w:pPr>
            <w:r>
              <w:rPr>
                <w:rFonts w:ascii="Times New Roman" w:hAnsi="Times New Roman"/>
                <w:sz w:val="20"/>
              </w:rPr>
              <w:t>0,047422</w:t>
            </w:r>
          </w:p>
        </w:tc>
        <w:tc>
          <w:tcPr>
            <w:tcW w:type="dxa" w:w="1474"/>
            <w:tcMar>
              <w:top w:w="60" w:type="dxa"/>
              <w:start w:w="70" w:type="dxa"/>
              <w:bottom w:w="60" w:type="dxa"/>
              <w:end w:w="70" w:type="dxa"/>
            </w:tcMar>
            <w:vAlign w:val="center"/>
          </w:tcPr>
          <w:p>
            <w:pPr>
              <w:jc w:val="center"/>
            </w:pPr>
            <w:r>
              <w:rPr>
                <w:rFonts w:ascii="Times New Roman" w:hAnsi="Times New Roman"/>
                <w:sz w:val="20"/>
              </w:rPr>
              <w:t>0,033287</w:t>
            </w:r>
          </w:p>
        </w:tc>
        <w:tc>
          <w:tcPr>
            <w:tcW w:type="dxa" w:w="1474"/>
            <w:tcMar>
              <w:top w:w="60" w:type="dxa"/>
              <w:start w:w="70" w:type="dxa"/>
              <w:bottom w:w="60" w:type="dxa"/>
              <w:end w:w="70" w:type="dxa"/>
            </w:tcMar>
            <w:vAlign w:val="center"/>
          </w:tcPr>
          <w:p>
            <w:pPr>
              <w:jc w:val="center"/>
            </w:pPr>
            <w:r>
              <w:rPr>
                <w:rFonts w:ascii="Times New Roman" w:hAnsi="Times New Roman"/>
                <w:sz w:val="20"/>
              </w:rPr>
              <w:t>0,061163</w:t>
            </w:r>
          </w:p>
        </w:tc>
        <w:tc>
          <w:tcPr>
            <w:tcW w:type="dxa" w:w="1701"/>
            <w:tcMar>
              <w:top w:w="60" w:type="dxa"/>
              <w:start w:w="70" w:type="dxa"/>
              <w:bottom w:w="60" w:type="dxa"/>
              <w:end w:w="70" w:type="dxa"/>
            </w:tcMar>
            <w:vAlign w:val="center"/>
          </w:tcPr>
          <w:p>
            <w:pPr>
              <w:jc w:val="center"/>
            </w:pPr>
            <w:r>
              <w:rPr>
                <w:rFonts w:ascii="Times New Roman" w:hAnsi="Times New Roman"/>
                <w:sz w:val="20"/>
              </w:rPr>
              <w:t>нет, преимущество baseline</w:t>
            </w:r>
          </w:p>
        </w:tc>
      </w:tr>
      <w:tr>
        <w:trPr>
          <w:trHeight w:hRule="atLeast"/>
        </w:trPr>
        <w:tc>
          <w:tcPr>
            <w:tcW w:type="dxa" w:w="2268"/>
            <w:tcMar>
              <w:top w:w="60" w:type="dxa"/>
              <w:start w:w="70" w:type="dxa"/>
              <w:bottom w:w="60" w:type="dxa"/>
              <w:end w:w="70" w:type="dxa"/>
            </w:tcMar>
            <w:vAlign w:val="center"/>
          </w:tcPr>
          <w:p>
            <w:pPr>
              <w:jc w:val="center"/>
            </w:pPr>
            <w:r>
              <w:rPr>
                <w:rFonts w:ascii="Times New Roman" w:hAnsi="Times New Roman"/>
                <w:sz w:val="20"/>
              </w:rPr>
              <w:t>Chapter 5 − Theta-only</w:t>
            </w:r>
          </w:p>
        </w:tc>
        <w:tc>
          <w:tcPr>
            <w:tcW w:type="dxa" w:w="1304"/>
            <w:tcMar>
              <w:top w:w="60" w:type="dxa"/>
              <w:start w:w="70" w:type="dxa"/>
              <w:bottom w:w="60" w:type="dxa"/>
              <w:end w:w="70" w:type="dxa"/>
            </w:tcMar>
            <w:vAlign w:val="center"/>
          </w:tcPr>
          <w:p>
            <w:pPr>
              <w:jc w:val="center"/>
            </w:pPr>
            <w:r>
              <w:rPr>
                <w:rFonts w:ascii="Times New Roman" w:hAnsi="Times New Roman"/>
                <w:sz w:val="20"/>
              </w:rPr>
              <w:t>MAE</w:t>
            </w:r>
          </w:p>
        </w:tc>
        <w:tc>
          <w:tcPr>
            <w:tcW w:type="dxa" w:w="1191"/>
            <w:tcMar>
              <w:top w:w="60" w:type="dxa"/>
              <w:start w:w="70" w:type="dxa"/>
              <w:bottom w:w="60" w:type="dxa"/>
              <w:end w:w="70" w:type="dxa"/>
            </w:tcMar>
            <w:vAlign w:val="center"/>
          </w:tcPr>
          <w:p>
            <w:pPr>
              <w:jc w:val="center"/>
            </w:pPr>
            <w:r>
              <w:rPr>
                <w:rFonts w:ascii="Times New Roman" w:hAnsi="Times New Roman"/>
                <w:sz w:val="20"/>
              </w:rPr>
              <w:t>-0,144880</w:t>
            </w:r>
          </w:p>
        </w:tc>
        <w:tc>
          <w:tcPr>
            <w:tcW w:type="dxa" w:w="1474"/>
            <w:tcMar>
              <w:top w:w="60" w:type="dxa"/>
              <w:start w:w="70" w:type="dxa"/>
              <w:bottom w:w="60" w:type="dxa"/>
              <w:end w:w="70" w:type="dxa"/>
            </w:tcMar>
            <w:vAlign w:val="center"/>
          </w:tcPr>
          <w:p>
            <w:pPr>
              <w:jc w:val="center"/>
            </w:pPr>
            <w:r>
              <w:rPr>
                <w:rFonts w:ascii="Times New Roman" w:hAnsi="Times New Roman"/>
                <w:sz w:val="20"/>
              </w:rPr>
              <w:t>-0,162300</w:t>
            </w:r>
          </w:p>
        </w:tc>
        <w:tc>
          <w:tcPr>
            <w:tcW w:type="dxa" w:w="1474"/>
            <w:tcMar>
              <w:top w:w="60" w:type="dxa"/>
              <w:start w:w="70" w:type="dxa"/>
              <w:bottom w:w="60" w:type="dxa"/>
              <w:end w:w="70" w:type="dxa"/>
            </w:tcMar>
            <w:vAlign w:val="center"/>
          </w:tcPr>
          <w:p>
            <w:pPr>
              <w:jc w:val="center"/>
            </w:pPr>
            <w:r>
              <w:rPr>
                <w:rFonts w:ascii="Times New Roman" w:hAnsi="Times New Roman"/>
                <w:sz w:val="20"/>
              </w:rPr>
              <w:t>-0,127245</w:t>
            </w:r>
          </w:p>
        </w:tc>
        <w:tc>
          <w:tcPr>
            <w:tcW w:type="dxa" w:w="1701"/>
            <w:tcMar>
              <w:top w:w="60" w:type="dxa"/>
              <w:start w:w="70" w:type="dxa"/>
              <w:bottom w:w="60" w:type="dxa"/>
              <w:end w:w="70" w:type="dxa"/>
            </w:tcMar>
            <w:vAlign w:val="center"/>
          </w:tcPr>
          <w:p>
            <w:pPr>
              <w:jc w:val="center"/>
            </w:pPr>
            <w:r>
              <w:rPr>
                <w:rFonts w:ascii="Times New Roman" w:hAnsi="Times New Roman"/>
                <w:sz w:val="20"/>
              </w:rPr>
              <w:t>да, модель главы 5</w:t>
            </w:r>
          </w:p>
        </w:tc>
      </w:tr>
      <w:tr>
        <w:trPr>
          <w:trHeight w:hRule="atLeast"/>
        </w:trPr>
        <w:tc>
          <w:tcPr>
            <w:tcW w:type="dxa" w:w="2268"/>
            <w:tcMar>
              <w:top w:w="60" w:type="dxa"/>
              <w:start w:w="70" w:type="dxa"/>
              <w:bottom w:w="60" w:type="dxa"/>
              <w:end w:w="70" w:type="dxa"/>
            </w:tcMar>
            <w:vAlign w:val="center"/>
          </w:tcPr>
          <w:p>
            <w:pPr>
              <w:jc w:val="center"/>
            </w:pPr>
            <w:r>
              <w:rPr>
                <w:rFonts w:ascii="Times New Roman" w:hAnsi="Times New Roman"/>
                <w:sz w:val="20"/>
              </w:rPr>
              <w:t>Chapter 5 − Prior-only</w:t>
            </w:r>
          </w:p>
        </w:tc>
        <w:tc>
          <w:tcPr>
            <w:tcW w:type="dxa" w:w="1304"/>
            <w:tcMar>
              <w:top w:w="60" w:type="dxa"/>
              <w:start w:w="70" w:type="dxa"/>
              <w:bottom w:w="60" w:type="dxa"/>
              <w:end w:w="70" w:type="dxa"/>
            </w:tcMar>
            <w:vAlign w:val="center"/>
          </w:tcPr>
          <w:p>
            <w:pPr>
              <w:jc w:val="center"/>
            </w:pPr>
            <w:r>
              <w:rPr>
                <w:rFonts w:ascii="Times New Roman" w:hAnsi="Times New Roman"/>
                <w:sz w:val="20"/>
              </w:rPr>
              <w:t>Spearman</w:t>
            </w:r>
          </w:p>
        </w:tc>
        <w:tc>
          <w:tcPr>
            <w:tcW w:type="dxa" w:w="1191"/>
            <w:tcMar>
              <w:top w:w="60" w:type="dxa"/>
              <w:start w:w="70" w:type="dxa"/>
              <w:bottom w:w="60" w:type="dxa"/>
              <w:end w:w="70" w:type="dxa"/>
            </w:tcMar>
            <w:vAlign w:val="center"/>
          </w:tcPr>
          <w:p>
            <w:pPr>
              <w:jc w:val="center"/>
            </w:pPr>
            <w:r>
              <w:rPr>
                <w:rFonts w:ascii="Times New Roman" w:hAnsi="Times New Roman"/>
                <w:sz w:val="20"/>
              </w:rPr>
              <w:t>0,022717</w:t>
            </w:r>
          </w:p>
        </w:tc>
        <w:tc>
          <w:tcPr>
            <w:tcW w:type="dxa" w:w="1474"/>
            <w:tcMar>
              <w:top w:w="60" w:type="dxa"/>
              <w:start w:w="70" w:type="dxa"/>
              <w:bottom w:w="60" w:type="dxa"/>
              <w:end w:w="70" w:type="dxa"/>
            </w:tcMar>
            <w:vAlign w:val="center"/>
          </w:tcPr>
          <w:p>
            <w:pPr>
              <w:jc w:val="center"/>
            </w:pPr>
            <w:r>
              <w:rPr>
                <w:rFonts w:ascii="Times New Roman" w:hAnsi="Times New Roman"/>
                <w:sz w:val="20"/>
              </w:rPr>
              <w:t>-0,002245</w:t>
            </w:r>
          </w:p>
        </w:tc>
        <w:tc>
          <w:tcPr>
            <w:tcW w:type="dxa" w:w="1474"/>
            <w:tcMar>
              <w:top w:w="60" w:type="dxa"/>
              <w:start w:w="70" w:type="dxa"/>
              <w:bottom w:w="60" w:type="dxa"/>
              <w:end w:w="70" w:type="dxa"/>
            </w:tcMar>
            <w:vAlign w:val="center"/>
          </w:tcPr>
          <w:p>
            <w:pPr>
              <w:jc w:val="center"/>
            </w:pPr>
            <w:r>
              <w:rPr>
                <w:rFonts w:ascii="Times New Roman" w:hAnsi="Times New Roman"/>
                <w:sz w:val="20"/>
              </w:rPr>
              <w:t>0,050660</w:t>
            </w:r>
          </w:p>
        </w:tc>
        <w:tc>
          <w:tcPr>
            <w:tcW w:type="dxa" w:w="1701"/>
            <w:tcMar>
              <w:top w:w="60" w:type="dxa"/>
              <w:start w:w="70" w:type="dxa"/>
              <w:bottom w:w="60" w:type="dxa"/>
              <w:end w:w="70" w:type="dxa"/>
            </w:tcMar>
            <w:vAlign w:val="center"/>
          </w:tcPr>
          <w:p>
            <w:pPr>
              <w:jc w:val="center"/>
            </w:pPr>
            <w:r>
              <w:rPr>
                <w:rFonts w:ascii="Times New Roman" w:hAnsi="Times New Roman"/>
                <w:sz w:val="20"/>
              </w:rPr>
              <w:t>устойчивое различие не выявлено</w:t>
            </w:r>
          </w:p>
        </w:tc>
      </w:tr>
    </w:tbl>
    <w:p>
      <w:pPr>
        <w:spacing w:line="360" w:lineRule="auto" w:before="0" w:after="0"/>
        <w:ind w:firstLine="709"/>
        <w:jc w:val="both"/>
      </w:pPr>
      <w:r>
        <w:rPr>
          <w:rFonts w:ascii="Times New Roman" w:hAnsi="Times New Roman" w:eastAsia="Times New Roman"/>
        </w:rPr>
        <w:t>Парный bootstrap дал 7 устойчивых преимуществ модели главы 5, 5 устойчивых преимуществ baseline и 6 сравнений без устойчивого вывода. Преимущество mean- и prior-only-baseline по абсолютной ошибке является устойчивым, тогда как различия ранговых и части классификационных метрик не всегда исключают ноль.</w:t>
      </w:r>
    </w:p>
    <w:p>
      <w:pPr>
        <w:pStyle w:val="Heading1"/>
        <w:keepNext/>
        <w:pageBreakBefore w:val="0"/>
        <w:spacing w:before="240" w:after="120"/>
        <w:jc w:val="left"/>
      </w:pPr>
      <w:r>
        <w:rPr>
          <w:rFonts w:ascii="Times New Roman" w:hAnsi="Times New Roman" w:eastAsia="Times New Roman"/>
          <w:b/>
          <w:i w:val="0"/>
          <w:sz w:val="32"/>
        </w:rPr>
        <w:t>6.10. Анализ ошибок прогноза</w:t>
      </w:r>
    </w:p>
    <w:p>
      <w:pPr>
        <w:spacing w:line="360" w:lineRule="auto" w:before="0" w:after="0"/>
        <w:ind w:firstLine="709"/>
        <w:jc w:val="both"/>
      </w:pPr>
      <w:r>
        <w:rPr>
          <w:rFonts w:ascii="Times New Roman" w:hAnsi="Times New Roman" w:eastAsia="Times New Roman"/>
          <w:b w:val="0"/>
          <w:i w:val="0"/>
          <w:sz w:val="28"/>
        </w:rPr>
        <w:t>Агрегированные метрики дополняются анализом сценариев с наибольшими отклонениями. Для каждого сценария рассчитывается абсолютная ошибка:</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118"/>
        <w:gridCol w:w="3118"/>
        <w:gridCol w:w="3118"/>
      </w:tblGrid>
      <w:tr>
        <w:tc>
          <w:tcPr>
            <w:tcW w:type="dxa" w:w="680"/>
            <w:tcMar>
              <w:top w:w="20" w:type="dxa"/>
              <w:start w:w="0" w:type="dxa"/>
              <w:bottom w:w="20" w:type="dxa"/>
              <w:end w:w="0" w:type="dxa"/>
            </w:tcMar>
          </w:tcPr>
          <w:p/>
        </w:tc>
        <w:tc>
          <w:tcPr>
            <w:tcW w:type="dxa" w:w="7710"/>
            <w:tcMar>
              <w:top w:w="20" w:type="dxa"/>
              <w:start w:w="0" w:type="dxa"/>
              <w:bottom w:w="20" w:type="dxa"/>
              <w:end w:w="0" w:type="dxa"/>
            </w:tcMar>
          </w:tcPr>
          <w:p>
            <w:pPr>
              <w:spacing w:before="80" w:after="80"/>
              <w:jc w:val="center"/>
            </w:pPr>
            <m:oMathPara>
              <m:oMathParaPr>
                <m:jc m:val="center"/>
              </m:oMathParaPr>
              <m:oMath>
                <m:sSub>
                  <m:e>
                    <m:r>
                      <m:t>a</m:t>
                    </m:r>
                  </m:e>
                  <m:sub>
                    <m:r>
                      <m:t>i</m:t>
                    </m:r>
                  </m:sub>
                </m:sSub>
                <m:r>
                  <m:rPr>
                    <m:sty m:val="p"/>
                  </m:rPr>
                  <m:t>=</m:t>
                </m:r>
                <m:d>
                  <m:dPr>
                    <m:begChr m:val="|"/>
                    <m:endChr m:val="|"/>
                    <m:sepChr m:val=""/>
                    <m:grow/>
                  </m:dPr>
                  <m:e>
                    <m:sSub>
                      <m:e>
                        <m:r>
                          <m:t>e</m:t>
                        </m:r>
                      </m:e>
                      <m:sub>
                        <m:r>
                          <m:t>i</m:t>
                        </m:r>
                      </m:sub>
                    </m:sSub>
                  </m:e>
                </m:d>
              </m:oMath>
            </m:oMathPara>
          </w:p>
        </w:tc>
        <w:tc>
          <w:tcPr>
            <w:tcW w:type="dxa" w:w="680"/>
            <w:tcMar>
              <w:top w:w="20" w:type="dxa"/>
              <w:start w:w="0" w:type="dxa"/>
              <w:bottom w:w="20" w:type="dxa"/>
              <w:end w:w="0" w:type="dxa"/>
            </w:tcMar>
          </w:tcPr>
          <w:p>
            <w:pPr>
              <w:spacing w:before="80" w:after="80"/>
              <w:jc w:val="right"/>
            </w:pPr>
            <w:r>
              <w:rPr>
                <w:rFonts w:ascii="Times New Roman" w:hAnsi="Times New Roman" w:eastAsia="Times New Roman"/>
                <w:b w:val="0"/>
                <w:i w:val="0"/>
                <w:sz w:val="20"/>
              </w:rPr>
              <w:t>(6.13)</w:t>
            </w:r>
          </w:p>
        </w:tc>
      </w:tr>
    </w:tbl>
    <w:p>
      <w:pPr>
        <w:spacing w:line="360" w:lineRule="auto" w:before="0" w:after="0"/>
        <w:ind w:firstLine="709"/>
        <w:jc w:val="both"/>
      </w:pPr>
      <w:r>
        <w:rPr>
          <w:rFonts w:ascii="Times New Roman" w:hAnsi="Times New Roman" w:eastAsia="Times New Roman"/>
          <w:b w:val="0"/>
          <w:i w:val="0"/>
          <w:sz w:val="28"/>
        </w:rPr>
        <w:t>Величина a_i соответствует полю abs_error_i в итоговой таблице анализа ошибок.</w:t>
      </w:r>
    </w:p>
    <w:p>
      <w:pPr>
        <w:spacing w:line="360" w:lineRule="auto" w:before="0" w:after="0"/>
        <w:ind w:firstLine="709"/>
        <w:jc w:val="both"/>
      </w:pPr>
      <w:r>
        <w:rPr>
          <w:rFonts w:ascii="Times New Roman" w:hAnsi="Times New Roman" w:eastAsia="Times New Roman"/>
          <w:b w:val="0"/>
          <w:i w:val="0"/>
          <w:sz w:val="28"/>
        </w:rPr>
        <w:t>Сценарии сортируются по abs_error в порядке убывания; в итоговый отчет включается не менее десяти наибольших ошибок. Для каждого случая сохраняются идентификаторы, точечный и интервальный прогноз, фактическое качество, signed-ошибка, доминирующий латентный фактор, uncertainty_score и основные фактические признаки выполнения.</w:t>
      </w:r>
    </w:p>
    <w:p>
      <w:pPr>
        <w:keepNext/>
        <w:spacing w:before="120" w:after="60"/>
        <w:jc w:val="center"/>
      </w:pPr>
      <w:r>
        <w:rPr>
          <w:rFonts w:ascii="Times New Roman" w:hAnsi="Times New Roman" w:eastAsia="Times New Roman"/>
          <w:b w:val="0"/>
          <w:i w:val="0"/>
          <w:sz w:val="20"/>
        </w:rPr>
        <w:t>Таблица 6.16 - Структура анализа крупнейших ошибок прогноза</w:t>
      </w:r>
    </w:p>
    <w:tbl>
      <w:tblPr>
        <w:tblStyle w:val="TableGrid"/>
        <w:tblW w:type="auto" w:w="0"/>
        <w:jc w:val="center"/>
        <w:tblLayout w:type="fixed"/>
        <w:tblLook w:firstColumn="1" w:firstRow="1" w:lastColumn="0" w:lastRow="0" w:noHBand="0" w:noVBand="1" w:val="04A0"/>
      </w:tblPr>
      <w:tblGrid>
        <w:gridCol w:w="4677"/>
        <w:gridCol w:w="4677"/>
      </w:tblGrid>
      <w:tr>
        <w:trPr>
          <w:trHeight w:hRule="atLeast"/>
          <w:tblHeader w:val="true"/>
        </w:trPr>
        <w:tc>
          <w:tcPr>
            <w:tcW w:type="dxa" w:w="3402"/>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Поле</w:t>
            </w:r>
          </w:p>
        </w:tc>
        <w:tc>
          <w:tcPr>
            <w:tcW w:type="dxa" w:w="5669"/>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Назначение</w:t>
            </w:r>
          </w:p>
        </w:tc>
      </w:tr>
      <w:tr>
        <w:trPr>
          <w:trHeight w:hRule="atLeast"/>
        </w:trPr>
        <w:tc>
          <w:tcPr>
            <w:tcW w:type="dxa" w:w="3402"/>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scenario_id, protocol_id</w:t>
            </w:r>
          </w:p>
        </w:tc>
        <w:tc>
          <w:tcPr>
            <w:tcW w:type="dxa" w:w="56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Однозначная трассировка сценария и протокола</w:t>
            </w:r>
          </w:p>
        </w:tc>
      </w:tr>
      <w:tr>
        <w:trPr>
          <w:trHeight w:hRule="atLeast"/>
        </w:trPr>
        <w:tc>
          <w:tcPr>
            <w:tcW w:type="dxa" w:w="3402"/>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Q_pred, Q_fact</w:t>
            </w:r>
          </w:p>
        </w:tc>
        <w:tc>
          <w:tcPr>
            <w:tcW w:type="dxa" w:w="56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Сопоставление прогноза и факта</w:t>
            </w:r>
          </w:p>
        </w:tc>
      </w:tr>
      <w:tr>
        <w:trPr>
          <w:trHeight w:hRule="atLeast"/>
        </w:trPr>
        <w:tc>
          <w:tcPr>
            <w:tcW w:type="dxa" w:w="3402"/>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error, abs_error</w:t>
            </w:r>
          </w:p>
        </w:tc>
        <w:tc>
          <w:tcPr>
            <w:tcW w:type="dxa" w:w="56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Направление и величина отклонения</w:t>
            </w:r>
          </w:p>
        </w:tc>
      </w:tr>
      <w:tr>
        <w:trPr>
          <w:trHeight w:hRule="atLeast"/>
        </w:trPr>
        <w:tc>
          <w:tcPr>
            <w:tcW w:type="dxa" w:w="3402"/>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q_pred_lower, q_pred_upper</w:t>
            </w:r>
          </w:p>
        </w:tc>
        <w:tc>
          <w:tcPr>
            <w:tcW w:type="dxa" w:w="56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Проверка попадания факта в интервал</w:t>
            </w:r>
          </w:p>
        </w:tc>
      </w:tr>
      <w:tr>
        <w:trPr>
          <w:trHeight w:hRule="atLeast"/>
        </w:trPr>
        <w:tc>
          <w:tcPr>
            <w:tcW w:type="dxa" w:w="3402"/>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dominant_topic</w:t>
            </w:r>
          </w:p>
        </w:tc>
        <w:tc>
          <w:tcPr>
            <w:tcW w:type="dxa" w:w="56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Группировка по латентному фактору</w:t>
            </w:r>
          </w:p>
        </w:tc>
      </w:tr>
      <w:tr>
        <w:trPr>
          <w:trHeight w:hRule="atLeast"/>
        </w:trPr>
        <w:tc>
          <w:tcPr>
            <w:tcW w:type="dxa" w:w="3402"/>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uncertainty_score</w:t>
            </w:r>
          </w:p>
        </w:tc>
        <w:tc>
          <w:tcPr>
            <w:tcW w:type="dxa" w:w="56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Проверка диагностической ценности неопределенности</w:t>
            </w:r>
          </w:p>
        </w:tc>
      </w:tr>
      <w:tr>
        <w:trPr>
          <w:trHeight w:hRule="atLeast"/>
        </w:trPr>
        <w:tc>
          <w:tcPr>
            <w:tcW w:type="dxa" w:w="3402"/>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fact_error_count, fact_duration_sec</w:t>
            </w:r>
          </w:p>
        </w:tc>
        <w:tc>
          <w:tcPr>
            <w:tcW w:type="dxa" w:w="56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Фактическая сложность и длительность</w:t>
            </w:r>
          </w:p>
        </w:tc>
      </w:tr>
      <w:tr>
        <w:trPr>
          <w:trHeight w:hRule="atLeast"/>
        </w:trPr>
        <w:tc>
          <w:tcPr>
            <w:tcW w:type="dxa" w:w="3402"/>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fact_recheck_count, fact_reject_count, fact_success</w:t>
            </w:r>
          </w:p>
        </w:tc>
        <w:tc>
          <w:tcPr>
            <w:tcW w:type="dxa" w:w="56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Контроль, отказ и успешность</w:t>
            </w:r>
          </w:p>
        </w:tc>
      </w:tr>
    </w:tbl>
    <w:p>
      <w:pPr>
        <w:spacing w:line="360" w:lineRule="auto" w:before="0" w:after="0"/>
        <w:ind w:firstLine="709"/>
        <w:jc w:val="both"/>
      </w:pPr>
      <w:r>
        <w:rPr>
          <w:rFonts w:ascii="Times New Roman" w:hAnsi="Times New Roman" w:eastAsia="Times New Roman"/>
          <w:b w:val="0"/>
          <w:i w:val="0"/>
          <w:sz w:val="28"/>
        </w:rPr>
        <w:t>Анализ проводится в трех направлениях. Во-первых, проверяется, связаны ли крупные ошибки с высокой неопределенностью. Во-вторых, сравниваются распределения abs_error для доминирующих факторов θ0, θ1 и θ2. В-третьих, проверяется систематическое завышение или занижение качества в группах, характеризуемых высокой длительностью, большим числом ошибок, отказами или неуспешным завершением.</w:t>
      </w:r>
    </w:p>
    <w:p>
      <w:pPr>
        <w:spacing w:line="360" w:lineRule="auto" w:before="0" w:after="0"/>
        <w:ind w:firstLine="709"/>
        <w:jc w:val="both"/>
      </w:pPr>
      <w:r>
        <w:rPr>
          <w:rFonts w:ascii="Times New Roman" w:hAnsi="Times New Roman" w:eastAsia="Times New Roman"/>
        </w:rPr>
        <w:t>Диагностический анализ выявил систематическое занижение в 132 из 150 сценариев. Наибольшая MAE характерна для групп theta_0 и theta_1, тогда как группа theta_2 оценивается существенно точнее. Сильнейшая связь абсолютной ошибки выявлена с фактической длительностью выполнения, что указывает на недостаточный учет сложных и продолжительных процедур в априорной формуле.</w:t>
      </w:r>
    </w:p>
    <w:p>
      <w:pPr>
        <w:keepNext/>
        <w:spacing w:before="120" w:after="60"/>
        <w:jc w:val="center"/>
      </w:pPr>
      <w:r>
        <w:rPr>
          <w:rFonts w:ascii="Times New Roman" w:hAnsi="Times New Roman" w:eastAsia="Times New Roman"/>
          <w:b w:val="0"/>
          <w:i w:val="0"/>
          <w:sz w:val="20"/>
        </w:rPr>
        <w:t>Таблица 6.17 - Топ-10 сценариев по абсолютной ошибке</w:t>
      </w:r>
    </w:p>
    <w:tbl>
      <w:tblPr>
        <w:tblStyle w:val="TableGrid"/>
        <w:tblW w:type="auto" w:w="0"/>
        <w:jc w:val="center"/>
        <w:tblLayout w:type="fixed"/>
        <w:tblLook w:firstColumn="1" w:firstRow="1" w:lastColumn="0" w:lastRow="0" w:noHBand="0" w:noVBand="1" w:val="04A0"/>
      </w:tblPr>
      <w:tblGrid>
        <w:gridCol w:w="1336"/>
        <w:gridCol w:w="1336"/>
        <w:gridCol w:w="1336"/>
        <w:gridCol w:w="1336"/>
        <w:gridCol w:w="1336"/>
        <w:gridCol w:w="1336"/>
        <w:gridCol w:w="1336"/>
      </w:tblGrid>
      <w:tr>
        <w:trPr>
          <w:trHeight w:hRule="atLeast"/>
          <w:tblHeader w:val="true"/>
        </w:trPr>
        <w:tc>
          <w:tcPr>
            <w:tcW w:type="dxa" w:w="1928"/>
            <w:shd w:fill="D9E2F3"/>
            <w:tcMar>
              <w:top w:w="60" w:type="dxa"/>
              <w:start w:w="70" w:type="dxa"/>
              <w:bottom w:w="60" w:type="dxa"/>
              <w:end w:w="70" w:type="dxa"/>
            </w:tcMar>
            <w:vAlign w:val="center"/>
          </w:tcPr>
          <w:p>
            <w:pPr>
              <w:spacing w:after="0" w:line="240" w:lineRule="auto"/>
              <w:jc w:val="left"/>
            </w:pPr>
            <w:r>
              <w:rPr>
                <w:rFonts w:ascii="Times New Roman" w:hAnsi="Times New Roman" w:eastAsia="Times New Roman"/>
                <w:b/>
                <w:i w:val="0"/>
                <w:sz w:val="20"/>
              </w:rPr>
              <w:t>scenario_id</w:t>
            </w:r>
          </w:p>
        </w:tc>
        <w:tc>
          <w:tcPr>
            <w:tcW w:type="dxa" w:w="1191"/>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Q_pred</w:t>
            </w:r>
          </w:p>
        </w:tc>
        <w:tc>
          <w:tcPr>
            <w:tcW w:type="dxa" w:w="1191"/>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Q_fact</w:t>
            </w:r>
          </w:p>
        </w:tc>
        <w:tc>
          <w:tcPr>
            <w:tcW w:type="dxa" w:w="1134"/>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error</w:t>
            </w:r>
          </w:p>
        </w:tc>
        <w:tc>
          <w:tcPr>
            <w:tcW w:type="dxa" w:w="1247"/>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abs_error</w:t>
            </w:r>
          </w:p>
        </w:tc>
        <w:tc>
          <w:tcPr>
            <w:tcW w:type="dxa" w:w="1020"/>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topic</w:t>
            </w:r>
          </w:p>
        </w:tc>
        <w:tc>
          <w:tcPr>
            <w:tcW w:type="dxa" w:w="1361"/>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uncertainty</w:t>
            </w:r>
          </w:p>
        </w:tc>
      </w:tr>
      <w:tr>
        <w:trPr>
          <w:trHeight w:hRule="atLeast"/>
        </w:trPr>
        <w:tc>
          <w:tcPr>
            <w:tcW w:type="dxa" w:w="1928"/>
            <w:tcMar>
              <w:top w:w="60" w:type="dxa"/>
              <w:start w:w="70" w:type="dxa"/>
              <w:bottom w:w="60" w:type="dxa"/>
              <w:end w:w="70" w:type="dxa"/>
            </w:tcMar>
            <w:vAlign w:val="center"/>
          </w:tcPr>
          <w:p>
            <w:pPr>
              <w:jc w:val="center"/>
            </w:pPr>
            <w:r>
              <w:rPr>
                <w:rFonts w:ascii="Times New Roman" w:hAnsi="Times New Roman"/>
                <w:sz w:val="20"/>
              </w:rPr>
              <w:t>scn_0027</w:t>
            </w:r>
          </w:p>
        </w:tc>
        <w:tc>
          <w:tcPr>
            <w:tcW w:type="dxa" w:w="1191"/>
            <w:tcMar>
              <w:top w:w="60" w:type="dxa"/>
              <w:start w:w="70" w:type="dxa"/>
              <w:bottom w:w="60" w:type="dxa"/>
              <w:end w:w="70" w:type="dxa"/>
            </w:tcMar>
            <w:vAlign w:val="center"/>
          </w:tcPr>
          <w:p>
            <w:pPr>
              <w:jc w:val="center"/>
            </w:pPr>
            <w:r>
              <w:rPr>
                <w:rFonts w:ascii="Times New Roman" w:hAnsi="Times New Roman"/>
                <w:sz w:val="20"/>
              </w:rPr>
              <w:t>0,151188</w:t>
            </w:r>
          </w:p>
        </w:tc>
        <w:tc>
          <w:tcPr>
            <w:tcW w:type="dxa" w:w="1191"/>
            <w:tcMar>
              <w:top w:w="60" w:type="dxa"/>
              <w:start w:w="70" w:type="dxa"/>
              <w:bottom w:w="60" w:type="dxa"/>
              <w:end w:w="70" w:type="dxa"/>
            </w:tcMar>
            <w:vAlign w:val="center"/>
          </w:tcPr>
          <w:p>
            <w:pPr>
              <w:jc w:val="center"/>
            </w:pPr>
            <w:r>
              <w:rPr>
                <w:rFonts w:ascii="Times New Roman" w:hAnsi="Times New Roman"/>
                <w:sz w:val="20"/>
              </w:rPr>
              <w:t>0,527851</w:t>
            </w:r>
          </w:p>
        </w:tc>
        <w:tc>
          <w:tcPr>
            <w:tcW w:type="dxa" w:w="1134"/>
            <w:tcMar>
              <w:top w:w="60" w:type="dxa"/>
              <w:start w:w="70" w:type="dxa"/>
              <w:bottom w:w="60" w:type="dxa"/>
              <w:end w:w="70" w:type="dxa"/>
            </w:tcMar>
            <w:vAlign w:val="center"/>
          </w:tcPr>
          <w:p>
            <w:pPr>
              <w:jc w:val="center"/>
            </w:pPr>
            <w:r>
              <w:rPr>
                <w:rFonts w:ascii="Times New Roman" w:hAnsi="Times New Roman"/>
                <w:sz w:val="20"/>
              </w:rPr>
              <w:t>-0,376663</w:t>
            </w:r>
          </w:p>
        </w:tc>
        <w:tc>
          <w:tcPr>
            <w:tcW w:type="dxa" w:w="1247"/>
            <w:tcMar>
              <w:top w:w="60" w:type="dxa"/>
              <w:start w:w="70" w:type="dxa"/>
              <w:bottom w:w="60" w:type="dxa"/>
              <w:end w:w="70" w:type="dxa"/>
            </w:tcMar>
            <w:vAlign w:val="center"/>
          </w:tcPr>
          <w:p>
            <w:pPr>
              <w:jc w:val="center"/>
            </w:pPr>
            <w:r>
              <w:rPr>
                <w:rFonts w:ascii="Times New Roman" w:hAnsi="Times New Roman"/>
                <w:sz w:val="20"/>
              </w:rPr>
              <w:t>0,376663</w:t>
            </w:r>
          </w:p>
        </w:tc>
        <w:tc>
          <w:tcPr>
            <w:tcW w:type="dxa" w:w="1020"/>
            <w:tcMar>
              <w:top w:w="60" w:type="dxa"/>
              <w:start w:w="70" w:type="dxa"/>
              <w:bottom w:w="60" w:type="dxa"/>
              <w:end w:w="70" w:type="dxa"/>
            </w:tcMar>
            <w:vAlign w:val="center"/>
          </w:tcPr>
          <w:p>
            <w:pPr>
              <w:jc w:val="center"/>
            </w:pPr>
            <w:r>
              <w:rPr>
                <w:rFonts w:ascii="Times New Roman" w:hAnsi="Times New Roman"/>
                <w:sz w:val="20"/>
              </w:rPr>
              <w:t>theta_1</w:t>
            </w:r>
          </w:p>
        </w:tc>
        <w:tc>
          <w:tcPr>
            <w:tcW w:type="dxa" w:w="1361"/>
            <w:tcMar>
              <w:top w:w="60" w:type="dxa"/>
              <w:start w:w="70" w:type="dxa"/>
              <w:bottom w:w="60" w:type="dxa"/>
              <w:end w:w="70" w:type="dxa"/>
            </w:tcMar>
            <w:vAlign w:val="center"/>
          </w:tcPr>
          <w:p>
            <w:pPr>
              <w:jc w:val="center"/>
            </w:pPr>
            <w:r>
              <w:rPr>
                <w:rFonts w:ascii="Times New Roman" w:hAnsi="Times New Roman"/>
                <w:sz w:val="20"/>
              </w:rPr>
              <w:t>0,364654</w:t>
            </w:r>
          </w:p>
        </w:tc>
      </w:tr>
      <w:tr>
        <w:trPr>
          <w:trHeight w:hRule="atLeast"/>
        </w:trPr>
        <w:tc>
          <w:tcPr>
            <w:tcW w:type="dxa" w:w="1928"/>
            <w:tcMar>
              <w:top w:w="60" w:type="dxa"/>
              <w:start w:w="70" w:type="dxa"/>
              <w:bottom w:w="60" w:type="dxa"/>
              <w:end w:w="70" w:type="dxa"/>
            </w:tcMar>
            <w:vAlign w:val="center"/>
          </w:tcPr>
          <w:p>
            <w:pPr>
              <w:jc w:val="center"/>
            </w:pPr>
            <w:r>
              <w:rPr>
                <w:rFonts w:ascii="Times New Roman" w:hAnsi="Times New Roman"/>
                <w:sz w:val="20"/>
              </w:rPr>
              <w:t>scn_0083</w:t>
            </w:r>
          </w:p>
        </w:tc>
        <w:tc>
          <w:tcPr>
            <w:tcW w:type="dxa" w:w="1191"/>
            <w:tcMar>
              <w:top w:w="60" w:type="dxa"/>
              <w:start w:w="70" w:type="dxa"/>
              <w:bottom w:w="60" w:type="dxa"/>
              <w:end w:w="70" w:type="dxa"/>
            </w:tcMar>
            <w:vAlign w:val="center"/>
          </w:tcPr>
          <w:p>
            <w:pPr>
              <w:jc w:val="center"/>
            </w:pPr>
            <w:r>
              <w:rPr>
                <w:rFonts w:ascii="Times New Roman" w:hAnsi="Times New Roman"/>
                <w:sz w:val="20"/>
              </w:rPr>
              <w:t>0,271151</w:t>
            </w:r>
          </w:p>
        </w:tc>
        <w:tc>
          <w:tcPr>
            <w:tcW w:type="dxa" w:w="1191"/>
            <w:tcMar>
              <w:top w:w="60" w:type="dxa"/>
              <w:start w:w="70" w:type="dxa"/>
              <w:bottom w:w="60" w:type="dxa"/>
              <w:end w:w="70" w:type="dxa"/>
            </w:tcMar>
            <w:vAlign w:val="center"/>
          </w:tcPr>
          <w:p>
            <w:pPr>
              <w:jc w:val="center"/>
            </w:pPr>
            <w:r>
              <w:rPr>
                <w:rFonts w:ascii="Times New Roman" w:hAnsi="Times New Roman"/>
                <w:sz w:val="20"/>
              </w:rPr>
              <w:t>0,645881</w:t>
            </w:r>
          </w:p>
        </w:tc>
        <w:tc>
          <w:tcPr>
            <w:tcW w:type="dxa" w:w="1134"/>
            <w:tcMar>
              <w:top w:w="60" w:type="dxa"/>
              <w:start w:w="70" w:type="dxa"/>
              <w:bottom w:w="60" w:type="dxa"/>
              <w:end w:w="70" w:type="dxa"/>
            </w:tcMar>
            <w:vAlign w:val="center"/>
          </w:tcPr>
          <w:p>
            <w:pPr>
              <w:jc w:val="center"/>
            </w:pPr>
            <w:r>
              <w:rPr>
                <w:rFonts w:ascii="Times New Roman" w:hAnsi="Times New Roman"/>
                <w:sz w:val="20"/>
              </w:rPr>
              <w:t>-0,374730</w:t>
            </w:r>
          </w:p>
        </w:tc>
        <w:tc>
          <w:tcPr>
            <w:tcW w:type="dxa" w:w="1247"/>
            <w:tcMar>
              <w:top w:w="60" w:type="dxa"/>
              <w:start w:w="70" w:type="dxa"/>
              <w:bottom w:w="60" w:type="dxa"/>
              <w:end w:w="70" w:type="dxa"/>
            </w:tcMar>
            <w:vAlign w:val="center"/>
          </w:tcPr>
          <w:p>
            <w:pPr>
              <w:jc w:val="center"/>
            </w:pPr>
            <w:r>
              <w:rPr>
                <w:rFonts w:ascii="Times New Roman" w:hAnsi="Times New Roman"/>
                <w:sz w:val="20"/>
              </w:rPr>
              <w:t>0,374730</w:t>
            </w:r>
          </w:p>
        </w:tc>
        <w:tc>
          <w:tcPr>
            <w:tcW w:type="dxa" w:w="1020"/>
            <w:tcMar>
              <w:top w:w="60" w:type="dxa"/>
              <w:start w:w="70" w:type="dxa"/>
              <w:bottom w:w="60" w:type="dxa"/>
              <w:end w:w="70" w:type="dxa"/>
            </w:tcMar>
            <w:vAlign w:val="center"/>
          </w:tcPr>
          <w:p>
            <w:pPr>
              <w:jc w:val="center"/>
            </w:pPr>
            <w:r>
              <w:rPr>
                <w:rFonts w:ascii="Times New Roman" w:hAnsi="Times New Roman"/>
                <w:sz w:val="20"/>
              </w:rPr>
              <w:t>theta_0</w:t>
            </w:r>
          </w:p>
        </w:tc>
        <w:tc>
          <w:tcPr>
            <w:tcW w:type="dxa" w:w="1361"/>
            <w:tcMar>
              <w:top w:w="60" w:type="dxa"/>
              <w:start w:w="70" w:type="dxa"/>
              <w:bottom w:w="60" w:type="dxa"/>
              <w:end w:w="70" w:type="dxa"/>
            </w:tcMar>
            <w:vAlign w:val="center"/>
          </w:tcPr>
          <w:p>
            <w:pPr>
              <w:jc w:val="center"/>
            </w:pPr>
            <w:r>
              <w:rPr>
                <w:rFonts w:ascii="Times New Roman" w:hAnsi="Times New Roman"/>
                <w:sz w:val="20"/>
              </w:rPr>
              <w:t>0,385352</w:t>
            </w:r>
          </w:p>
        </w:tc>
      </w:tr>
      <w:tr>
        <w:trPr>
          <w:trHeight w:hRule="atLeast"/>
        </w:trPr>
        <w:tc>
          <w:tcPr>
            <w:tcW w:type="dxa" w:w="1928"/>
            <w:tcMar>
              <w:top w:w="60" w:type="dxa"/>
              <w:start w:w="70" w:type="dxa"/>
              <w:bottom w:w="60" w:type="dxa"/>
              <w:end w:w="70" w:type="dxa"/>
            </w:tcMar>
            <w:vAlign w:val="center"/>
          </w:tcPr>
          <w:p>
            <w:pPr>
              <w:jc w:val="center"/>
            </w:pPr>
            <w:r>
              <w:rPr>
                <w:rFonts w:ascii="Times New Roman" w:hAnsi="Times New Roman"/>
                <w:sz w:val="20"/>
              </w:rPr>
              <w:t>scn_0041</w:t>
            </w:r>
          </w:p>
        </w:tc>
        <w:tc>
          <w:tcPr>
            <w:tcW w:type="dxa" w:w="1191"/>
            <w:tcMar>
              <w:top w:w="60" w:type="dxa"/>
              <w:start w:w="70" w:type="dxa"/>
              <w:bottom w:w="60" w:type="dxa"/>
              <w:end w:w="70" w:type="dxa"/>
            </w:tcMar>
            <w:vAlign w:val="center"/>
          </w:tcPr>
          <w:p>
            <w:pPr>
              <w:jc w:val="center"/>
            </w:pPr>
            <w:r>
              <w:rPr>
                <w:rFonts w:ascii="Times New Roman" w:hAnsi="Times New Roman"/>
                <w:sz w:val="20"/>
              </w:rPr>
              <w:t>0,235056</w:t>
            </w:r>
          </w:p>
        </w:tc>
        <w:tc>
          <w:tcPr>
            <w:tcW w:type="dxa" w:w="1191"/>
            <w:tcMar>
              <w:top w:w="60" w:type="dxa"/>
              <w:start w:w="70" w:type="dxa"/>
              <w:bottom w:w="60" w:type="dxa"/>
              <w:end w:w="70" w:type="dxa"/>
            </w:tcMar>
            <w:vAlign w:val="center"/>
          </w:tcPr>
          <w:p>
            <w:pPr>
              <w:jc w:val="center"/>
            </w:pPr>
            <w:r>
              <w:rPr>
                <w:rFonts w:ascii="Times New Roman" w:hAnsi="Times New Roman"/>
                <w:sz w:val="20"/>
              </w:rPr>
              <w:t>0,603405</w:t>
            </w:r>
          </w:p>
        </w:tc>
        <w:tc>
          <w:tcPr>
            <w:tcW w:type="dxa" w:w="1134"/>
            <w:tcMar>
              <w:top w:w="60" w:type="dxa"/>
              <w:start w:w="70" w:type="dxa"/>
              <w:bottom w:w="60" w:type="dxa"/>
              <w:end w:w="70" w:type="dxa"/>
            </w:tcMar>
            <w:vAlign w:val="center"/>
          </w:tcPr>
          <w:p>
            <w:pPr>
              <w:jc w:val="center"/>
            </w:pPr>
            <w:r>
              <w:rPr>
                <w:rFonts w:ascii="Times New Roman" w:hAnsi="Times New Roman"/>
                <w:sz w:val="20"/>
              </w:rPr>
              <w:t>-0,368349</w:t>
            </w:r>
          </w:p>
        </w:tc>
        <w:tc>
          <w:tcPr>
            <w:tcW w:type="dxa" w:w="1247"/>
            <w:tcMar>
              <w:top w:w="60" w:type="dxa"/>
              <w:start w:w="70" w:type="dxa"/>
              <w:bottom w:w="60" w:type="dxa"/>
              <w:end w:w="70" w:type="dxa"/>
            </w:tcMar>
            <w:vAlign w:val="center"/>
          </w:tcPr>
          <w:p>
            <w:pPr>
              <w:jc w:val="center"/>
            </w:pPr>
            <w:r>
              <w:rPr>
                <w:rFonts w:ascii="Times New Roman" w:hAnsi="Times New Roman"/>
                <w:sz w:val="20"/>
              </w:rPr>
              <w:t>0,368349</w:t>
            </w:r>
          </w:p>
        </w:tc>
        <w:tc>
          <w:tcPr>
            <w:tcW w:type="dxa" w:w="1020"/>
            <w:tcMar>
              <w:top w:w="60" w:type="dxa"/>
              <w:start w:w="70" w:type="dxa"/>
              <w:bottom w:w="60" w:type="dxa"/>
              <w:end w:w="70" w:type="dxa"/>
            </w:tcMar>
            <w:vAlign w:val="center"/>
          </w:tcPr>
          <w:p>
            <w:pPr>
              <w:jc w:val="center"/>
            </w:pPr>
            <w:r>
              <w:rPr>
                <w:rFonts w:ascii="Times New Roman" w:hAnsi="Times New Roman"/>
                <w:sz w:val="20"/>
              </w:rPr>
              <w:t>theta_0</w:t>
            </w:r>
          </w:p>
        </w:tc>
        <w:tc>
          <w:tcPr>
            <w:tcW w:type="dxa" w:w="1361"/>
            <w:tcMar>
              <w:top w:w="60" w:type="dxa"/>
              <w:start w:w="70" w:type="dxa"/>
              <w:bottom w:w="60" w:type="dxa"/>
              <w:end w:w="70" w:type="dxa"/>
            </w:tcMar>
            <w:vAlign w:val="center"/>
          </w:tcPr>
          <w:p>
            <w:pPr>
              <w:jc w:val="center"/>
            </w:pPr>
            <w:r>
              <w:rPr>
                <w:rFonts w:ascii="Times New Roman" w:hAnsi="Times New Roman"/>
                <w:sz w:val="20"/>
              </w:rPr>
              <w:t>0,101667</w:t>
            </w:r>
          </w:p>
        </w:tc>
      </w:tr>
      <w:tr>
        <w:trPr>
          <w:trHeight w:hRule="atLeast"/>
        </w:trPr>
        <w:tc>
          <w:tcPr>
            <w:tcW w:type="dxa" w:w="1928"/>
            <w:tcMar>
              <w:top w:w="60" w:type="dxa"/>
              <w:start w:w="70" w:type="dxa"/>
              <w:bottom w:w="60" w:type="dxa"/>
              <w:end w:w="70" w:type="dxa"/>
            </w:tcMar>
            <w:vAlign w:val="center"/>
          </w:tcPr>
          <w:p>
            <w:pPr>
              <w:jc w:val="center"/>
            </w:pPr>
            <w:r>
              <w:rPr>
                <w:rFonts w:ascii="Times New Roman" w:hAnsi="Times New Roman"/>
                <w:sz w:val="20"/>
              </w:rPr>
              <w:t>scn_0034</w:t>
            </w:r>
          </w:p>
        </w:tc>
        <w:tc>
          <w:tcPr>
            <w:tcW w:type="dxa" w:w="1191"/>
            <w:tcMar>
              <w:top w:w="60" w:type="dxa"/>
              <w:start w:w="70" w:type="dxa"/>
              <w:bottom w:w="60" w:type="dxa"/>
              <w:end w:w="70" w:type="dxa"/>
            </w:tcMar>
            <w:vAlign w:val="center"/>
          </w:tcPr>
          <w:p>
            <w:pPr>
              <w:jc w:val="center"/>
            </w:pPr>
            <w:r>
              <w:rPr>
                <w:rFonts w:ascii="Times New Roman" w:hAnsi="Times New Roman"/>
                <w:sz w:val="20"/>
              </w:rPr>
              <w:t>0,141149</w:t>
            </w:r>
          </w:p>
        </w:tc>
        <w:tc>
          <w:tcPr>
            <w:tcW w:type="dxa" w:w="1191"/>
            <w:tcMar>
              <w:top w:w="60" w:type="dxa"/>
              <w:start w:w="70" w:type="dxa"/>
              <w:bottom w:w="60" w:type="dxa"/>
              <w:end w:w="70" w:type="dxa"/>
            </w:tcMar>
            <w:vAlign w:val="center"/>
          </w:tcPr>
          <w:p>
            <w:pPr>
              <w:jc w:val="center"/>
            </w:pPr>
            <w:r>
              <w:rPr>
                <w:rFonts w:ascii="Times New Roman" w:hAnsi="Times New Roman"/>
                <w:sz w:val="20"/>
              </w:rPr>
              <w:t>0,508468</w:t>
            </w:r>
          </w:p>
        </w:tc>
        <w:tc>
          <w:tcPr>
            <w:tcW w:type="dxa" w:w="1134"/>
            <w:tcMar>
              <w:top w:w="60" w:type="dxa"/>
              <w:start w:w="70" w:type="dxa"/>
              <w:bottom w:w="60" w:type="dxa"/>
              <w:end w:w="70" w:type="dxa"/>
            </w:tcMar>
            <w:vAlign w:val="center"/>
          </w:tcPr>
          <w:p>
            <w:pPr>
              <w:jc w:val="center"/>
            </w:pPr>
            <w:r>
              <w:rPr>
                <w:rFonts w:ascii="Times New Roman" w:hAnsi="Times New Roman"/>
                <w:sz w:val="20"/>
              </w:rPr>
              <w:t>-0,367319</w:t>
            </w:r>
          </w:p>
        </w:tc>
        <w:tc>
          <w:tcPr>
            <w:tcW w:type="dxa" w:w="1247"/>
            <w:tcMar>
              <w:top w:w="60" w:type="dxa"/>
              <w:start w:w="70" w:type="dxa"/>
              <w:bottom w:w="60" w:type="dxa"/>
              <w:end w:w="70" w:type="dxa"/>
            </w:tcMar>
            <w:vAlign w:val="center"/>
          </w:tcPr>
          <w:p>
            <w:pPr>
              <w:jc w:val="center"/>
            </w:pPr>
            <w:r>
              <w:rPr>
                <w:rFonts w:ascii="Times New Roman" w:hAnsi="Times New Roman"/>
                <w:sz w:val="20"/>
              </w:rPr>
              <w:t>0,367319</w:t>
            </w:r>
          </w:p>
        </w:tc>
        <w:tc>
          <w:tcPr>
            <w:tcW w:type="dxa" w:w="1020"/>
            <w:tcMar>
              <w:top w:w="60" w:type="dxa"/>
              <w:start w:w="70" w:type="dxa"/>
              <w:bottom w:w="60" w:type="dxa"/>
              <w:end w:w="70" w:type="dxa"/>
            </w:tcMar>
            <w:vAlign w:val="center"/>
          </w:tcPr>
          <w:p>
            <w:pPr>
              <w:jc w:val="center"/>
            </w:pPr>
            <w:r>
              <w:rPr>
                <w:rFonts w:ascii="Times New Roman" w:hAnsi="Times New Roman"/>
                <w:sz w:val="20"/>
              </w:rPr>
              <w:t>theta_1</w:t>
            </w:r>
          </w:p>
        </w:tc>
        <w:tc>
          <w:tcPr>
            <w:tcW w:type="dxa" w:w="1361"/>
            <w:tcMar>
              <w:top w:w="60" w:type="dxa"/>
              <w:start w:w="70" w:type="dxa"/>
              <w:bottom w:w="60" w:type="dxa"/>
              <w:end w:w="70" w:type="dxa"/>
            </w:tcMar>
            <w:vAlign w:val="center"/>
          </w:tcPr>
          <w:p>
            <w:pPr>
              <w:jc w:val="center"/>
            </w:pPr>
            <w:r>
              <w:rPr>
                <w:rFonts w:ascii="Times New Roman" w:hAnsi="Times New Roman"/>
                <w:sz w:val="20"/>
              </w:rPr>
              <w:t>0,364562</w:t>
            </w:r>
          </w:p>
        </w:tc>
      </w:tr>
      <w:tr>
        <w:trPr>
          <w:trHeight w:hRule="atLeast"/>
        </w:trPr>
        <w:tc>
          <w:tcPr>
            <w:tcW w:type="dxa" w:w="1928"/>
            <w:tcMar>
              <w:top w:w="60" w:type="dxa"/>
              <w:start w:w="70" w:type="dxa"/>
              <w:bottom w:w="60" w:type="dxa"/>
              <w:end w:w="70" w:type="dxa"/>
            </w:tcMar>
            <w:vAlign w:val="center"/>
          </w:tcPr>
          <w:p>
            <w:pPr>
              <w:jc w:val="center"/>
            </w:pPr>
            <w:r>
              <w:rPr>
                <w:rFonts w:ascii="Times New Roman" w:hAnsi="Times New Roman"/>
                <w:sz w:val="20"/>
              </w:rPr>
              <w:t>scn_0033</w:t>
            </w:r>
          </w:p>
        </w:tc>
        <w:tc>
          <w:tcPr>
            <w:tcW w:type="dxa" w:w="1191"/>
            <w:tcMar>
              <w:top w:w="60" w:type="dxa"/>
              <w:start w:w="70" w:type="dxa"/>
              <w:bottom w:w="60" w:type="dxa"/>
              <w:end w:w="70" w:type="dxa"/>
            </w:tcMar>
            <w:vAlign w:val="center"/>
          </w:tcPr>
          <w:p>
            <w:pPr>
              <w:jc w:val="center"/>
            </w:pPr>
            <w:r>
              <w:rPr>
                <w:rFonts w:ascii="Times New Roman" w:hAnsi="Times New Roman"/>
                <w:sz w:val="20"/>
              </w:rPr>
              <w:t>0,103445</w:t>
            </w:r>
          </w:p>
        </w:tc>
        <w:tc>
          <w:tcPr>
            <w:tcW w:type="dxa" w:w="1191"/>
            <w:tcMar>
              <w:top w:w="60" w:type="dxa"/>
              <w:start w:w="70" w:type="dxa"/>
              <w:bottom w:w="60" w:type="dxa"/>
              <w:end w:w="70" w:type="dxa"/>
            </w:tcMar>
            <w:vAlign w:val="center"/>
          </w:tcPr>
          <w:p>
            <w:pPr>
              <w:jc w:val="center"/>
            </w:pPr>
            <w:r>
              <w:rPr>
                <w:rFonts w:ascii="Times New Roman" w:hAnsi="Times New Roman"/>
                <w:sz w:val="20"/>
              </w:rPr>
              <w:t>0,464828</w:t>
            </w:r>
          </w:p>
        </w:tc>
        <w:tc>
          <w:tcPr>
            <w:tcW w:type="dxa" w:w="1134"/>
            <w:tcMar>
              <w:top w:w="60" w:type="dxa"/>
              <w:start w:w="70" w:type="dxa"/>
              <w:bottom w:w="60" w:type="dxa"/>
              <w:end w:w="70" w:type="dxa"/>
            </w:tcMar>
            <w:vAlign w:val="center"/>
          </w:tcPr>
          <w:p>
            <w:pPr>
              <w:jc w:val="center"/>
            </w:pPr>
            <w:r>
              <w:rPr>
                <w:rFonts w:ascii="Times New Roman" w:hAnsi="Times New Roman"/>
                <w:sz w:val="20"/>
              </w:rPr>
              <w:t>-0,361383</w:t>
            </w:r>
          </w:p>
        </w:tc>
        <w:tc>
          <w:tcPr>
            <w:tcW w:type="dxa" w:w="1247"/>
            <w:tcMar>
              <w:top w:w="60" w:type="dxa"/>
              <w:start w:w="70" w:type="dxa"/>
              <w:bottom w:w="60" w:type="dxa"/>
              <w:end w:w="70" w:type="dxa"/>
            </w:tcMar>
            <w:vAlign w:val="center"/>
          </w:tcPr>
          <w:p>
            <w:pPr>
              <w:jc w:val="center"/>
            </w:pPr>
            <w:r>
              <w:rPr>
                <w:rFonts w:ascii="Times New Roman" w:hAnsi="Times New Roman"/>
                <w:sz w:val="20"/>
              </w:rPr>
              <w:t>0,361383</w:t>
            </w:r>
          </w:p>
        </w:tc>
        <w:tc>
          <w:tcPr>
            <w:tcW w:type="dxa" w:w="1020"/>
            <w:tcMar>
              <w:top w:w="60" w:type="dxa"/>
              <w:start w:w="70" w:type="dxa"/>
              <w:bottom w:w="60" w:type="dxa"/>
              <w:end w:w="70" w:type="dxa"/>
            </w:tcMar>
            <w:vAlign w:val="center"/>
          </w:tcPr>
          <w:p>
            <w:pPr>
              <w:jc w:val="center"/>
            </w:pPr>
            <w:r>
              <w:rPr>
                <w:rFonts w:ascii="Times New Roman" w:hAnsi="Times New Roman"/>
                <w:sz w:val="20"/>
              </w:rPr>
              <w:t>theta_1</w:t>
            </w:r>
          </w:p>
        </w:tc>
        <w:tc>
          <w:tcPr>
            <w:tcW w:type="dxa" w:w="1361"/>
            <w:tcMar>
              <w:top w:w="60" w:type="dxa"/>
              <w:start w:w="70" w:type="dxa"/>
              <w:bottom w:w="60" w:type="dxa"/>
              <w:end w:w="70" w:type="dxa"/>
            </w:tcMar>
            <w:vAlign w:val="center"/>
          </w:tcPr>
          <w:p>
            <w:pPr>
              <w:jc w:val="center"/>
            </w:pPr>
            <w:r>
              <w:rPr>
                <w:rFonts w:ascii="Times New Roman" w:hAnsi="Times New Roman"/>
                <w:sz w:val="20"/>
              </w:rPr>
              <w:t>0,366940</w:t>
            </w:r>
          </w:p>
        </w:tc>
      </w:tr>
      <w:tr>
        <w:trPr>
          <w:trHeight w:hRule="atLeast"/>
        </w:trPr>
        <w:tc>
          <w:tcPr>
            <w:tcW w:type="dxa" w:w="1928"/>
            <w:tcMar>
              <w:top w:w="60" w:type="dxa"/>
              <w:start w:w="70" w:type="dxa"/>
              <w:bottom w:w="60" w:type="dxa"/>
              <w:end w:w="70" w:type="dxa"/>
            </w:tcMar>
            <w:vAlign w:val="center"/>
          </w:tcPr>
          <w:p>
            <w:pPr>
              <w:jc w:val="center"/>
            </w:pPr>
            <w:r>
              <w:rPr>
                <w:rFonts w:ascii="Times New Roman" w:hAnsi="Times New Roman"/>
                <w:sz w:val="20"/>
              </w:rPr>
              <w:t>scn_0082</w:t>
            </w:r>
          </w:p>
        </w:tc>
        <w:tc>
          <w:tcPr>
            <w:tcW w:type="dxa" w:w="1191"/>
            <w:tcMar>
              <w:top w:w="60" w:type="dxa"/>
              <w:start w:w="70" w:type="dxa"/>
              <w:bottom w:w="60" w:type="dxa"/>
              <w:end w:w="70" w:type="dxa"/>
            </w:tcMar>
            <w:vAlign w:val="center"/>
          </w:tcPr>
          <w:p>
            <w:pPr>
              <w:jc w:val="center"/>
            </w:pPr>
            <w:r>
              <w:rPr>
                <w:rFonts w:ascii="Times New Roman" w:hAnsi="Times New Roman"/>
                <w:sz w:val="20"/>
              </w:rPr>
              <w:t>0,252332</w:t>
            </w:r>
          </w:p>
        </w:tc>
        <w:tc>
          <w:tcPr>
            <w:tcW w:type="dxa" w:w="1191"/>
            <w:tcMar>
              <w:top w:w="60" w:type="dxa"/>
              <w:start w:w="70" w:type="dxa"/>
              <w:bottom w:w="60" w:type="dxa"/>
              <w:end w:w="70" w:type="dxa"/>
            </w:tcMar>
            <w:vAlign w:val="center"/>
          </w:tcPr>
          <w:p>
            <w:pPr>
              <w:jc w:val="center"/>
            </w:pPr>
            <w:r>
              <w:rPr>
                <w:rFonts w:ascii="Times New Roman" w:hAnsi="Times New Roman"/>
                <w:sz w:val="20"/>
              </w:rPr>
              <w:t>0,609942</w:t>
            </w:r>
          </w:p>
        </w:tc>
        <w:tc>
          <w:tcPr>
            <w:tcW w:type="dxa" w:w="1134"/>
            <w:tcMar>
              <w:top w:w="60" w:type="dxa"/>
              <w:start w:w="70" w:type="dxa"/>
              <w:bottom w:w="60" w:type="dxa"/>
              <w:end w:w="70" w:type="dxa"/>
            </w:tcMar>
            <w:vAlign w:val="center"/>
          </w:tcPr>
          <w:p>
            <w:pPr>
              <w:jc w:val="center"/>
            </w:pPr>
            <w:r>
              <w:rPr>
                <w:rFonts w:ascii="Times New Roman" w:hAnsi="Times New Roman"/>
                <w:sz w:val="20"/>
              </w:rPr>
              <w:t>-0,357610</w:t>
            </w:r>
          </w:p>
        </w:tc>
        <w:tc>
          <w:tcPr>
            <w:tcW w:type="dxa" w:w="1247"/>
            <w:tcMar>
              <w:top w:w="60" w:type="dxa"/>
              <w:start w:w="70" w:type="dxa"/>
              <w:bottom w:w="60" w:type="dxa"/>
              <w:end w:w="70" w:type="dxa"/>
            </w:tcMar>
            <w:vAlign w:val="center"/>
          </w:tcPr>
          <w:p>
            <w:pPr>
              <w:jc w:val="center"/>
            </w:pPr>
            <w:r>
              <w:rPr>
                <w:rFonts w:ascii="Times New Roman" w:hAnsi="Times New Roman"/>
                <w:sz w:val="20"/>
              </w:rPr>
              <w:t>0,357610</w:t>
            </w:r>
          </w:p>
        </w:tc>
        <w:tc>
          <w:tcPr>
            <w:tcW w:type="dxa" w:w="1020"/>
            <w:tcMar>
              <w:top w:w="60" w:type="dxa"/>
              <w:start w:w="70" w:type="dxa"/>
              <w:bottom w:w="60" w:type="dxa"/>
              <w:end w:w="70" w:type="dxa"/>
            </w:tcMar>
            <w:vAlign w:val="center"/>
          </w:tcPr>
          <w:p>
            <w:pPr>
              <w:jc w:val="center"/>
            </w:pPr>
            <w:r>
              <w:rPr>
                <w:rFonts w:ascii="Times New Roman" w:hAnsi="Times New Roman"/>
                <w:sz w:val="20"/>
              </w:rPr>
              <w:t>theta_0</w:t>
            </w:r>
          </w:p>
        </w:tc>
        <w:tc>
          <w:tcPr>
            <w:tcW w:type="dxa" w:w="1361"/>
            <w:tcMar>
              <w:top w:w="60" w:type="dxa"/>
              <w:start w:w="70" w:type="dxa"/>
              <w:bottom w:w="60" w:type="dxa"/>
              <w:end w:w="70" w:type="dxa"/>
            </w:tcMar>
            <w:vAlign w:val="center"/>
          </w:tcPr>
          <w:p>
            <w:pPr>
              <w:jc w:val="center"/>
            </w:pPr>
            <w:r>
              <w:rPr>
                <w:rFonts w:ascii="Times New Roman" w:hAnsi="Times New Roman"/>
                <w:sz w:val="20"/>
              </w:rPr>
              <w:t>0,372484</w:t>
            </w:r>
          </w:p>
        </w:tc>
      </w:tr>
      <w:tr>
        <w:trPr>
          <w:trHeight w:hRule="atLeast"/>
        </w:trPr>
        <w:tc>
          <w:tcPr>
            <w:tcW w:type="dxa" w:w="1928"/>
            <w:tcMar>
              <w:top w:w="60" w:type="dxa"/>
              <w:start w:w="70" w:type="dxa"/>
              <w:bottom w:w="60" w:type="dxa"/>
              <w:end w:w="70" w:type="dxa"/>
            </w:tcMar>
            <w:vAlign w:val="center"/>
          </w:tcPr>
          <w:p>
            <w:pPr>
              <w:jc w:val="center"/>
            </w:pPr>
            <w:r>
              <w:rPr>
                <w:rFonts w:ascii="Times New Roman" w:hAnsi="Times New Roman"/>
                <w:sz w:val="20"/>
              </w:rPr>
              <w:t>scn_0090</w:t>
            </w:r>
          </w:p>
        </w:tc>
        <w:tc>
          <w:tcPr>
            <w:tcW w:type="dxa" w:w="1191"/>
            <w:tcMar>
              <w:top w:w="60" w:type="dxa"/>
              <w:start w:w="70" w:type="dxa"/>
              <w:bottom w:w="60" w:type="dxa"/>
              <w:end w:w="70" w:type="dxa"/>
            </w:tcMar>
            <w:vAlign w:val="center"/>
          </w:tcPr>
          <w:p>
            <w:pPr>
              <w:jc w:val="center"/>
            </w:pPr>
            <w:r>
              <w:rPr>
                <w:rFonts w:ascii="Times New Roman" w:hAnsi="Times New Roman"/>
                <w:sz w:val="20"/>
              </w:rPr>
              <w:t>0,246583</w:t>
            </w:r>
          </w:p>
        </w:tc>
        <w:tc>
          <w:tcPr>
            <w:tcW w:type="dxa" w:w="1191"/>
            <w:tcMar>
              <w:top w:w="60" w:type="dxa"/>
              <w:start w:w="70" w:type="dxa"/>
              <w:bottom w:w="60" w:type="dxa"/>
              <w:end w:w="70" w:type="dxa"/>
            </w:tcMar>
            <w:vAlign w:val="center"/>
          </w:tcPr>
          <w:p>
            <w:pPr>
              <w:jc w:val="center"/>
            </w:pPr>
            <w:r>
              <w:rPr>
                <w:rFonts w:ascii="Times New Roman" w:hAnsi="Times New Roman"/>
                <w:sz w:val="20"/>
              </w:rPr>
              <w:t>0,598887</w:t>
            </w:r>
          </w:p>
        </w:tc>
        <w:tc>
          <w:tcPr>
            <w:tcW w:type="dxa" w:w="1134"/>
            <w:tcMar>
              <w:top w:w="60" w:type="dxa"/>
              <w:start w:w="70" w:type="dxa"/>
              <w:bottom w:w="60" w:type="dxa"/>
              <w:end w:w="70" w:type="dxa"/>
            </w:tcMar>
            <w:vAlign w:val="center"/>
          </w:tcPr>
          <w:p>
            <w:pPr>
              <w:jc w:val="center"/>
            </w:pPr>
            <w:r>
              <w:rPr>
                <w:rFonts w:ascii="Times New Roman" w:hAnsi="Times New Roman"/>
                <w:sz w:val="20"/>
              </w:rPr>
              <w:t>-0,352304</w:t>
            </w:r>
          </w:p>
        </w:tc>
        <w:tc>
          <w:tcPr>
            <w:tcW w:type="dxa" w:w="1247"/>
            <w:tcMar>
              <w:top w:w="60" w:type="dxa"/>
              <w:start w:w="70" w:type="dxa"/>
              <w:bottom w:w="60" w:type="dxa"/>
              <w:end w:w="70" w:type="dxa"/>
            </w:tcMar>
            <w:vAlign w:val="center"/>
          </w:tcPr>
          <w:p>
            <w:pPr>
              <w:jc w:val="center"/>
            </w:pPr>
            <w:r>
              <w:rPr>
                <w:rFonts w:ascii="Times New Roman" w:hAnsi="Times New Roman"/>
                <w:sz w:val="20"/>
              </w:rPr>
              <w:t>0,352304</w:t>
            </w:r>
          </w:p>
        </w:tc>
        <w:tc>
          <w:tcPr>
            <w:tcW w:type="dxa" w:w="1020"/>
            <w:tcMar>
              <w:top w:w="60" w:type="dxa"/>
              <w:start w:w="70" w:type="dxa"/>
              <w:bottom w:w="60" w:type="dxa"/>
              <w:end w:w="70" w:type="dxa"/>
            </w:tcMar>
            <w:vAlign w:val="center"/>
          </w:tcPr>
          <w:p>
            <w:pPr>
              <w:jc w:val="center"/>
            </w:pPr>
            <w:r>
              <w:rPr>
                <w:rFonts w:ascii="Times New Roman" w:hAnsi="Times New Roman"/>
                <w:sz w:val="20"/>
              </w:rPr>
              <w:t>theta_1</w:t>
            </w:r>
          </w:p>
        </w:tc>
        <w:tc>
          <w:tcPr>
            <w:tcW w:type="dxa" w:w="1361"/>
            <w:tcMar>
              <w:top w:w="60" w:type="dxa"/>
              <w:start w:w="70" w:type="dxa"/>
              <w:bottom w:w="60" w:type="dxa"/>
              <w:end w:w="70" w:type="dxa"/>
            </w:tcMar>
            <w:vAlign w:val="center"/>
          </w:tcPr>
          <w:p>
            <w:pPr>
              <w:jc w:val="center"/>
            </w:pPr>
            <w:r>
              <w:rPr>
                <w:rFonts w:ascii="Times New Roman" w:hAnsi="Times New Roman"/>
                <w:sz w:val="20"/>
              </w:rPr>
              <w:t>0,386583</w:t>
            </w:r>
          </w:p>
        </w:tc>
      </w:tr>
      <w:tr>
        <w:trPr>
          <w:trHeight w:hRule="atLeast"/>
        </w:trPr>
        <w:tc>
          <w:tcPr>
            <w:tcW w:type="dxa" w:w="1928"/>
            <w:tcMar>
              <w:top w:w="60" w:type="dxa"/>
              <w:start w:w="70" w:type="dxa"/>
              <w:bottom w:w="60" w:type="dxa"/>
              <w:end w:w="70" w:type="dxa"/>
            </w:tcMar>
            <w:vAlign w:val="center"/>
          </w:tcPr>
          <w:p>
            <w:pPr>
              <w:jc w:val="center"/>
            </w:pPr>
            <w:r>
              <w:rPr>
                <w:rFonts w:ascii="Times New Roman" w:hAnsi="Times New Roman"/>
                <w:sz w:val="20"/>
              </w:rPr>
              <w:t>scn_0089</w:t>
            </w:r>
          </w:p>
        </w:tc>
        <w:tc>
          <w:tcPr>
            <w:tcW w:type="dxa" w:w="1191"/>
            <w:tcMar>
              <w:top w:w="60" w:type="dxa"/>
              <w:start w:w="70" w:type="dxa"/>
              <w:bottom w:w="60" w:type="dxa"/>
              <w:end w:w="70" w:type="dxa"/>
            </w:tcMar>
            <w:vAlign w:val="center"/>
          </w:tcPr>
          <w:p>
            <w:pPr>
              <w:jc w:val="center"/>
            </w:pPr>
            <w:r>
              <w:rPr>
                <w:rFonts w:ascii="Times New Roman" w:hAnsi="Times New Roman"/>
                <w:sz w:val="20"/>
              </w:rPr>
              <w:t>0,270194</w:t>
            </w:r>
          </w:p>
        </w:tc>
        <w:tc>
          <w:tcPr>
            <w:tcW w:type="dxa" w:w="1191"/>
            <w:tcMar>
              <w:top w:w="60" w:type="dxa"/>
              <w:start w:w="70" w:type="dxa"/>
              <w:bottom w:w="60" w:type="dxa"/>
              <w:end w:w="70" w:type="dxa"/>
            </w:tcMar>
            <w:vAlign w:val="center"/>
          </w:tcPr>
          <w:p>
            <w:pPr>
              <w:jc w:val="center"/>
            </w:pPr>
            <w:r>
              <w:rPr>
                <w:rFonts w:ascii="Times New Roman" w:hAnsi="Times New Roman"/>
                <w:sz w:val="20"/>
              </w:rPr>
              <w:t>0,607655</w:t>
            </w:r>
          </w:p>
        </w:tc>
        <w:tc>
          <w:tcPr>
            <w:tcW w:type="dxa" w:w="1134"/>
            <w:tcMar>
              <w:top w:w="60" w:type="dxa"/>
              <w:start w:w="70" w:type="dxa"/>
              <w:bottom w:w="60" w:type="dxa"/>
              <w:end w:w="70" w:type="dxa"/>
            </w:tcMar>
            <w:vAlign w:val="center"/>
          </w:tcPr>
          <w:p>
            <w:pPr>
              <w:jc w:val="center"/>
            </w:pPr>
            <w:r>
              <w:rPr>
                <w:rFonts w:ascii="Times New Roman" w:hAnsi="Times New Roman"/>
                <w:sz w:val="20"/>
              </w:rPr>
              <w:t>-0,337461</w:t>
            </w:r>
          </w:p>
        </w:tc>
        <w:tc>
          <w:tcPr>
            <w:tcW w:type="dxa" w:w="1247"/>
            <w:tcMar>
              <w:top w:w="60" w:type="dxa"/>
              <w:start w:w="70" w:type="dxa"/>
              <w:bottom w:w="60" w:type="dxa"/>
              <w:end w:w="70" w:type="dxa"/>
            </w:tcMar>
            <w:vAlign w:val="center"/>
          </w:tcPr>
          <w:p>
            <w:pPr>
              <w:jc w:val="center"/>
            </w:pPr>
            <w:r>
              <w:rPr>
                <w:rFonts w:ascii="Times New Roman" w:hAnsi="Times New Roman"/>
                <w:sz w:val="20"/>
              </w:rPr>
              <w:t>0,337461</w:t>
            </w:r>
          </w:p>
        </w:tc>
        <w:tc>
          <w:tcPr>
            <w:tcW w:type="dxa" w:w="1020"/>
            <w:tcMar>
              <w:top w:w="60" w:type="dxa"/>
              <w:start w:w="70" w:type="dxa"/>
              <w:bottom w:w="60" w:type="dxa"/>
              <w:end w:w="70" w:type="dxa"/>
            </w:tcMar>
            <w:vAlign w:val="center"/>
          </w:tcPr>
          <w:p>
            <w:pPr>
              <w:jc w:val="center"/>
            </w:pPr>
            <w:r>
              <w:rPr>
                <w:rFonts w:ascii="Times New Roman" w:hAnsi="Times New Roman"/>
                <w:sz w:val="20"/>
              </w:rPr>
              <w:t>theta_1</w:t>
            </w:r>
          </w:p>
        </w:tc>
        <w:tc>
          <w:tcPr>
            <w:tcW w:type="dxa" w:w="1361"/>
            <w:tcMar>
              <w:top w:w="60" w:type="dxa"/>
              <w:start w:w="70" w:type="dxa"/>
              <w:bottom w:w="60" w:type="dxa"/>
              <w:end w:w="70" w:type="dxa"/>
            </w:tcMar>
            <w:vAlign w:val="center"/>
          </w:tcPr>
          <w:p>
            <w:pPr>
              <w:jc w:val="center"/>
            </w:pPr>
            <w:r>
              <w:rPr>
                <w:rFonts w:ascii="Times New Roman" w:hAnsi="Times New Roman"/>
                <w:sz w:val="20"/>
              </w:rPr>
              <w:t>0,370872</w:t>
            </w:r>
          </w:p>
        </w:tc>
      </w:tr>
      <w:tr>
        <w:trPr>
          <w:trHeight w:hRule="atLeast"/>
        </w:trPr>
        <w:tc>
          <w:tcPr>
            <w:tcW w:type="dxa" w:w="1928"/>
            <w:tcMar>
              <w:top w:w="60" w:type="dxa"/>
              <w:start w:w="70" w:type="dxa"/>
              <w:bottom w:w="60" w:type="dxa"/>
              <w:end w:w="70" w:type="dxa"/>
            </w:tcMar>
            <w:vAlign w:val="center"/>
          </w:tcPr>
          <w:p>
            <w:pPr>
              <w:jc w:val="center"/>
            </w:pPr>
            <w:r>
              <w:rPr>
                <w:rFonts w:ascii="Times New Roman" w:hAnsi="Times New Roman"/>
                <w:sz w:val="20"/>
              </w:rPr>
              <w:t>scn_0026</w:t>
            </w:r>
          </w:p>
        </w:tc>
        <w:tc>
          <w:tcPr>
            <w:tcW w:type="dxa" w:w="1191"/>
            <w:tcMar>
              <w:top w:w="60" w:type="dxa"/>
              <w:start w:w="70" w:type="dxa"/>
              <w:bottom w:w="60" w:type="dxa"/>
              <w:end w:w="70" w:type="dxa"/>
            </w:tcMar>
            <w:vAlign w:val="center"/>
          </w:tcPr>
          <w:p>
            <w:pPr>
              <w:jc w:val="center"/>
            </w:pPr>
            <w:r>
              <w:rPr>
                <w:rFonts w:ascii="Times New Roman" w:hAnsi="Times New Roman"/>
                <w:sz w:val="20"/>
              </w:rPr>
              <w:t>0,222050</w:t>
            </w:r>
          </w:p>
        </w:tc>
        <w:tc>
          <w:tcPr>
            <w:tcW w:type="dxa" w:w="1191"/>
            <w:tcMar>
              <w:top w:w="60" w:type="dxa"/>
              <w:start w:w="70" w:type="dxa"/>
              <w:bottom w:w="60" w:type="dxa"/>
              <w:end w:w="70" w:type="dxa"/>
            </w:tcMar>
            <w:vAlign w:val="center"/>
          </w:tcPr>
          <w:p>
            <w:pPr>
              <w:jc w:val="center"/>
            </w:pPr>
            <w:r>
              <w:rPr>
                <w:rFonts w:ascii="Times New Roman" w:hAnsi="Times New Roman"/>
                <w:sz w:val="20"/>
              </w:rPr>
              <w:t>0,557690</w:t>
            </w:r>
          </w:p>
        </w:tc>
        <w:tc>
          <w:tcPr>
            <w:tcW w:type="dxa" w:w="1134"/>
            <w:tcMar>
              <w:top w:w="60" w:type="dxa"/>
              <w:start w:w="70" w:type="dxa"/>
              <w:bottom w:w="60" w:type="dxa"/>
              <w:end w:w="70" w:type="dxa"/>
            </w:tcMar>
            <w:vAlign w:val="center"/>
          </w:tcPr>
          <w:p>
            <w:pPr>
              <w:jc w:val="center"/>
            </w:pPr>
            <w:r>
              <w:rPr>
                <w:rFonts w:ascii="Times New Roman" w:hAnsi="Times New Roman"/>
                <w:sz w:val="20"/>
              </w:rPr>
              <w:t>-0,335640</w:t>
            </w:r>
          </w:p>
        </w:tc>
        <w:tc>
          <w:tcPr>
            <w:tcW w:type="dxa" w:w="1247"/>
            <w:tcMar>
              <w:top w:w="60" w:type="dxa"/>
              <w:start w:w="70" w:type="dxa"/>
              <w:bottom w:w="60" w:type="dxa"/>
              <w:end w:w="70" w:type="dxa"/>
            </w:tcMar>
            <w:vAlign w:val="center"/>
          </w:tcPr>
          <w:p>
            <w:pPr>
              <w:jc w:val="center"/>
            </w:pPr>
            <w:r>
              <w:rPr>
                <w:rFonts w:ascii="Times New Roman" w:hAnsi="Times New Roman"/>
                <w:sz w:val="20"/>
              </w:rPr>
              <w:t>0,335640</w:t>
            </w:r>
          </w:p>
        </w:tc>
        <w:tc>
          <w:tcPr>
            <w:tcW w:type="dxa" w:w="1020"/>
            <w:tcMar>
              <w:top w:w="60" w:type="dxa"/>
              <w:start w:w="70" w:type="dxa"/>
              <w:bottom w:w="60" w:type="dxa"/>
              <w:end w:w="70" w:type="dxa"/>
            </w:tcMar>
            <w:vAlign w:val="center"/>
          </w:tcPr>
          <w:p>
            <w:pPr>
              <w:jc w:val="center"/>
            </w:pPr>
            <w:r>
              <w:rPr>
                <w:rFonts w:ascii="Times New Roman" w:hAnsi="Times New Roman"/>
                <w:sz w:val="20"/>
              </w:rPr>
              <w:t>theta_1</w:t>
            </w:r>
          </w:p>
        </w:tc>
        <w:tc>
          <w:tcPr>
            <w:tcW w:type="dxa" w:w="1361"/>
            <w:tcMar>
              <w:top w:w="60" w:type="dxa"/>
              <w:start w:w="70" w:type="dxa"/>
              <w:bottom w:w="60" w:type="dxa"/>
              <w:end w:w="70" w:type="dxa"/>
            </w:tcMar>
            <w:vAlign w:val="center"/>
          </w:tcPr>
          <w:p>
            <w:pPr>
              <w:jc w:val="center"/>
            </w:pPr>
            <w:r>
              <w:rPr>
                <w:rFonts w:ascii="Times New Roman" w:hAnsi="Times New Roman"/>
                <w:sz w:val="20"/>
              </w:rPr>
              <w:t>0,364648</w:t>
            </w:r>
          </w:p>
        </w:tc>
      </w:tr>
      <w:tr>
        <w:trPr>
          <w:trHeight w:hRule="atLeast"/>
        </w:trPr>
        <w:tc>
          <w:tcPr>
            <w:tcW w:type="dxa" w:w="1928"/>
            <w:tcMar>
              <w:top w:w="60" w:type="dxa"/>
              <w:start w:w="70" w:type="dxa"/>
              <w:bottom w:w="60" w:type="dxa"/>
              <w:end w:w="70" w:type="dxa"/>
            </w:tcMar>
            <w:vAlign w:val="center"/>
          </w:tcPr>
          <w:p>
            <w:pPr>
              <w:jc w:val="center"/>
            </w:pPr>
            <w:r>
              <w:rPr>
                <w:rFonts w:ascii="Times New Roman" w:hAnsi="Times New Roman"/>
                <w:sz w:val="20"/>
              </w:rPr>
              <w:t>scn_0103</w:t>
            </w:r>
          </w:p>
        </w:tc>
        <w:tc>
          <w:tcPr>
            <w:tcW w:type="dxa" w:w="1191"/>
            <w:tcMar>
              <w:top w:w="60" w:type="dxa"/>
              <w:start w:w="70" w:type="dxa"/>
              <w:bottom w:w="60" w:type="dxa"/>
              <w:end w:w="70" w:type="dxa"/>
            </w:tcMar>
            <w:vAlign w:val="center"/>
          </w:tcPr>
          <w:p>
            <w:pPr>
              <w:jc w:val="center"/>
            </w:pPr>
            <w:r>
              <w:rPr>
                <w:rFonts w:ascii="Times New Roman" w:hAnsi="Times New Roman"/>
                <w:sz w:val="20"/>
              </w:rPr>
              <w:t>0,154792</w:t>
            </w:r>
          </w:p>
        </w:tc>
        <w:tc>
          <w:tcPr>
            <w:tcW w:type="dxa" w:w="1191"/>
            <w:tcMar>
              <w:top w:w="60" w:type="dxa"/>
              <w:start w:w="70" w:type="dxa"/>
              <w:bottom w:w="60" w:type="dxa"/>
              <w:end w:w="70" w:type="dxa"/>
            </w:tcMar>
            <w:vAlign w:val="center"/>
          </w:tcPr>
          <w:p>
            <w:pPr>
              <w:jc w:val="center"/>
            </w:pPr>
            <w:r>
              <w:rPr>
                <w:rFonts w:ascii="Times New Roman" w:hAnsi="Times New Roman"/>
                <w:sz w:val="20"/>
              </w:rPr>
              <w:t>0,478864</w:t>
            </w:r>
          </w:p>
        </w:tc>
        <w:tc>
          <w:tcPr>
            <w:tcW w:type="dxa" w:w="1134"/>
            <w:tcMar>
              <w:top w:w="60" w:type="dxa"/>
              <w:start w:w="70" w:type="dxa"/>
              <w:bottom w:w="60" w:type="dxa"/>
              <w:end w:w="70" w:type="dxa"/>
            </w:tcMar>
            <w:vAlign w:val="center"/>
          </w:tcPr>
          <w:p>
            <w:pPr>
              <w:jc w:val="center"/>
            </w:pPr>
            <w:r>
              <w:rPr>
                <w:rFonts w:ascii="Times New Roman" w:hAnsi="Times New Roman"/>
                <w:sz w:val="20"/>
              </w:rPr>
              <w:t>-0,324072</w:t>
            </w:r>
          </w:p>
        </w:tc>
        <w:tc>
          <w:tcPr>
            <w:tcW w:type="dxa" w:w="1247"/>
            <w:tcMar>
              <w:top w:w="60" w:type="dxa"/>
              <w:start w:w="70" w:type="dxa"/>
              <w:bottom w:w="60" w:type="dxa"/>
              <w:end w:w="70" w:type="dxa"/>
            </w:tcMar>
            <w:vAlign w:val="center"/>
          </w:tcPr>
          <w:p>
            <w:pPr>
              <w:jc w:val="center"/>
            </w:pPr>
            <w:r>
              <w:rPr>
                <w:rFonts w:ascii="Times New Roman" w:hAnsi="Times New Roman"/>
                <w:sz w:val="20"/>
              </w:rPr>
              <w:t>0,324072</w:t>
            </w:r>
          </w:p>
        </w:tc>
        <w:tc>
          <w:tcPr>
            <w:tcW w:type="dxa" w:w="1020"/>
            <w:tcMar>
              <w:top w:w="60" w:type="dxa"/>
              <w:start w:w="70" w:type="dxa"/>
              <w:bottom w:w="60" w:type="dxa"/>
              <w:end w:w="70" w:type="dxa"/>
            </w:tcMar>
            <w:vAlign w:val="center"/>
          </w:tcPr>
          <w:p>
            <w:pPr>
              <w:jc w:val="center"/>
            </w:pPr>
            <w:r>
              <w:rPr>
                <w:rFonts w:ascii="Times New Roman" w:hAnsi="Times New Roman"/>
                <w:sz w:val="20"/>
              </w:rPr>
              <w:t>theta_1</w:t>
            </w:r>
          </w:p>
        </w:tc>
        <w:tc>
          <w:tcPr>
            <w:tcW w:type="dxa" w:w="1361"/>
            <w:tcMar>
              <w:top w:w="60" w:type="dxa"/>
              <w:start w:w="70" w:type="dxa"/>
              <w:bottom w:w="60" w:type="dxa"/>
              <w:end w:w="70" w:type="dxa"/>
            </w:tcMar>
            <w:vAlign w:val="center"/>
          </w:tcPr>
          <w:p>
            <w:pPr>
              <w:jc w:val="center"/>
            </w:pPr>
            <w:r>
              <w:rPr>
                <w:rFonts w:ascii="Times New Roman" w:hAnsi="Times New Roman"/>
                <w:sz w:val="20"/>
              </w:rPr>
              <w:t>0,382245</w:t>
            </w:r>
          </w:p>
        </w:tc>
      </w:tr>
    </w:tbl>
    <w:p/>
    <w:p>
      <w:pPr>
        <w:jc w:val="center"/>
      </w:pPr>
      <w:r>
        <w:rPr>
          <w:rFonts w:ascii="Times New Roman" w:hAnsi="Times New Roman" w:eastAsia="Times New Roman"/>
        </w:rPr>
        <w:drawing>
          <wp:inline xmlns:a="http://schemas.openxmlformats.org/drawingml/2006/main" xmlns:pic="http://schemas.openxmlformats.org/drawingml/2006/picture">
            <wp:extent cx="5580000" cy="3331763"/>
            <wp:docPr id="8" name="Picture 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580000" cy="3331763"/>
                    </a:xfrm>
                    <a:prstGeom prst="rect"/>
                  </pic:spPr>
                </pic:pic>
              </a:graphicData>
            </a:graphic>
          </wp:inline>
        </w:drawing>
      </w:r>
    </w:p>
    <w:p w:rsidR="15A15A15">
      <w:pPr>
        <w:jc w:val="center"/>
      </w:pPr>
      <w:r>
        <w:rPr>
          <w:rFonts w:ascii="Times New Roman" w:hAnsi="Times New Roman" w:eastAsia="Times New Roman"/>
          <w:sz w:val="24"/>
        </w:rPr>
        <w:t>Рисунок 6.8 – Ошибка прогноза по доминирующим латентным факторам</w:t>
      </w:r>
    </w:p>
    <w:p/>
    <w:p>
      <w:pPr>
        <w:pStyle w:val="Heading1"/>
        <w:keepNext/>
        <w:pageBreakBefore w:val="0"/>
        <w:spacing w:before="240" w:after="120"/>
        <w:jc w:val="left"/>
      </w:pPr>
      <w:r>
        <w:rPr>
          <w:rFonts w:ascii="Times New Roman" w:hAnsi="Times New Roman" w:eastAsia="Times New Roman"/>
          <w:b/>
          <w:i w:val="0"/>
          <w:sz w:val="32"/>
        </w:rPr>
        <w:t>6.11. Ограничения проверки</w:t>
      </w:r>
    </w:p>
    <w:p>
      <w:pPr>
        <w:spacing w:line="360" w:lineRule="auto" w:before="0" w:after="0"/>
        <w:ind w:firstLine="709"/>
        <w:jc w:val="both"/>
      </w:pPr>
      <w:r>
        <w:rPr>
          <w:rFonts w:ascii="Times New Roman" w:hAnsi="Times New Roman" w:eastAsia="Times New Roman"/>
          <w:b w:val="0"/>
          <w:i w:val="0"/>
          <w:sz w:val="28"/>
        </w:rPr>
        <w:t>Экспериментальная проверка обеспечивает количественную оценку достоверности предложенного метода, но не устраняет ограничений исходной постановки. Эти ограничения должны быть явно отделены от статистических результатов, чтобы не переносить выводы текущего вычислительного эксперимента на более широкий класс ручных средств кодирования без дополнительного подтверждения.</w:t>
      </w:r>
    </w:p>
    <w:p>
      <w:pPr>
        <w:spacing w:line="360" w:lineRule="auto" w:after="0"/>
        <w:ind w:left="709" w:hanging="283"/>
        <w:jc w:val="both"/>
      </w:pPr>
      <w:r>
        <w:rPr>
          <w:rFonts w:ascii="Times New Roman" w:hAnsi="Times New Roman" w:eastAsia="Times New Roman"/>
          <w:b w:val="0"/>
          <w:i w:val="0"/>
          <w:sz w:val="28"/>
        </w:rPr>
        <w:t>1. Корпус содержит 150 сценариев. Этого достаточно для основной вычислительной проверки, но объем ограничивает точность оценок для редких подклассов и особенно для фактического класса low, представленного одной строкой.</w:t>
      </w:r>
    </w:p>
    <w:p>
      <w:pPr>
        <w:spacing w:line="360" w:lineRule="auto" w:after="0"/>
        <w:ind w:left="709" w:hanging="283"/>
        <w:jc w:val="both"/>
      </w:pPr>
      <w:r>
        <w:rPr>
          <w:rFonts w:ascii="Times New Roman" w:hAnsi="Times New Roman" w:eastAsia="Times New Roman"/>
          <w:b w:val="0"/>
          <w:i w:val="0"/>
          <w:sz w:val="28"/>
        </w:rPr>
        <w:t>2. Корпус является параметрическим вычислительным корпусом. Фактические показатели порождены программной моделью главы 3 и зависят от заложенных зависимостей, вероятностей ошибок и правил контроля.</w:t>
      </w:r>
    </w:p>
    <w:p>
      <w:pPr>
        <w:spacing w:line="360" w:lineRule="auto" w:after="0"/>
        <w:ind w:left="709" w:hanging="283"/>
        <w:jc w:val="both"/>
      </w:pPr>
      <w:r>
        <w:rPr>
          <w:rFonts w:ascii="Times New Roman" w:hAnsi="Times New Roman" w:eastAsia="Times New Roman"/>
          <w:b w:val="0"/>
          <w:i w:val="0"/>
          <w:sz w:val="28"/>
        </w:rPr>
        <w:t>3. Проверка на том же генераторе подтверждает внутреннюю достоверность вычислительной схемы, но не заменяет внешнюю валидацию на независимых экспериментальных протоколах с участием реальных операторов.</w:t>
      </w:r>
    </w:p>
    <w:p>
      <w:pPr>
        <w:spacing w:line="360" w:lineRule="auto" w:after="0"/>
        <w:ind w:left="709" w:hanging="283"/>
        <w:jc w:val="both"/>
      </w:pPr>
      <w:r>
        <w:rPr>
          <w:rFonts w:ascii="Times New Roman" w:hAnsi="Times New Roman" w:eastAsia="Times New Roman"/>
          <w:b w:val="0"/>
          <w:i w:val="0"/>
          <w:sz w:val="28"/>
        </w:rPr>
        <w:t>4. Весовая схема частных прогнозных критериев и направления латентных факторов заданы нормативно до проверки и не обучены по целевым данным. Это обеспечивает априорность, но может приводить к систематической некалиброванности шкалы.</w:t>
      </w:r>
    </w:p>
    <w:p>
      <w:pPr>
        <w:spacing w:line="360" w:lineRule="auto" w:after="0"/>
        <w:ind w:left="709" w:hanging="283"/>
        <w:jc w:val="both"/>
      </w:pPr>
      <w:r>
        <w:rPr>
          <w:rFonts w:ascii="Times New Roman" w:hAnsi="Times New Roman" w:eastAsia="Times New Roman"/>
          <w:b w:val="0"/>
          <w:i w:val="0"/>
          <w:sz w:val="28"/>
        </w:rPr>
        <w:t>5. Фактический integral_quality уже сформирован программной моделью и не обязан точно совпадать с простой равновесной агрегацией шести q_j. Контрольное расхождение между вариантами следует интерпретировать, а не устранять вручную.</w:t>
      </w:r>
    </w:p>
    <w:p>
      <w:pPr>
        <w:spacing w:line="360" w:lineRule="auto" w:after="0"/>
        <w:ind w:left="709" w:hanging="283"/>
        <w:jc w:val="both"/>
      </w:pPr>
      <w:r>
        <w:rPr>
          <w:rFonts w:ascii="Times New Roman" w:hAnsi="Times New Roman" w:eastAsia="Times New Roman"/>
          <w:b w:val="0"/>
          <w:i w:val="0"/>
          <w:sz w:val="28"/>
        </w:rPr>
        <w:t>6. Фактическое распределение классов сильно несбалансировано: low = 1, medium = 100, high = 49. Поэтому выводы по полноте низкого класса статистически неустойчивы, а обычная Accuracy недостаточна.</w:t>
      </w:r>
    </w:p>
    <w:p>
      <w:pPr>
        <w:spacing w:line="360" w:lineRule="auto" w:after="0"/>
        <w:ind w:left="709" w:hanging="283"/>
        <w:jc w:val="both"/>
      </w:pPr>
      <w:r>
        <w:rPr>
          <w:rFonts w:ascii="Times New Roman" w:hAnsi="Times New Roman" w:eastAsia="Times New Roman"/>
          <w:b w:val="0"/>
          <w:i w:val="0"/>
          <w:sz w:val="28"/>
        </w:rPr>
        <w:t>7. Bootstrap оценивает вариативность в пределах наблюдаемого корпуса, но не учитывает неопределенность структуры генератора, правил токенизации и выбора LDA-модели.</w:t>
      </w:r>
    </w:p>
    <w:p>
      <w:pPr>
        <w:spacing w:line="360" w:lineRule="auto" w:after="0"/>
        <w:ind w:left="709" w:hanging="283"/>
        <w:jc w:val="both"/>
      </w:pPr>
      <w:r>
        <w:rPr>
          <w:rFonts w:ascii="Times New Roman" w:hAnsi="Times New Roman" w:eastAsia="Times New Roman"/>
          <w:b w:val="0"/>
          <w:i w:val="0"/>
          <w:sz w:val="28"/>
        </w:rPr>
        <w:t>8. Множественная проверка шести частных критериев и нескольких baseline увеличивает риск случайных выводов. Основные выводы должны основываться на заранее определенных главных метриках и парных доверительных интервалах.</w:t>
      </w:r>
    </w:p>
    <w:p>
      <w:pPr>
        <w:spacing w:line="360" w:lineRule="auto" w:after="0"/>
        <w:ind w:left="709" w:hanging="283"/>
        <w:jc w:val="both"/>
      </w:pPr>
      <w:r>
        <w:rPr>
          <w:rFonts w:ascii="Times New Roman" w:hAnsi="Times New Roman" w:eastAsia="Times New Roman"/>
          <w:b w:val="0"/>
          <w:i w:val="0"/>
          <w:sz w:val="28"/>
        </w:rPr>
        <w:t>9. Использование результатов главы 6 для изменения коэффициентов главы 5 превращает процедуру в обучение по данным и требует нового независимого тестового набора либо вложенной cross-validation.</w:t>
      </w:r>
    </w:p>
    <w:p>
      <w:pPr>
        <w:spacing w:line="360" w:lineRule="auto" w:after="0"/>
        <w:ind w:left="709" w:hanging="283"/>
        <w:jc w:val="both"/>
      </w:pPr>
      <w:r>
        <w:rPr>
          <w:rFonts w:ascii="Times New Roman" w:hAnsi="Times New Roman" w:eastAsia="Times New Roman"/>
          <w:b w:val="0"/>
          <w:i w:val="0"/>
          <w:sz w:val="28"/>
        </w:rPr>
        <w:t>10. Сильная корреляция Q_pred и Q_fact не доказывает причинную природу латентных факторов и не гарантирует универсальность метода для иных классов процедур, операторов и условий применения.</w:t>
      </w:r>
    </w:p>
    <w:p>
      <w:pPr>
        <w:spacing w:line="360" w:lineRule="auto" w:before="0" w:after="0"/>
        <w:ind w:firstLine="709"/>
        <w:jc w:val="both"/>
      </w:pPr>
      <w:r>
        <w:rPr>
          <w:rFonts w:ascii="Times New Roman" w:hAnsi="Times New Roman" w:eastAsia="Times New Roman"/>
          <w:b w:val="0"/>
          <w:i w:val="0"/>
          <w:sz w:val="28"/>
        </w:rPr>
        <w:t>Указанные ограничения не отменяют доказательную ценность вычислительного эксперимента. Они определяют границы корректного вывода: глава 6 должна подтвердить или опровергнуть пригодность текущей реализации на расширенном корпусе и установить направления последующей внешней проверки, но не заявлять универсальную точность за пределами исследованной области.</w:t>
      </w:r>
    </w:p>
    <w:p>
      <w:pPr>
        <w:pStyle w:val="Heading1"/>
        <w:keepNext/>
        <w:pageBreakBefore w:val="0"/>
        <w:spacing w:before="240" w:after="120"/>
        <w:jc w:val="left"/>
      </w:pPr>
      <w:r>
        <w:rPr>
          <w:rFonts w:ascii="Times New Roman" w:hAnsi="Times New Roman" w:eastAsia="Times New Roman"/>
          <w:b/>
          <w:i w:val="0"/>
          <w:sz w:val="32"/>
        </w:rPr>
        <w:t>6.12. Выводы по главе 6</w:t>
      </w:r>
    </w:p>
    <w:p>
      <w:pPr>
        <w:spacing w:line="360" w:lineRule="auto" w:before="0" w:after="0"/>
        <w:ind w:firstLine="709"/>
        <w:jc w:val="both"/>
      </w:pPr>
      <w:r>
        <w:rPr>
          <w:rFonts w:ascii="Times New Roman" w:hAnsi="Times New Roman" w:eastAsia="Times New Roman"/>
        </w:rPr>
        <w:t>1. Экспериментальная проверка выполнена на корпусе из 150 сценариев. Программный контур принят по 27 из 27 обязательных проверок; прогнозы, веса, пороги и формулы главы 5 в ходе проверки не изменялись.</w:t>
      </w:r>
    </w:p>
    <w:p>
      <w:pPr>
        <w:spacing w:line="360" w:lineRule="auto" w:after="0"/>
        <w:ind w:left="709" w:hanging="283"/>
        <w:jc w:val="both"/>
      </w:pPr>
      <w:r>
        <w:rPr>
          <w:rFonts w:ascii="Times New Roman" w:hAnsi="Times New Roman" w:eastAsia="Times New Roman"/>
        </w:rPr>
        <w:t>2. Интегральный прогноз характеризуется MAE = 0,159244, RMSE = 0,194403 и Bias = -0,149399. Отрицательное R² = -1,971612 подтверждает неудовлетворительную калибровку абсолютной шкалы.</w:t>
      </w:r>
    </w:p>
    <w:p>
      <w:pPr>
        <w:spacing w:line="360" w:lineRule="auto" w:after="0"/>
        <w:ind w:left="709" w:hanging="283"/>
        <w:jc w:val="both"/>
      </w:pPr>
      <w:r>
        <w:rPr>
          <w:rFonts w:ascii="Times New Roman" w:hAnsi="Times New Roman" w:eastAsia="Times New Roman"/>
        </w:rPr>
        <w:t>3. Высокие значения Pearson = 0,892053, Spearman = 0,881769 и Kendall = 0,699329 подтверждают способность метода сохранять относительный порядок сценариев.</w:t>
      </w:r>
    </w:p>
    <w:p>
      <w:pPr>
        <w:spacing w:line="360" w:lineRule="auto" w:after="0"/>
        <w:ind w:left="709" w:hanging="283"/>
        <w:jc w:val="both"/>
      </w:pPr>
      <w:r>
        <w:rPr>
          <w:rFonts w:ascii="Times New Roman" w:hAnsi="Times New Roman" w:eastAsia="Times New Roman"/>
        </w:rPr>
        <w:t>4. Классификационная проверка дала Accuracy = 0,446667, Balanced Accuracy = 0,667823 и Macro F1 = 0,422515. Критические ошибки между крайними классами отсутствуют, однако дисбаланс low/medium/high ограничивает обобщение.</w:t>
      </w:r>
    </w:p>
    <w:p>
      <w:pPr>
        <w:spacing w:line="360" w:lineRule="auto" w:after="0"/>
        <w:ind w:left="709" w:hanging="283"/>
        <w:jc w:val="both"/>
      </w:pPr>
      <w:r>
        <w:rPr>
          <w:rFonts w:ascii="Times New Roman" w:hAnsi="Times New Roman" w:eastAsia="Times New Roman"/>
        </w:rPr>
        <w:t>5. Покрытие прогнозных интервалов равно 0,186667; интервальная модель не прошла внешнюю калибровочную проверку.</w:t>
      </w:r>
    </w:p>
    <w:p>
      <w:pPr>
        <w:spacing w:line="360" w:lineRule="auto" w:after="0"/>
        <w:ind w:left="709" w:hanging="283"/>
        <w:jc w:val="both"/>
      </w:pPr>
      <w:r>
        <w:rPr>
          <w:rFonts w:ascii="Times New Roman" w:hAnsi="Times New Roman" w:eastAsia="Times New Roman"/>
        </w:rPr>
        <w:t>6. Сравнение с baseline показало устойчивое преимущество mean- и prior-only-схем по MAE и RMSE. Поэтому утверждение о безусловном повышении абсолютной точности за счет LDA экспериментально не подтверждено.</w:t>
      </w:r>
    </w:p>
    <w:p>
      <w:pPr>
        <w:spacing w:line="360" w:lineRule="auto" w:after="0"/>
        <w:ind w:left="709" w:hanging="283"/>
        <w:jc w:val="both"/>
      </w:pPr>
      <w:r>
        <w:rPr>
          <w:rFonts w:ascii="Times New Roman" w:hAnsi="Times New Roman" w:eastAsia="Times New Roman"/>
        </w:rPr>
        <w:t>7. Латентный профиль сохраняет научную ценность как средство структурирования априорного признакового пространства, ранжирования сценариев и выявления групп с различной достоверностью прогноза.</w:t>
      </w:r>
    </w:p>
    <w:p>
      <w:pPr>
        <w:spacing w:line="360" w:lineRule="auto" w:after="0"/>
        <w:ind w:left="709" w:hanging="283"/>
        <w:jc w:val="both"/>
      </w:pPr>
      <w:r>
        <w:rPr>
          <w:rFonts w:ascii="Times New Roman" w:hAnsi="Times New Roman" w:eastAsia="Times New Roman"/>
        </w:rPr>
        <w:t>8. Основная гипотеза исследования подтверждена частично: предложенная модель обеспечивает высокую ранговую достоверность и диагностическую информативность, но не дает одновременного устойчивого улучшения абсолютной точности и интервальной калибровки.</w:t>
      </w:r>
    </w:p>
    <w:p>
      <w:pPr>
        <w:spacing w:line="360" w:lineRule="auto" w:after="0"/>
        <w:ind w:left="709" w:hanging="283"/>
        <w:jc w:val="both"/>
      </w:pPr>
      <w:r>
        <w:rPr>
          <w:rFonts w:ascii="Times New Roman" w:hAnsi="Times New Roman" w:eastAsia="Times New Roman"/>
        </w:rPr>
        <w:t>9. Для дальнейшего развития требуется отдельная калибровочная выборка, внешняя эмпирическая проверка с участием операторов и оценка обобщающей способности при переносе на новые средства, условия и типы сообщений.</w:t>
      </w:r>
    </w:p>
    <w:p>
      <w:pPr>
        <w:keepNext/>
        <w:spacing w:before="120" w:after="60"/>
        <w:jc w:val="center"/>
      </w:pPr>
      <w:r>
        <w:rPr>
          <w:rFonts w:ascii="Times New Roman" w:hAnsi="Times New Roman" w:eastAsia="Times New Roman"/>
          <w:b w:val="0"/>
          <w:i w:val="0"/>
          <w:sz w:val="20"/>
        </w:rPr>
        <w:t>Таблица 6.18 - Артефакты для автоматической финализации главы</w:t>
      </w:r>
    </w:p>
    <w:tbl>
      <w:tblPr>
        <w:tblStyle w:val="TableGrid"/>
        <w:tblW w:type="auto" w:w="0"/>
        <w:jc w:val="center"/>
        <w:tblLayout w:type="fixed"/>
        <w:tblLook w:firstColumn="1" w:firstRow="1" w:lastColumn="0" w:lastRow="0" w:noHBand="0" w:noVBand="1" w:val="04A0"/>
      </w:tblPr>
      <w:tblGrid>
        <w:gridCol w:w="4677"/>
        <w:gridCol w:w="4677"/>
      </w:tblGrid>
      <w:tr>
        <w:trPr>
          <w:trHeight w:hRule="atLeast"/>
          <w:tblHeader w:val="true"/>
        </w:trPr>
        <w:tc>
          <w:tcPr>
            <w:tcW w:type="dxa" w:w="3969"/>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Артефакт</w:t>
            </w:r>
          </w:p>
        </w:tc>
        <w:tc>
          <w:tcPr>
            <w:tcW w:type="dxa" w:w="5102"/>
            <w:shd w:fill="D9E2F3"/>
            <w:tcMar>
              <w:top w:w="60" w:type="dxa"/>
              <w:start w:w="70" w:type="dxa"/>
              <w:bottom w:w="60" w:type="dxa"/>
              <w:end w:w="70" w:type="dxa"/>
            </w:tcMar>
            <w:vAlign w:val="center"/>
          </w:tcPr>
          <w:p>
            <w:pPr>
              <w:spacing w:after="0" w:line="240" w:lineRule="auto"/>
              <w:jc w:val="center"/>
            </w:pPr>
            <w:r>
              <w:rPr>
                <w:rFonts w:ascii="Times New Roman" w:hAnsi="Times New Roman" w:eastAsia="Times New Roman"/>
                <w:b/>
                <w:i w:val="0"/>
                <w:sz w:val="20"/>
              </w:rPr>
              <w:t>Подставляемые результаты</w:t>
            </w:r>
          </w:p>
        </w:tc>
      </w:tr>
      <w:tr>
        <w:trPr>
          <w:trHeight w:hRule="atLeast"/>
        </w:trPr>
        <w:tc>
          <w:tcPr>
            <w:tcW w:type="dxa" w:w="39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validation_metrics.json / .md</w:t>
            </w:r>
          </w:p>
        </w:tc>
        <w:tc>
          <w:tcPr>
            <w:tcW w:type="dxa" w:w="5102"/>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MAE, RMSE, Bias, Pearson, Spearman, Kendall, R²</w:t>
            </w:r>
          </w:p>
        </w:tc>
      </w:tr>
      <w:tr>
        <w:trPr>
          <w:trHeight w:hRule="atLeast"/>
        </w:trPr>
        <w:tc>
          <w:tcPr>
            <w:tcW w:type="dxa" w:w="39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partial_criteria_validation.csv</w:t>
            </w:r>
          </w:p>
        </w:tc>
        <w:tc>
          <w:tcPr>
            <w:tcW w:type="dxa" w:w="5102"/>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Метрики шести частных критериев</w:t>
            </w:r>
          </w:p>
        </w:tc>
      </w:tr>
      <w:tr>
        <w:trPr>
          <w:trHeight w:hRule="atLeast"/>
        </w:trPr>
        <w:tc>
          <w:tcPr>
            <w:tcW w:type="dxa" w:w="39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classification_report.json</w:t>
            </w:r>
          </w:p>
        </w:tc>
        <w:tc>
          <w:tcPr>
            <w:tcW w:type="dxa" w:w="5102"/>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Accuracy, Balanced Accuracy, Macro F1, Precision, Recall</w:t>
            </w:r>
          </w:p>
        </w:tc>
      </w:tr>
      <w:tr>
        <w:trPr>
          <w:trHeight w:hRule="atLeast"/>
        </w:trPr>
        <w:tc>
          <w:tcPr>
            <w:tcW w:type="dxa" w:w="39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confusion_matrix.csv</w:t>
            </w:r>
          </w:p>
        </w:tc>
        <w:tc>
          <w:tcPr>
            <w:tcW w:type="dxa" w:w="5102"/>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Матрица ошибок low / medium / high</w:t>
            </w:r>
          </w:p>
        </w:tc>
      </w:tr>
      <w:tr>
        <w:trPr>
          <w:trHeight w:hRule="atLeast"/>
        </w:trPr>
        <w:tc>
          <w:tcPr>
            <w:tcW w:type="dxa" w:w="39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interval_coverage_report.json</w:t>
            </w:r>
          </w:p>
        </w:tc>
        <w:tc>
          <w:tcPr>
            <w:tcW w:type="dxa" w:w="5102"/>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coverage_rate, ширина и направления промахов</w:t>
            </w:r>
          </w:p>
        </w:tc>
      </w:tr>
      <w:tr>
        <w:trPr>
          <w:trHeight w:hRule="atLeast"/>
        </w:trPr>
        <w:tc>
          <w:tcPr>
            <w:tcW w:type="dxa" w:w="39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baseline_comparison.csv</w:t>
            </w:r>
          </w:p>
        </w:tc>
        <w:tc>
          <w:tcPr>
            <w:tcW w:type="dxa" w:w="5102"/>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Сравнение четырех моделей</w:t>
            </w:r>
          </w:p>
        </w:tc>
      </w:tr>
      <w:tr>
        <w:trPr>
          <w:trHeight w:hRule="atLeast"/>
        </w:trPr>
        <w:tc>
          <w:tcPr>
            <w:tcW w:type="dxa" w:w="39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bootstrap_confidence_intervals.csv</w:t>
            </w:r>
          </w:p>
        </w:tc>
        <w:tc>
          <w:tcPr>
            <w:tcW w:type="dxa" w:w="5102"/>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95%-е интервалы метрик и парных разностей</w:t>
            </w:r>
          </w:p>
        </w:tc>
      </w:tr>
      <w:tr>
        <w:trPr>
          <w:trHeight w:hRule="atLeast"/>
        </w:trPr>
        <w:tc>
          <w:tcPr>
            <w:tcW w:type="dxa" w:w="39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top_prediction_errors.csv</w:t>
            </w:r>
          </w:p>
        </w:tc>
        <w:tc>
          <w:tcPr>
            <w:tcW w:type="dxa" w:w="5102"/>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Топ-10 крупнейших ошибок и диагностические признаки</w:t>
            </w:r>
          </w:p>
        </w:tc>
      </w:tr>
      <w:tr>
        <w:trPr>
          <w:trHeight w:hRule="atLeast"/>
        </w:trPr>
        <w:tc>
          <w:tcPr>
            <w:tcW w:type="dxa" w:w="3969"/>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chapter6_validation_report.md</w:t>
            </w:r>
          </w:p>
        </w:tc>
        <w:tc>
          <w:tcPr>
            <w:tcW w:type="dxa" w:w="5102"/>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i w:val="0"/>
                <w:sz w:val="20"/>
              </w:rPr>
              <w:t>Итоговая интерпретация и вывод о гипотезе</w:t>
            </w:r>
          </w:p>
        </w:tc>
      </w:tr>
    </w:tbl>
    <w:p>
      <w:pPr>
        <w:spacing w:line="360" w:lineRule="auto" w:before="0" w:after="0"/>
        <w:ind w:firstLine="709"/>
        <w:jc w:val="both"/>
      </w:pPr>
      <w:r>
        <w:rPr>
          <w:rFonts w:ascii="Times New Roman" w:hAnsi="Times New Roman" w:eastAsia="Times New Roman"/>
        </w:rPr>
        <w:t>Все расчетные поля главы заменены фактическими значениями, рисунки встроены из воспроизводимых артефактов этапа 12, а итоговые формулировки согласованы с программным выводом: основная гипотеза подтверждена частично.</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Глава 6. Экспериментальная проверка достоверности априорной оценки качества</dc:title>
  <dc:subject>Черновик шестой главы диссертации</dc:subject>
  <dc:creator>Тарас Карнажицкий</dc:creator>
  <cp:keywords>диссертация, априорная оценка качества, LDA, валидация, bootstrap</cp:keywords>
  <dc:description>Математические формулы и основные выражения переведены в OMML-формулы Microsoft Word.</dc:description>
  <cp:lastModifiedBy/>
  <cp:revision>1</cp:revision>
  <dcterms:created xsi:type="dcterms:W3CDTF">2013-12-23T23:15:00Z</dcterms:created>
  <dcterms:modified xsi:type="dcterms:W3CDTF">2013-12-23T23:15:00Z</dcterms:modified>
  <cp:category/>
</cp:coreProperties>
</file>