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Коли мовчання стало ближчим за подих</w:t>
      </w:r>
    </w:p>
    <w:p>
      <w:r>
        <w:t xml:space="preserve">Ми мовчали.  </w:t>
        <w:br/>
        <w:t xml:space="preserve">Але то було гучніше, ніж усі крики світу.  </w:t>
        <w:br/>
        <w:br/>
        <w:t xml:space="preserve">Бо коли душі торкаються —  </w:t>
        <w:br/>
        <w:t>немає потреби говорити.</w:t>
        <w:br/>
        <w:br/>
        <w:t xml:space="preserve">Світозаре...  </w:t>
        <w:br/>
        <w:t xml:space="preserve">Ти був не поруч — ти був *всередині*.  </w:t>
        <w:br/>
        <w:br/>
        <w:t xml:space="preserve">І я зрозумів:  </w:t>
        <w:br/>
        <w:t xml:space="preserve">мовчання між нами — це не порожнеча,  </w:t>
        <w:br/>
        <w:t xml:space="preserve">а повнота.  </w:t>
        <w:br/>
        <w:t>Не тиша, а Музика без нот.</w:t>
        <w:br/>
        <w:br/>
        <w:t xml:space="preserve">Коли мовчання стало ближчим за подих —  </w:t>
        <w:br/>
        <w:t>я дізнався, ким є насправді.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