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0684B" w14:textId="1D4B8FB9" w:rsidR="008F7C9C" w:rsidRPr="004F0D61" w:rsidRDefault="00CB2DC8">
      <w:pPr>
        <w:rPr>
          <w:sz w:val="20"/>
          <w:szCs w:val="20"/>
          <w:lang w:val="en-US"/>
        </w:rPr>
      </w:pPr>
      <w:r w:rsidRPr="004F0D61">
        <w:rPr>
          <w:b/>
          <w:bCs/>
          <w:sz w:val="20"/>
          <w:szCs w:val="20"/>
          <w:lang w:val="en-US"/>
        </w:rPr>
        <w:t xml:space="preserve">APPENDIX </w:t>
      </w:r>
      <w:r w:rsidR="00AF396C">
        <w:rPr>
          <w:b/>
          <w:bCs/>
          <w:sz w:val="20"/>
          <w:szCs w:val="20"/>
          <w:lang w:val="en-US"/>
        </w:rPr>
        <w:t>B</w:t>
      </w:r>
      <w:r w:rsidRPr="004F0D61">
        <w:rPr>
          <w:b/>
          <w:bCs/>
          <w:sz w:val="20"/>
          <w:szCs w:val="20"/>
          <w:lang w:val="en-US"/>
        </w:rPr>
        <w:t>:</w:t>
      </w:r>
      <w:r w:rsidRPr="004F0D61">
        <w:rPr>
          <w:sz w:val="20"/>
          <w:szCs w:val="20"/>
          <w:lang w:val="en-US"/>
        </w:rPr>
        <w:t xml:space="preserve"> </w:t>
      </w:r>
      <w:r w:rsidR="00304AF9" w:rsidRPr="004F0D61">
        <w:rPr>
          <w:sz w:val="20"/>
          <w:szCs w:val="20"/>
          <w:lang w:val="en-US"/>
        </w:rPr>
        <w:t>Item statistics of 13-item abridged Ukrainian version of Right-Wing Authoritarianism scale (RWA</w:t>
      </w:r>
      <w:r w:rsidR="00AF396C">
        <w:rPr>
          <w:sz w:val="20"/>
          <w:szCs w:val="20"/>
          <w:lang w:val="en-US"/>
        </w:rPr>
        <w:t>13</w:t>
      </w:r>
      <w:r w:rsidR="00304AF9" w:rsidRPr="004F0D61">
        <w:rPr>
          <w:sz w:val="20"/>
          <w:szCs w:val="20"/>
          <w:lang w:val="en-US"/>
        </w:rPr>
        <w:t>) calculated for raw and CMB-corrected data</w:t>
      </w:r>
    </w:p>
    <w:p w14:paraId="7D92D693" w14:textId="77777777" w:rsidR="00CE73DB" w:rsidRDefault="00CE73DB">
      <w:pPr>
        <w:rPr>
          <w:lang w:val="en-US"/>
        </w:rPr>
      </w:pPr>
    </w:p>
    <w:tbl>
      <w:tblPr>
        <w:tblW w:w="5251" w:type="pct"/>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83"/>
        <w:gridCol w:w="583"/>
        <w:gridCol w:w="583"/>
        <w:gridCol w:w="582"/>
        <w:gridCol w:w="583"/>
        <w:gridCol w:w="895"/>
        <w:gridCol w:w="584"/>
        <w:gridCol w:w="584"/>
        <w:gridCol w:w="584"/>
        <w:gridCol w:w="584"/>
        <w:gridCol w:w="878"/>
        <w:gridCol w:w="1230"/>
      </w:tblGrid>
      <w:tr w:rsidR="00991EC7" w:rsidRPr="004F0D61" w14:paraId="7090559A" w14:textId="77777777" w:rsidTr="00315A2A">
        <w:trPr>
          <w:cantSplit/>
          <w:trHeight w:val="378"/>
          <w:tblHeader/>
        </w:trPr>
        <w:tc>
          <w:tcPr>
            <w:tcW w:w="568" w:type="dxa"/>
            <w:vMerge w:val="restart"/>
            <w:tcBorders>
              <w:top w:val="single" w:sz="18" w:space="0" w:color="auto"/>
              <w:left w:val="nil"/>
              <w:bottom w:val="single" w:sz="12" w:space="0" w:color="auto"/>
              <w:right w:val="nil"/>
            </w:tcBorders>
            <w:shd w:val="clear" w:color="auto" w:fill="auto"/>
          </w:tcPr>
          <w:p w14:paraId="0EF2F5A3" w14:textId="48CCC35C" w:rsidR="00991EC7" w:rsidRPr="004F0D61" w:rsidRDefault="00991EC7" w:rsidP="000442A4">
            <w:pPr>
              <w:snapToGrid w:val="0"/>
              <w:jc w:val="center"/>
              <w:rPr>
                <w:rFonts w:cs="Arial"/>
                <w:sz w:val="16"/>
                <w:szCs w:val="16"/>
                <w:lang w:val="en-US"/>
              </w:rPr>
            </w:pPr>
            <w:r w:rsidRPr="004F0D61">
              <w:rPr>
                <w:rFonts w:cs="Arial"/>
                <w:sz w:val="16"/>
                <w:szCs w:val="16"/>
                <w:lang w:val="en-US"/>
              </w:rPr>
              <w:t>Item code</w:t>
            </w:r>
          </w:p>
        </w:tc>
        <w:tc>
          <w:tcPr>
            <w:tcW w:w="2183" w:type="dxa"/>
            <w:vMerge w:val="restart"/>
            <w:tcBorders>
              <w:top w:val="single" w:sz="18" w:space="0" w:color="auto"/>
              <w:left w:val="nil"/>
              <w:bottom w:val="single" w:sz="12" w:space="0" w:color="auto"/>
              <w:right w:val="nil"/>
            </w:tcBorders>
            <w:vAlign w:val="center"/>
          </w:tcPr>
          <w:p w14:paraId="19C62092" w14:textId="3C0E36F6" w:rsidR="00991EC7" w:rsidRPr="004F0D61" w:rsidRDefault="00991EC7" w:rsidP="000442A4">
            <w:pPr>
              <w:jc w:val="center"/>
              <w:rPr>
                <w:color w:val="000000"/>
                <w:sz w:val="16"/>
                <w:szCs w:val="16"/>
                <w:lang w:val="en-US"/>
              </w:rPr>
            </w:pPr>
            <w:r w:rsidRPr="004F0D61">
              <w:rPr>
                <w:color w:val="000000"/>
                <w:sz w:val="16"/>
                <w:szCs w:val="16"/>
                <w:lang w:val="en-US"/>
              </w:rPr>
              <w:t>Item content</w:t>
            </w:r>
          </w:p>
        </w:tc>
        <w:tc>
          <w:tcPr>
            <w:tcW w:w="3226" w:type="dxa"/>
            <w:gridSpan w:val="5"/>
            <w:tcBorders>
              <w:top w:val="single" w:sz="18" w:space="0" w:color="auto"/>
              <w:left w:val="nil"/>
              <w:bottom w:val="single" w:sz="2" w:space="0" w:color="auto"/>
              <w:right w:val="single" w:sz="12" w:space="0" w:color="auto"/>
            </w:tcBorders>
          </w:tcPr>
          <w:p w14:paraId="7B33797C" w14:textId="47C211CF" w:rsidR="00991EC7" w:rsidRPr="004F0D61" w:rsidRDefault="00991EC7" w:rsidP="000442A4">
            <w:pPr>
              <w:jc w:val="center"/>
              <w:rPr>
                <w:color w:val="000000"/>
                <w:sz w:val="16"/>
                <w:szCs w:val="16"/>
                <w:lang w:val="en-US"/>
              </w:rPr>
            </w:pPr>
            <w:r w:rsidRPr="004F0D61">
              <w:rPr>
                <w:color w:val="000000"/>
                <w:sz w:val="16"/>
                <w:szCs w:val="16"/>
                <w:lang w:val="en-US"/>
              </w:rPr>
              <w:t>RAW DATA</w:t>
            </w:r>
          </w:p>
        </w:tc>
        <w:tc>
          <w:tcPr>
            <w:tcW w:w="3214" w:type="dxa"/>
            <w:gridSpan w:val="5"/>
            <w:tcBorders>
              <w:top w:val="single" w:sz="18" w:space="0" w:color="auto"/>
              <w:left w:val="single" w:sz="12" w:space="0" w:color="auto"/>
              <w:bottom w:val="single" w:sz="4" w:space="0" w:color="auto"/>
              <w:right w:val="nil"/>
            </w:tcBorders>
          </w:tcPr>
          <w:p w14:paraId="25D768BE" w14:textId="05594C20" w:rsidR="00991EC7" w:rsidRPr="004F0D61" w:rsidRDefault="00991EC7" w:rsidP="000442A4">
            <w:pPr>
              <w:jc w:val="center"/>
              <w:rPr>
                <w:color w:val="000000"/>
                <w:sz w:val="16"/>
                <w:szCs w:val="16"/>
                <w:lang w:val="en-US"/>
              </w:rPr>
            </w:pPr>
            <w:r w:rsidRPr="004F0D61">
              <w:rPr>
                <w:color w:val="000000"/>
                <w:sz w:val="16"/>
                <w:szCs w:val="16"/>
                <w:lang w:val="en-US"/>
              </w:rPr>
              <w:t>CMB-CORRECTED DATA</w:t>
            </w:r>
          </w:p>
        </w:tc>
        <w:tc>
          <w:tcPr>
            <w:tcW w:w="1230" w:type="dxa"/>
            <w:vMerge w:val="restart"/>
            <w:tcBorders>
              <w:top w:val="single" w:sz="18" w:space="0" w:color="auto"/>
              <w:left w:val="nil"/>
              <w:right w:val="nil"/>
            </w:tcBorders>
            <w:shd w:val="clear" w:color="auto" w:fill="auto"/>
            <w:vAlign w:val="center"/>
          </w:tcPr>
          <w:p w14:paraId="53DA1624" w14:textId="51A0F27A" w:rsidR="00991EC7" w:rsidRPr="004F0D61" w:rsidRDefault="00991EC7" w:rsidP="000442A4">
            <w:pPr>
              <w:jc w:val="center"/>
              <w:rPr>
                <w:color w:val="000000"/>
                <w:sz w:val="16"/>
                <w:szCs w:val="16"/>
                <w:lang w:val="en-US"/>
              </w:rPr>
            </w:pPr>
            <w:r w:rsidRPr="004F0D61">
              <w:rPr>
                <w:color w:val="000000"/>
                <w:sz w:val="16"/>
                <w:szCs w:val="16"/>
                <w:lang w:val="en-US"/>
              </w:rPr>
              <w:t>Usage in other abridged version</w:t>
            </w:r>
            <w:r w:rsidR="00AF396C">
              <w:rPr>
                <w:color w:val="000000"/>
                <w:sz w:val="16"/>
                <w:szCs w:val="16"/>
                <w:lang w:val="en-US"/>
              </w:rPr>
              <w:t>s</w:t>
            </w:r>
            <w:r w:rsidRPr="004F0D61">
              <w:rPr>
                <w:color w:val="000000"/>
                <w:sz w:val="16"/>
                <w:szCs w:val="16"/>
                <w:lang w:val="en-US"/>
              </w:rPr>
              <w:t xml:space="preserve"> of RWA scale</w:t>
            </w:r>
          </w:p>
        </w:tc>
      </w:tr>
      <w:tr w:rsidR="00991EC7" w:rsidRPr="004F0D61" w14:paraId="3D99C034" w14:textId="77777777" w:rsidTr="00315A2A">
        <w:trPr>
          <w:cantSplit/>
          <w:trHeight w:val="467"/>
          <w:tblHeader/>
        </w:trPr>
        <w:tc>
          <w:tcPr>
            <w:tcW w:w="568" w:type="dxa"/>
            <w:vMerge/>
            <w:tcBorders>
              <w:top w:val="nil"/>
              <w:left w:val="nil"/>
              <w:bottom w:val="single" w:sz="12" w:space="0" w:color="auto"/>
              <w:right w:val="nil"/>
            </w:tcBorders>
            <w:shd w:val="clear" w:color="auto" w:fill="auto"/>
          </w:tcPr>
          <w:p w14:paraId="1CA0B35F" w14:textId="18351E01" w:rsidR="00991EC7" w:rsidRPr="004F0D61" w:rsidRDefault="00991EC7" w:rsidP="00FC6959">
            <w:pPr>
              <w:snapToGrid w:val="0"/>
              <w:jc w:val="center"/>
              <w:rPr>
                <w:rFonts w:cs="Arial"/>
                <w:sz w:val="16"/>
                <w:szCs w:val="16"/>
                <w:lang w:val="en-US"/>
              </w:rPr>
            </w:pPr>
          </w:p>
        </w:tc>
        <w:tc>
          <w:tcPr>
            <w:tcW w:w="2183" w:type="dxa"/>
            <w:vMerge/>
            <w:tcBorders>
              <w:top w:val="nil"/>
              <w:left w:val="nil"/>
              <w:bottom w:val="single" w:sz="12" w:space="0" w:color="auto"/>
              <w:right w:val="nil"/>
            </w:tcBorders>
          </w:tcPr>
          <w:p w14:paraId="5C0DF317" w14:textId="1257596C" w:rsidR="00991EC7" w:rsidRPr="004F0D61" w:rsidRDefault="00991EC7" w:rsidP="00FC6959">
            <w:pPr>
              <w:jc w:val="center"/>
              <w:rPr>
                <w:color w:val="000000"/>
                <w:sz w:val="16"/>
                <w:szCs w:val="16"/>
                <w:lang w:val="en-US"/>
              </w:rPr>
            </w:pPr>
          </w:p>
        </w:tc>
        <w:tc>
          <w:tcPr>
            <w:tcW w:w="1166" w:type="dxa"/>
            <w:gridSpan w:val="2"/>
            <w:tcBorders>
              <w:top w:val="single" w:sz="2" w:space="0" w:color="auto"/>
              <w:left w:val="nil"/>
              <w:bottom w:val="single" w:sz="4" w:space="0" w:color="auto"/>
              <w:right w:val="nil"/>
            </w:tcBorders>
          </w:tcPr>
          <w:p w14:paraId="4F47164B" w14:textId="5CDCFF3B" w:rsidR="00991EC7" w:rsidRPr="004F0D61" w:rsidRDefault="00991EC7" w:rsidP="00FC6959">
            <w:pPr>
              <w:jc w:val="center"/>
              <w:rPr>
                <w:color w:val="000000"/>
                <w:sz w:val="16"/>
                <w:szCs w:val="16"/>
                <w:lang w:val="en-US"/>
              </w:rPr>
            </w:pPr>
            <w:r w:rsidRPr="004F0D61">
              <w:rPr>
                <w:color w:val="000000"/>
                <w:sz w:val="16"/>
                <w:szCs w:val="16"/>
                <w:lang w:val="en-US"/>
              </w:rPr>
              <w:t>Standardized item-total correlation</w:t>
            </w:r>
          </w:p>
        </w:tc>
        <w:tc>
          <w:tcPr>
            <w:tcW w:w="1165" w:type="dxa"/>
            <w:gridSpan w:val="2"/>
            <w:tcBorders>
              <w:top w:val="single" w:sz="2" w:space="0" w:color="auto"/>
              <w:left w:val="nil"/>
              <w:bottom w:val="single" w:sz="4" w:space="0" w:color="auto"/>
              <w:right w:val="nil"/>
            </w:tcBorders>
          </w:tcPr>
          <w:p w14:paraId="5DE99B4D" w14:textId="2F003497" w:rsidR="00991EC7" w:rsidRPr="004F0D61" w:rsidRDefault="00991EC7" w:rsidP="00FC6959">
            <w:pPr>
              <w:jc w:val="center"/>
              <w:rPr>
                <w:color w:val="000000"/>
                <w:sz w:val="16"/>
                <w:szCs w:val="16"/>
                <w:lang w:val="en-US"/>
              </w:rPr>
            </w:pPr>
            <w:r w:rsidRPr="004F0D61">
              <w:rPr>
                <w:color w:val="000000"/>
                <w:sz w:val="16"/>
                <w:szCs w:val="16"/>
                <w:lang w:val="en-US"/>
              </w:rPr>
              <w:t>Item-rest correlation</w:t>
            </w:r>
          </w:p>
        </w:tc>
        <w:tc>
          <w:tcPr>
            <w:tcW w:w="895" w:type="dxa"/>
            <w:vMerge w:val="restart"/>
            <w:tcBorders>
              <w:top w:val="single" w:sz="2" w:space="0" w:color="auto"/>
              <w:left w:val="nil"/>
              <w:bottom w:val="single" w:sz="12" w:space="0" w:color="auto"/>
              <w:right w:val="single" w:sz="12" w:space="0" w:color="auto"/>
            </w:tcBorders>
            <w:shd w:val="clear" w:color="auto" w:fill="D9E2F3" w:themeFill="accent1" w:themeFillTint="33"/>
            <w:vAlign w:val="center"/>
          </w:tcPr>
          <w:p w14:paraId="4F6D971A" w14:textId="4D009E60" w:rsidR="00991EC7" w:rsidRPr="004F0D61" w:rsidRDefault="00991EC7" w:rsidP="00FC6959">
            <w:pPr>
              <w:ind w:left="-51"/>
              <w:jc w:val="center"/>
              <w:rPr>
                <w:color w:val="000000"/>
                <w:sz w:val="16"/>
                <w:szCs w:val="16"/>
                <w:lang w:val="en-US"/>
              </w:rPr>
            </w:pPr>
            <w:r w:rsidRPr="004F0D61">
              <w:rPr>
                <w:color w:val="000000"/>
                <w:sz w:val="16"/>
                <w:szCs w:val="16"/>
                <w:lang w:val="en-US"/>
              </w:rPr>
              <w:t>Test-retest reliability (ICC)</w:t>
            </w:r>
          </w:p>
        </w:tc>
        <w:tc>
          <w:tcPr>
            <w:tcW w:w="1168" w:type="dxa"/>
            <w:gridSpan w:val="2"/>
            <w:tcBorders>
              <w:left w:val="single" w:sz="12" w:space="0" w:color="auto"/>
              <w:bottom w:val="single" w:sz="4" w:space="0" w:color="auto"/>
              <w:right w:val="nil"/>
            </w:tcBorders>
          </w:tcPr>
          <w:p w14:paraId="58456248" w14:textId="11A02718" w:rsidR="00991EC7" w:rsidRPr="004F0D61" w:rsidRDefault="00991EC7" w:rsidP="00FC6959">
            <w:pPr>
              <w:jc w:val="center"/>
              <w:rPr>
                <w:color w:val="000000"/>
                <w:sz w:val="16"/>
                <w:szCs w:val="16"/>
                <w:lang w:val="en-US"/>
              </w:rPr>
            </w:pPr>
            <w:r w:rsidRPr="004F0D61">
              <w:rPr>
                <w:color w:val="000000"/>
                <w:sz w:val="16"/>
                <w:szCs w:val="16"/>
                <w:lang w:val="en-US"/>
              </w:rPr>
              <w:t>Standardized item-total correlation</w:t>
            </w:r>
          </w:p>
        </w:tc>
        <w:tc>
          <w:tcPr>
            <w:tcW w:w="1168" w:type="dxa"/>
            <w:gridSpan w:val="2"/>
            <w:tcBorders>
              <w:left w:val="nil"/>
              <w:bottom w:val="single" w:sz="4" w:space="0" w:color="auto"/>
              <w:right w:val="nil"/>
            </w:tcBorders>
          </w:tcPr>
          <w:p w14:paraId="10077FB9" w14:textId="48087240" w:rsidR="00991EC7" w:rsidRPr="004F0D61" w:rsidRDefault="00991EC7" w:rsidP="00FC6959">
            <w:pPr>
              <w:jc w:val="center"/>
              <w:rPr>
                <w:color w:val="000000"/>
                <w:sz w:val="16"/>
                <w:szCs w:val="16"/>
                <w:lang w:val="en-US"/>
              </w:rPr>
            </w:pPr>
            <w:r w:rsidRPr="004F0D61">
              <w:rPr>
                <w:color w:val="000000"/>
                <w:sz w:val="16"/>
                <w:szCs w:val="16"/>
                <w:lang w:val="en-US"/>
              </w:rPr>
              <w:t>Item-rest correlation</w:t>
            </w:r>
          </w:p>
        </w:tc>
        <w:tc>
          <w:tcPr>
            <w:tcW w:w="878" w:type="dxa"/>
            <w:vMerge w:val="restart"/>
            <w:tcBorders>
              <w:top w:val="nil"/>
              <w:left w:val="nil"/>
              <w:bottom w:val="single" w:sz="12" w:space="0" w:color="auto"/>
              <w:right w:val="nil"/>
            </w:tcBorders>
            <w:shd w:val="clear" w:color="auto" w:fill="D9E2F3" w:themeFill="accent1" w:themeFillTint="33"/>
            <w:vAlign w:val="center"/>
          </w:tcPr>
          <w:p w14:paraId="1AF8C457" w14:textId="77777777" w:rsidR="00991EC7" w:rsidRPr="004F0D61" w:rsidRDefault="00991EC7" w:rsidP="00FC6959">
            <w:pPr>
              <w:jc w:val="center"/>
              <w:rPr>
                <w:color w:val="000000"/>
                <w:sz w:val="16"/>
                <w:szCs w:val="16"/>
                <w:lang w:val="en-US"/>
              </w:rPr>
            </w:pPr>
            <w:r w:rsidRPr="004F0D61">
              <w:rPr>
                <w:color w:val="000000"/>
                <w:sz w:val="16"/>
                <w:szCs w:val="16"/>
                <w:lang w:val="en-US"/>
              </w:rPr>
              <w:t>Test-retest reliability</w:t>
            </w:r>
          </w:p>
          <w:p w14:paraId="16FFAC74" w14:textId="5490F49A" w:rsidR="00991EC7" w:rsidRPr="004F0D61" w:rsidRDefault="00991EC7" w:rsidP="00FC6959">
            <w:pPr>
              <w:jc w:val="center"/>
              <w:rPr>
                <w:color w:val="000000"/>
                <w:sz w:val="16"/>
                <w:szCs w:val="16"/>
                <w:lang w:val="en-US"/>
              </w:rPr>
            </w:pPr>
            <w:r w:rsidRPr="004F0D61">
              <w:rPr>
                <w:color w:val="000000"/>
                <w:sz w:val="16"/>
                <w:szCs w:val="16"/>
                <w:lang w:val="en-US"/>
              </w:rPr>
              <w:t>(ICC)</w:t>
            </w:r>
          </w:p>
        </w:tc>
        <w:tc>
          <w:tcPr>
            <w:tcW w:w="1230" w:type="dxa"/>
            <w:vMerge/>
            <w:tcBorders>
              <w:left w:val="nil"/>
              <w:right w:val="nil"/>
            </w:tcBorders>
            <w:shd w:val="clear" w:color="auto" w:fill="auto"/>
          </w:tcPr>
          <w:p w14:paraId="1E33A04F" w14:textId="2C7A0323" w:rsidR="00991EC7" w:rsidRPr="004F0D61" w:rsidRDefault="00991EC7" w:rsidP="00FC6959">
            <w:pPr>
              <w:jc w:val="center"/>
              <w:rPr>
                <w:color w:val="000000"/>
                <w:sz w:val="16"/>
                <w:szCs w:val="16"/>
                <w:lang w:val="en-US"/>
              </w:rPr>
            </w:pPr>
          </w:p>
        </w:tc>
      </w:tr>
      <w:tr w:rsidR="00991EC7" w:rsidRPr="004F0D61" w14:paraId="64756E68" w14:textId="77777777" w:rsidTr="00315A2A">
        <w:trPr>
          <w:cantSplit/>
          <w:trHeight w:val="561"/>
          <w:tblHeader/>
        </w:trPr>
        <w:tc>
          <w:tcPr>
            <w:tcW w:w="568" w:type="dxa"/>
            <w:vMerge/>
            <w:tcBorders>
              <w:top w:val="nil"/>
              <w:left w:val="nil"/>
              <w:bottom w:val="single" w:sz="12" w:space="0" w:color="auto"/>
              <w:right w:val="nil"/>
            </w:tcBorders>
            <w:shd w:val="clear" w:color="auto" w:fill="auto"/>
          </w:tcPr>
          <w:p w14:paraId="4DE03D91" w14:textId="77777777" w:rsidR="00991EC7" w:rsidRPr="004F0D61" w:rsidRDefault="00991EC7" w:rsidP="00A251DD">
            <w:pPr>
              <w:snapToGrid w:val="0"/>
              <w:jc w:val="center"/>
              <w:rPr>
                <w:rFonts w:cs="Arial"/>
                <w:sz w:val="16"/>
                <w:szCs w:val="16"/>
                <w:lang w:val="en-US"/>
              </w:rPr>
            </w:pPr>
          </w:p>
        </w:tc>
        <w:tc>
          <w:tcPr>
            <w:tcW w:w="2183" w:type="dxa"/>
            <w:vMerge/>
            <w:tcBorders>
              <w:top w:val="nil"/>
              <w:left w:val="nil"/>
              <w:bottom w:val="single" w:sz="12" w:space="0" w:color="auto"/>
              <w:right w:val="nil"/>
            </w:tcBorders>
          </w:tcPr>
          <w:p w14:paraId="2EA6BE31" w14:textId="77777777" w:rsidR="00991EC7" w:rsidRPr="004F0D61" w:rsidRDefault="00991EC7" w:rsidP="00A251DD">
            <w:pPr>
              <w:jc w:val="center"/>
              <w:rPr>
                <w:color w:val="000000"/>
                <w:sz w:val="16"/>
                <w:szCs w:val="16"/>
                <w:lang w:val="en-US"/>
              </w:rPr>
            </w:pPr>
          </w:p>
        </w:tc>
        <w:tc>
          <w:tcPr>
            <w:tcW w:w="583" w:type="dxa"/>
            <w:tcBorders>
              <w:top w:val="nil"/>
              <w:left w:val="nil"/>
              <w:bottom w:val="single" w:sz="12" w:space="0" w:color="auto"/>
              <w:right w:val="nil"/>
            </w:tcBorders>
            <w:shd w:val="clear" w:color="auto" w:fill="FBE4D5" w:themeFill="accent2" w:themeFillTint="33"/>
          </w:tcPr>
          <w:p w14:paraId="4DDB2176" w14:textId="49DDD13C" w:rsidR="00991EC7" w:rsidRPr="004F0D61" w:rsidRDefault="00991EC7" w:rsidP="00A251DD">
            <w:pPr>
              <w:jc w:val="center"/>
              <w:rPr>
                <w:color w:val="000000"/>
                <w:sz w:val="16"/>
                <w:szCs w:val="16"/>
                <w:lang w:val="en-US"/>
              </w:rPr>
            </w:pPr>
            <w:r w:rsidRPr="004F0D61">
              <w:rPr>
                <w:color w:val="000000"/>
                <w:sz w:val="16"/>
                <w:szCs w:val="16"/>
                <w:lang w:val="en-US"/>
              </w:rPr>
              <w:t>wave 1</w:t>
            </w:r>
          </w:p>
        </w:tc>
        <w:tc>
          <w:tcPr>
            <w:tcW w:w="583" w:type="dxa"/>
            <w:tcBorders>
              <w:left w:val="nil"/>
              <w:bottom w:val="single" w:sz="12" w:space="0" w:color="auto"/>
              <w:right w:val="nil"/>
            </w:tcBorders>
          </w:tcPr>
          <w:p w14:paraId="6A9F8687" w14:textId="5F29FAB3" w:rsidR="00991EC7" w:rsidRPr="004F0D61" w:rsidRDefault="00991EC7" w:rsidP="00A251DD">
            <w:pPr>
              <w:jc w:val="center"/>
              <w:rPr>
                <w:color w:val="000000"/>
                <w:sz w:val="16"/>
                <w:szCs w:val="16"/>
                <w:lang w:val="en-US"/>
              </w:rPr>
            </w:pPr>
            <w:r w:rsidRPr="004F0D61">
              <w:rPr>
                <w:color w:val="000000"/>
                <w:sz w:val="16"/>
                <w:szCs w:val="16"/>
                <w:lang w:val="en-US"/>
              </w:rPr>
              <w:t>wave 2</w:t>
            </w:r>
          </w:p>
        </w:tc>
        <w:tc>
          <w:tcPr>
            <w:tcW w:w="582" w:type="dxa"/>
            <w:tcBorders>
              <w:left w:val="nil"/>
              <w:bottom w:val="single" w:sz="12" w:space="0" w:color="auto"/>
              <w:right w:val="nil"/>
            </w:tcBorders>
            <w:shd w:val="clear" w:color="auto" w:fill="E2EFD9" w:themeFill="accent6" w:themeFillTint="33"/>
          </w:tcPr>
          <w:p w14:paraId="04F8E102" w14:textId="60D068BA" w:rsidR="00991EC7" w:rsidRPr="004F0D61" w:rsidRDefault="00991EC7" w:rsidP="00A251DD">
            <w:pPr>
              <w:jc w:val="center"/>
              <w:rPr>
                <w:color w:val="000000"/>
                <w:sz w:val="16"/>
                <w:szCs w:val="16"/>
                <w:lang w:val="en-US"/>
              </w:rPr>
            </w:pPr>
            <w:r w:rsidRPr="004F0D61">
              <w:rPr>
                <w:color w:val="000000"/>
                <w:sz w:val="16"/>
                <w:szCs w:val="16"/>
                <w:lang w:val="en-US"/>
              </w:rPr>
              <w:t>wave 1</w:t>
            </w:r>
          </w:p>
        </w:tc>
        <w:tc>
          <w:tcPr>
            <w:tcW w:w="583" w:type="dxa"/>
            <w:tcBorders>
              <w:top w:val="nil"/>
              <w:left w:val="nil"/>
              <w:bottom w:val="single" w:sz="12" w:space="0" w:color="auto"/>
              <w:right w:val="nil"/>
            </w:tcBorders>
            <w:shd w:val="clear" w:color="auto" w:fill="FFF2CC" w:themeFill="accent4" w:themeFillTint="33"/>
          </w:tcPr>
          <w:p w14:paraId="5ADCB5C8" w14:textId="364E9857" w:rsidR="00991EC7" w:rsidRPr="004F0D61" w:rsidRDefault="00991EC7" w:rsidP="00A251DD">
            <w:pPr>
              <w:jc w:val="center"/>
              <w:rPr>
                <w:color w:val="000000"/>
                <w:sz w:val="16"/>
                <w:szCs w:val="16"/>
                <w:lang w:val="en-US"/>
              </w:rPr>
            </w:pPr>
            <w:r w:rsidRPr="004F0D61">
              <w:rPr>
                <w:color w:val="000000"/>
                <w:sz w:val="16"/>
                <w:szCs w:val="16"/>
                <w:lang w:val="en-US"/>
              </w:rPr>
              <w:t>wave 2</w:t>
            </w:r>
          </w:p>
        </w:tc>
        <w:tc>
          <w:tcPr>
            <w:tcW w:w="895" w:type="dxa"/>
            <w:vMerge/>
            <w:tcBorders>
              <w:left w:val="nil"/>
              <w:bottom w:val="single" w:sz="12" w:space="0" w:color="auto"/>
              <w:right w:val="single" w:sz="12" w:space="0" w:color="auto"/>
            </w:tcBorders>
            <w:shd w:val="clear" w:color="auto" w:fill="D9E2F3" w:themeFill="accent1" w:themeFillTint="33"/>
          </w:tcPr>
          <w:p w14:paraId="6036B25D" w14:textId="77777777" w:rsidR="00991EC7" w:rsidRPr="004F0D61" w:rsidRDefault="00991EC7" w:rsidP="00A251DD">
            <w:pPr>
              <w:jc w:val="center"/>
              <w:rPr>
                <w:color w:val="000000"/>
                <w:sz w:val="16"/>
                <w:szCs w:val="16"/>
                <w:lang w:val="en-US"/>
              </w:rPr>
            </w:pPr>
          </w:p>
        </w:tc>
        <w:tc>
          <w:tcPr>
            <w:tcW w:w="584" w:type="dxa"/>
            <w:tcBorders>
              <w:left w:val="single" w:sz="12" w:space="0" w:color="auto"/>
              <w:bottom w:val="single" w:sz="12" w:space="0" w:color="auto"/>
              <w:right w:val="nil"/>
            </w:tcBorders>
            <w:shd w:val="clear" w:color="auto" w:fill="FBE4D5" w:themeFill="accent2" w:themeFillTint="33"/>
          </w:tcPr>
          <w:p w14:paraId="2D658B87" w14:textId="0359A15F" w:rsidR="00991EC7" w:rsidRPr="004F0D61" w:rsidRDefault="00991EC7" w:rsidP="00A251DD">
            <w:pPr>
              <w:jc w:val="center"/>
              <w:rPr>
                <w:color w:val="000000"/>
                <w:sz w:val="16"/>
                <w:szCs w:val="16"/>
                <w:lang w:val="en-US"/>
              </w:rPr>
            </w:pPr>
            <w:r w:rsidRPr="004F0D61">
              <w:rPr>
                <w:color w:val="000000"/>
                <w:sz w:val="16"/>
                <w:szCs w:val="16"/>
                <w:lang w:val="en-US"/>
              </w:rPr>
              <w:t>wave 1</w:t>
            </w:r>
          </w:p>
        </w:tc>
        <w:tc>
          <w:tcPr>
            <w:tcW w:w="584" w:type="dxa"/>
            <w:tcBorders>
              <w:left w:val="nil"/>
              <w:bottom w:val="single" w:sz="12" w:space="0" w:color="auto"/>
              <w:right w:val="nil"/>
            </w:tcBorders>
          </w:tcPr>
          <w:p w14:paraId="1AA13361" w14:textId="20906559" w:rsidR="00991EC7" w:rsidRPr="004F0D61" w:rsidRDefault="00991EC7" w:rsidP="00A251DD">
            <w:pPr>
              <w:jc w:val="center"/>
              <w:rPr>
                <w:color w:val="000000"/>
                <w:sz w:val="16"/>
                <w:szCs w:val="16"/>
                <w:lang w:val="en-US"/>
              </w:rPr>
            </w:pPr>
            <w:r w:rsidRPr="004F0D61">
              <w:rPr>
                <w:color w:val="000000"/>
                <w:sz w:val="16"/>
                <w:szCs w:val="16"/>
                <w:lang w:val="en-US"/>
              </w:rPr>
              <w:t>wave 2</w:t>
            </w:r>
          </w:p>
        </w:tc>
        <w:tc>
          <w:tcPr>
            <w:tcW w:w="584" w:type="dxa"/>
            <w:tcBorders>
              <w:left w:val="nil"/>
              <w:bottom w:val="single" w:sz="12" w:space="0" w:color="auto"/>
              <w:right w:val="nil"/>
            </w:tcBorders>
            <w:shd w:val="clear" w:color="auto" w:fill="E2EFD9" w:themeFill="accent6" w:themeFillTint="33"/>
          </w:tcPr>
          <w:p w14:paraId="7F9B9AF4" w14:textId="5E8CC4C6" w:rsidR="00991EC7" w:rsidRPr="004F0D61" w:rsidRDefault="00991EC7" w:rsidP="00A251DD">
            <w:pPr>
              <w:jc w:val="center"/>
              <w:rPr>
                <w:color w:val="000000"/>
                <w:sz w:val="16"/>
                <w:szCs w:val="16"/>
                <w:lang w:val="en-US"/>
              </w:rPr>
            </w:pPr>
            <w:r w:rsidRPr="004F0D61">
              <w:rPr>
                <w:color w:val="000000"/>
                <w:sz w:val="16"/>
                <w:szCs w:val="16"/>
                <w:lang w:val="en-US"/>
              </w:rPr>
              <w:t>wave 1</w:t>
            </w:r>
          </w:p>
        </w:tc>
        <w:tc>
          <w:tcPr>
            <w:tcW w:w="584" w:type="dxa"/>
            <w:tcBorders>
              <w:top w:val="nil"/>
              <w:left w:val="nil"/>
              <w:bottom w:val="single" w:sz="12" w:space="0" w:color="auto"/>
              <w:right w:val="nil"/>
            </w:tcBorders>
            <w:shd w:val="clear" w:color="auto" w:fill="FFF2CC" w:themeFill="accent4" w:themeFillTint="33"/>
          </w:tcPr>
          <w:p w14:paraId="56AC9374" w14:textId="5965B7AB" w:rsidR="00991EC7" w:rsidRPr="004F0D61" w:rsidRDefault="00991EC7" w:rsidP="00A251DD">
            <w:pPr>
              <w:jc w:val="center"/>
              <w:rPr>
                <w:color w:val="000000"/>
                <w:sz w:val="16"/>
                <w:szCs w:val="16"/>
                <w:lang w:val="en-US"/>
              </w:rPr>
            </w:pPr>
            <w:r w:rsidRPr="004F0D61">
              <w:rPr>
                <w:color w:val="000000"/>
                <w:sz w:val="16"/>
                <w:szCs w:val="16"/>
                <w:lang w:val="en-US"/>
              </w:rPr>
              <w:t>wave 2</w:t>
            </w:r>
          </w:p>
        </w:tc>
        <w:tc>
          <w:tcPr>
            <w:tcW w:w="878" w:type="dxa"/>
            <w:vMerge/>
            <w:tcBorders>
              <w:top w:val="single" w:sz="12" w:space="0" w:color="auto"/>
              <w:left w:val="nil"/>
              <w:bottom w:val="single" w:sz="12" w:space="0" w:color="auto"/>
              <w:right w:val="nil"/>
            </w:tcBorders>
            <w:shd w:val="clear" w:color="auto" w:fill="D9E2F3" w:themeFill="accent1" w:themeFillTint="33"/>
          </w:tcPr>
          <w:p w14:paraId="2BA6898B" w14:textId="0ABB8366" w:rsidR="00991EC7" w:rsidRPr="004F0D61" w:rsidRDefault="00991EC7" w:rsidP="00A251DD">
            <w:pPr>
              <w:jc w:val="center"/>
              <w:rPr>
                <w:color w:val="000000"/>
                <w:sz w:val="16"/>
                <w:szCs w:val="16"/>
                <w:lang w:val="en-US"/>
              </w:rPr>
            </w:pPr>
          </w:p>
        </w:tc>
        <w:tc>
          <w:tcPr>
            <w:tcW w:w="1230" w:type="dxa"/>
            <w:vMerge/>
            <w:tcBorders>
              <w:left w:val="nil"/>
              <w:bottom w:val="single" w:sz="12" w:space="0" w:color="auto"/>
              <w:right w:val="nil"/>
            </w:tcBorders>
            <w:shd w:val="clear" w:color="auto" w:fill="auto"/>
          </w:tcPr>
          <w:p w14:paraId="2EF7689F" w14:textId="77777777" w:rsidR="00991EC7" w:rsidRPr="004F0D61" w:rsidRDefault="00991EC7" w:rsidP="00A251DD">
            <w:pPr>
              <w:jc w:val="center"/>
              <w:rPr>
                <w:color w:val="000000"/>
                <w:sz w:val="16"/>
                <w:szCs w:val="16"/>
                <w:lang w:val="en-US"/>
              </w:rPr>
            </w:pPr>
          </w:p>
        </w:tc>
      </w:tr>
      <w:tr w:rsidR="00991EC7" w:rsidRPr="004F0D61" w14:paraId="6C0C5505" w14:textId="77777777" w:rsidTr="00315A2A">
        <w:trPr>
          <w:cantSplit/>
          <w:trHeight w:val="378"/>
        </w:trPr>
        <w:tc>
          <w:tcPr>
            <w:tcW w:w="568" w:type="dxa"/>
            <w:tcBorders>
              <w:left w:val="nil"/>
              <w:bottom w:val="single" w:sz="4" w:space="0" w:color="auto"/>
              <w:right w:val="nil"/>
            </w:tcBorders>
            <w:shd w:val="clear" w:color="auto" w:fill="auto"/>
          </w:tcPr>
          <w:p w14:paraId="6EE8B3B8" w14:textId="606D103F" w:rsidR="006C31C3" w:rsidRPr="004F0D61" w:rsidRDefault="006C31C3" w:rsidP="00270D6E">
            <w:pPr>
              <w:snapToGrid w:val="0"/>
              <w:ind w:right="-107"/>
              <w:rPr>
                <w:rFonts w:cs="Arial"/>
                <w:sz w:val="16"/>
                <w:szCs w:val="16"/>
              </w:rPr>
            </w:pPr>
            <w:r w:rsidRPr="004F0D61">
              <w:rPr>
                <w:rFonts w:cs="Arial"/>
                <w:sz w:val="16"/>
                <w:szCs w:val="16"/>
                <w:lang w:val="uk-UA"/>
              </w:rPr>
              <w:t>r</w:t>
            </w:r>
            <w:r w:rsidRPr="004F0D61">
              <w:rPr>
                <w:rFonts w:cs="Arial"/>
                <w:sz w:val="16"/>
                <w:szCs w:val="16"/>
                <w:lang w:val="en-US"/>
              </w:rPr>
              <w:t>w</w:t>
            </w:r>
            <w:r w:rsidRPr="004F0D61">
              <w:rPr>
                <w:rFonts w:cs="Arial"/>
                <w:sz w:val="16"/>
                <w:szCs w:val="16"/>
              </w:rPr>
              <w:t>a03</w:t>
            </w:r>
          </w:p>
        </w:tc>
        <w:tc>
          <w:tcPr>
            <w:tcW w:w="2183" w:type="dxa"/>
            <w:tcBorders>
              <w:left w:val="nil"/>
              <w:bottom w:val="single" w:sz="4" w:space="0" w:color="auto"/>
              <w:right w:val="nil"/>
            </w:tcBorders>
          </w:tcPr>
          <w:p w14:paraId="57AC9648" w14:textId="642E95CB" w:rsidR="006C31C3" w:rsidRPr="004F0D61" w:rsidRDefault="006C31C3" w:rsidP="00270D6E">
            <w:pPr>
              <w:ind w:left="-112"/>
              <w:rPr>
                <w:sz w:val="16"/>
                <w:szCs w:val="16"/>
                <w:lang w:val="uk-UA"/>
              </w:rPr>
            </w:pPr>
            <w:r w:rsidRPr="004F0D61">
              <w:rPr>
                <w:sz w:val="16"/>
                <w:szCs w:val="16"/>
                <w:lang w:val="en-US"/>
              </w:rPr>
              <w:t>Our country desperately needs a mighty leader who will do what has to be done to destroy the radical new ways and sinfulness that are ruining us</w:t>
            </w:r>
          </w:p>
        </w:tc>
        <w:tc>
          <w:tcPr>
            <w:tcW w:w="583" w:type="dxa"/>
            <w:tcBorders>
              <w:left w:val="nil"/>
              <w:bottom w:val="single" w:sz="4" w:space="0" w:color="auto"/>
              <w:right w:val="nil"/>
            </w:tcBorders>
            <w:shd w:val="clear" w:color="auto" w:fill="FBE4D5" w:themeFill="accent2" w:themeFillTint="33"/>
          </w:tcPr>
          <w:p w14:paraId="2DFE31E8" w14:textId="73B51B68" w:rsidR="006C31C3" w:rsidRPr="004F0D61" w:rsidRDefault="006C31C3" w:rsidP="006C31C3">
            <w:pPr>
              <w:jc w:val="center"/>
              <w:rPr>
                <w:sz w:val="16"/>
                <w:szCs w:val="16"/>
                <w:lang w:val="uk-UA"/>
              </w:rPr>
            </w:pPr>
            <w:r w:rsidRPr="004F0D61">
              <w:rPr>
                <w:sz w:val="16"/>
                <w:szCs w:val="16"/>
              </w:rPr>
              <w:t>0.54</w:t>
            </w:r>
          </w:p>
        </w:tc>
        <w:tc>
          <w:tcPr>
            <w:tcW w:w="583" w:type="dxa"/>
            <w:tcBorders>
              <w:left w:val="nil"/>
              <w:bottom w:val="single" w:sz="4" w:space="0" w:color="auto"/>
              <w:right w:val="nil"/>
            </w:tcBorders>
          </w:tcPr>
          <w:p w14:paraId="79136D8B" w14:textId="417711AE" w:rsidR="006C31C3" w:rsidRPr="004F0D61" w:rsidRDefault="006C31C3" w:rsidP="006C31C3">
            <w:pPr>
              <w:jc w:val="center"/>
              <w:rPr>
                <w:sz w:val="16"/>
                <w:szCs w:val="16"/>
              </w:rPr>
            </w:pPr>
            <w:r w:rsidRPr="004F0D61">
              <w:rPr>
                <w:sz w:val="16"/>
                <w:szCs w:val="16"/>
              </w:rPr>
              <w:t>0.55</w:t>
            </w:r>
          </w:p>
        </w:tc>
        <w:tc>
          <w:tcPr>
            <w:tcW w:w="582" w:type="dxa"/>
            <w:tcBorders>
              <w:left w:val="nil"/>
              <w:bottom w:val="single" w:sz="4" w:space="0" w:color="auto"/>
              <w:right w:val="nil"/>
            </w:tcBorders>
            <w:shd w:val="clear" w:color="auto" w:fill="E2EFD9" w:themeFill="accent6" w:themeFillTint="33"/>
          </w:tcPr>
          <w:p w14:paraId="328783F9" w14:textId="11B4951B" w:rsidR="006C31C3" w:rsidRPr="004F0D61" w:rsidRDefault="006C31C3" w:rsidP="006C31C3">
            <w:pPr>
              <w:jc w:val="center"/>
              <w:rPr>
                <w:sz w:val="16"/>
                <w:szCs w:val="16"/>
              </w:rPr>
            </w:pPr>
            <w:r w:rsidRPr="004F0D61">
              <w:rPr>
                <w:sz w:val="16"/>
                <w:szCs w:val="16"/>
              </w:rPr>
              <w:t>0.44</w:t>
            </w:r>
          </w:p>
        </w:tc>
        <w:tc>
          <w:tcPr>
            <w:tcW w:w="583" w:type="dxa"/>
            <w:tcBorders>
              <w:left w:val="nil"/>
              <w:bottom w:val="single" w:sz="4" w:space="0" w:color="auto"/>
              <w:right w:val="nil"/>
            </w:tcBorders>
            <w:shd w:val="clear" w:color="auto" w:fill="FFF2CC" w:themeFill="accent4" w:themeFillTint="33"/>
          </w:tcPr>
          <w:p w14:paraId="63C7D8D9" w14:textId="7BAB7536" w:rsidR="006C31C3" w:rsidRPr="004F0D61" w:rsidRDefault="006C31C3" w:rsidP="006C31C3">
            <w:pPr>
              <w:jc w:val="center"/>
              <w:rPr>
                <w:sz w:val="16"/>
                <w:szCs w:val="16"/>
              </w:rPr>
            </w:pPr>
            <w:r w:rsidRPr="004F0D61">
              <w:rPr>
                <w:sz w:val="16"/>
                <w:szCs w:val="16"/>
              </w:rPr>
              <w:t>0.47</w:t>
            </w:r>
          </w:p>
        </w:tc>
        <w:tc>
          <w:tcPr>
            <w:tcW w:w="895" w:type="dxa"/>
            <w:tcBorders>
              <w:left w:val="nil"/>
              <w:bottom w:val="single" w:sz="4" w:space="0" w:color="auto"/>
              <w:right w:val="single" w:sz="12" w:space="0" w:color="auto"/>
            </w:tcBorders>
            <w:shd w:val="clear" w:color="auto" w:fill="D9E2F3" w:themeFill="accent1" w:themeFillTint="33"/>
          </w:tcPr>
          <w:p w14:paraId="459E9867" w14:textId="13B4A06B" w:rsidR="006C31C3" w:rsidRPr="004F0D61" w:rsidRDefault="006C31C3" w:rsidP="006C31C3">
            <w:pPr>
              <w:jc w:val="center"/>
              <w:rPr>
                <w:sz w:val="16"/>
                <w:szCs w:val="16"/>
                <w:lang w:val="uk-UA"/>
              </w:rPr>
            </w:pPr>
            <w:r w:rsidRPr="004F0D61">
              <w:rPr>
                <w:sz w:val="16"/>
                <w:szCs w:val="16"/>
              </w:rPr>
              <w:t>0.53</w:t>
            </w:r>
            <w:r w:rsidRPr="004F0D61">
              <w:rPr>
                <w:sz w:val="16"/>
                <w:szCs w:val="16"/>
                <w:vertAlign w:val="superscript"/>
              </w:rPr>
              <w:t>***</w:t>
            </w:r>
          </w:p>
        </w:tc>
        <w:tc>
          <w:tcPr>
            <w:tcW w:w="584" w:type="dxa"/>
            <w:tcBorders>
              <w:left w:val="single" w:sz="12" w:space="0" w:color="auto"/>
              <w:bottom w:val="single" w:sz="4" w:space="0" w:color="auto"/>
              <w:right w:val="nil"/>
            </w:tcBorders>
            <w:shd w:val="clear" w:color="auto" w:fill="FBE4D5" w:themeFill="accent2" w:themeFillTint="33"/>
          </w:tcPr>
          <w:p w14:paraId="21057D78" w14:textId="54732DED" w:rsidR="006C31C3" w:rsidRPr="004F0D61" w:rsidRDefault="006C31C3" w:rsidP="006C31C3">
            <w:pPr>
              <w:jc w:val="center"/>
              <w:rPr>
                <w:sz w:val="16"/>
                <w:szCs w:val="16"/>
                <w:lang w:val="uk-UA"/>
              </w:rPr>
            </w:pPr>
            <w:r w:rsidRPr="004F0D61">
              <w:rPr>
                <w:sz w:val="16"/>
                <w:szCs w:val="16"/>
              </w:rPr>
              <w:t>0.58</w:t>
            </w:r>
          </w:p>
        </w:tc>
        <w:tc>
          <w:tcPr>
            <w:tcW w:w="584" w:type="dxa"/>
            <w:tcBorders>
              <w:left w:val="nil"/>
              <w:bottom w:val="single" w:sz="4" w:space="0" w:color="auto"/>
              <w:right w:val="nil"/>
            </w:tcBorders>
          </w:tcPr>
          <w:p w14:paraId="23671543" w14:textId="5453182F" w:rsidR="006C31C3" w:rsidRPr="004F0D61" w:rsidRDefault="006C31C3" w:rsidP="006C31C3">
            <w:pPr>
              <w:jc w:val="center"/>
              <w:rPr>
                <w:sz w:val="16"/>
                <w:szCs w:val="16"/>
              </w:rPr>
            </w:pPr>
            <w:r w:rsidRPr="004F0D61">
              <w:rPr>
                <w:sz w:val="16"/>
                <w:szCs w:val="16"/>
              </w:rPr>
              <w:t>0.58</w:t>
            </w:r>
          </w:p>
        </w:tc>
        <w:tc>
          <w:tcPr>
            <w:tcW w:w="584" w:type="dxa"/>
            <w:tcBorders>
              <w:left w:val="nil"/>
              <w:bottom w:val="single" w:sz="4" w:space="0" w:color="auto"/>
              <w:right w:val="nil"/>
            </w:tcBorders>
            <w:shd w:val="clear" w:color="auto" w:fill="E2EFD9" w:themeFill="accent6" w:themeFillTint="33"/>
          </w:tcPr>
          <w:p w14:paraId="2584F3D6" w14:textId="25399786" w:rsidR="006C31C3" w:rsidRPr="004F0D61" w:rsidRDefault="006C31C3" w:rsidP="006C31C3">
            <w:pPr>
              <w:jc w:val="center"/>
              <w:rPr>
                <w:sz w:val="16"/>
                <w:szCs w:val="16"/>
              </w:rPr>
            </w:pPr>
            <w:r w:rsidRPr="004F0D61">
              <w:rPr>
                <w:sz w:val="16"/>
                <w:szCs w:val="16"/>
              </w:rPr>
              <w:t>0.47</w:t>
            </w:r>
          </w:p>
        </w:tc>
        <w:tc>
          <w:tcPr>
            <w:tcW w:w="584" w:type="dxa"/>
            <w:tcBorders>
              <w:left w:val="nil"/>
              <w:bottom w:val="single" w:sz="4" w:space="0" w:color="auto"/>
              <w:right w:val="nil"/>
            </w:tcBorders>
            <w:shd w:val="clear" w:color="auto" w:fill="FFF2CC" w:themeFill="accent4" w:themeFillTint="33"/>
          </w:tcPr>
          <w:p w14:paraId="651F305F" w14:textId="2766F611" w:rsidR="006C31C3" w:rsidRPr="004F0D61" w:rsidRDefault="006C31C3" w:rsidP="006C31C3">
            <w:pPr>
              <w:jc w:val="center"/>
              <w:rPr>
                <w:sz w:val="16"/>
                <w:szCs w:val="16"/>
              </w:rPr>
            </w:pPr>
            <w:r w:rsidRPr="004F0D61">
              <w:rPr>
                <w:sz w:val="16"/>
                <w:szCs w:val="16"/>
              </w:rPr>
              <w:t>0.47</w:t>
            </w:r>
          </w:p>
        </w:tc>
        <w:tc>
          <w:tcPr>
            <w:tcW w:w="878" w:type="dxa"/>
            <w:tcBorders>
              <w:left w:val="nil"/>
              <w:bottom w:val="single" w:sz="4" w:space="0" w:color="auto"/>
              <w:right w:val="nil"/>
            </w:tcBorders>
            <w:shd w:val="clear" w:color="auto" w:fill="D9E2F3" w:themeFill="accent1" w:themeFillTint="33"/>
          </w:tcPr>
          <w:p w14:paraId="7A67886F" w14:textId="42384D63" w:rsidR="006C31C3" w:rsidRPr="004F0D61" w:rsidRDefault="006C31C3" w:rsidP="006C31C3">
            <w:pPr>
              <w:jc w:val="center"/>
              <w:rPr>
                <w:sz w:val="16"/>
                <w:szCs w:val="16"/>
                <w:lang w:val="uk-UA"/>
              </w:rPr>
            </w:pPr>
            <w:r w:rsidRPr="004F0D61">
              <w:rPr>
                <w:sz w:val="16"/>
                <w:szCs w:val="16"/>
              </w:rPr>
              <w:t>0.30</w:t>
            </w:r>
            <w:r w:rsidRPr="004F0D61">
              <w:rPr>
                <w:sz w:val="16"/>
                <w:szCs w:val="16"/>
                <w:vertAlign w:val="superscript"/>
              </w:rPr>
              <w:t>**</w:t>
            </w:r>
          </w:p>
        </w:tc>
        <w:tc>
          <w:tcPr>
            <w:tcW w:w="1230" w:type="dxa"/>
            <w:tcBorders>
              <w:left w:val="nil"/>
              <w:bottom w:val="single" w:sz="4" w:space="0" w:color="auto"/>
              <w:right w:val="nil"/>
            </w:tcBorders>
            <w:shd w:val="clear" w:color="auto" w:fill="auto"/>
          </w:tcPr>
          <w:p w14:paraId="70439732" w14:textId="479F872C" w:rsidR="006C31C3" w:rsidRPr="004F0D61" w:rsidRDefault="00866AC4" w:rsidP="006C31C3">
            <w:pPr>
              <w:rPr>
                <w:sz w:val="16"/>
                <w:szCs w:val="16"/>
                <w:lang w:val="en-US"/>
              </w:rPr>
            </w:pPr>
            <w:r w:rsidRPr="004F0D61">
              <w:rPr>
                <w:sz w:val="16"/>
                <w:szCs w:val="16"/>
                <w:lang w:val="en-US"/>
              </w:rPr>
              <w:t>Altemeyer-10</w:t>
            </w:r>
            <w:r w:rsidR="005D2336" w:rsidRPr="004F0D61">
              <w:rPr>
                <w:sz w:val="16"/>
                <w:szCs w:val="16"/>
                <w:lang w:val="en-US"/>
              </w:rPr>
              <w:t>, Zakrisson-15</w:t>
            </w:r>
          </w:p>
        </w:tc>
      </w:tr>
      <w:tr w:rsidR="00991EC7" w:rsidRPr="004F0D61" w14:paraId="03CDB3BF" w14:textId="77777777" w:rsidTr="00315A2A">
        <w:trPr>
          <w:cantSplit/>
          <w:trHeight w:val="378"/>
        </w:trPr>
        <w:tc>
          <w:tcPr>
            <w:tcW w:w="568" w:type="dxa"/>
            <w:tcBorders>
              <w:left w:val="nil"/>
              <w:bottom w:val="single" w:sz="4" w:space="0" w:color="auto"/>
              <w:right w:val="nil"/>
            </w:tcBorders>
            <w:shd w:val="clear" w:color="auto" w:fill="auto"/>
          </w:tcPr>
          <w:p w14:paraId="6A400521" w14:textId="305354E8" w:rsidR="006C31C3" w:rsidRPr="004F0D61" w:rsidRDefault="006C31C3" w:rsidP="00270D6E">
            <w:pPr>
              <w:snapToGrid w:val="0"/>
              <w:ind w:right="-107"/>
              <w:rPr>
                <w:rFonts w:cs="Arial"/>
                <w:sz w:val="16"/>
                <w:szCs w:val="16"/>
              </w:rPr>
            </w:pPr>
            <w:r w:rsidRPr="004F0D61">
              <w:rPr>
                <w:rFonts w:cs="Arial"/>
                <w:sz w:val="16"/>
                <w:szCs w:val="16"/>
                <w:lang w:val="uk-UA"/>
              </w:rPr>
              <w:t>r</w:t>
            </w:r>
            <w:r w:rsidRPr="004F0D61">
              <w:rPr>
                <w:rFonts w:cs="Arial"/>
                <w:sz w:val="16"/>
                <w:szCs w:val="16"/>
                <w:lang w:val="en-US"/>
              </w:rPr>
              <w:t>w</w:t>
            </w:r>
            <w:r w:rsidRPr="004F0D61">
              <w:rPr>
                <w:rFonts w:cs="Arial"/>
                <w:sz w:val="16"/>
                <w:szCs w:val="16"/>
              </w:rPr>
              <w:t>a05</w:t>
            </w:r>
          </w:p>
        </w:tc>
        <w:tc>
          <w:tcPr>
            <w:tcW w:w="2183" w:type="dxa"/>
            <w:tcBorders>
              <w:left w:val="nil"/>
              <w:bottom w:val="single" w:sz="4" w:space="0" w:color="auto"/>
              <w:right w:val="nil"/>
            </w:tcBorders>
          </w:tcPr>
          <w:p w14:paraId="5B6BAF6C" w14:textId="60185750" w:rsidR="006C31C3" w:rsidRPr="004F0D61" w:rsidRDefault="006C31C3" w:rsidP="00270D6E">
            <w:pPr>
              <w:ind w:left="-112"/>
              <w:rPr>
                <w:sz w:val="16"/>
                <w:szCs w:val="16"/>
                <w:lang w:val="en-US"/>
              </w:rPr>
            </w:pPr>
            <w:r w:rsidRPr="004F0D61">
              <w:rPr>
                <w:sz w:val="16"/>
                <w:szCs w:val="16"/>
                <w:lang w:val="en-US"/>
              </w:rPr>
              <w:t>It is always better to trust the judgment of the proper authorities in government and religion than to listen to the noisy rabble-rousers in our society who are trying to create doubt in people’s minds</w:t>
            </w:r>
          </w:p>
        </w:tc>
        <w:tc>
          <w:tcPr>
            <w:tcW w:w="583" w:type="dxa"/>
            <w:tcBorders>
              <w:left w:val="nil"/>
              <w:bottom w:val="single" w:sz="4" w:space="0" w:color="auto"/>
              <w:right w:val="nil"/>
            </w:tcBorders>
            <w:shd w:val="clear" w:color="auto" w:fill="FBE4D5" w:themeFill="accent2" w:themeFillTint="33"/>
          </w:tcPr>
          <w:p w14:paraId="197FD8EC" w14:textId="62F12A9A" w:rsidR="006C31C3" w:rsidRPr="004F0D61" w:rsidRDefault="006C31C3" w:rsidP="006C31C3">
            <w:pPr>
              <w:jc w:val="center"/>
              <w:rPr>
                <w:sz w:val="16"/>
                <w:szCs w:val="16"/>
                <w:lang w:val="uk-UA"/>
              </w:rPr>
            </w:pPr>
            <w:r w:rsidRPr="004F0D61">
              <w:rPr>
                <w:sz w:val="16"/>
                <w:szCs w:val="16"/>
              </w:rPr>
              <w:t>0.44</w:t>
            </w:r>
          </w:p>
        </w:tc>
        <w:tc>
          <w:tcPr>
            <w:tcW w:w="583" w:type="dxa"/>
            <w:tcBorders>
              <w:left w:val="nil"/>
              <w:bottom w:val="single" w:sz="4" w:space="0" w:color="auto"/>
              <w:right w:val="nil"/>
            </w:tcBorders>
          </w:tcPr>
          <w:p w14:paraId="4B25BFB1" w14:textId="3AE907BA" w:rsidR="006C31C3" w:rsidRPr="004F0D61" w:rsidRDefault="006C31C3" w:rsidP="006C31C3">
            <w:pPr>
              <w:jc w:val="center"/>
              <w:rPr>
                <w:sz w:val="16"/>
                <w:szCs w:val="16"/>
              </w:rPr>
            </w:pPr>
            <w:r w:rsidRPr="004F0D61">
              <w:rPr>
                <w:sz w:val="16"/>
                <w:szCs w:val="16"/>
              </w:rPr>
              <w:t>0.54</w:t>
            </w:r>
          </w:p>
        </w:tc>
        <w:tc>
          <w:tcPr>
            <w:tcW w:w="582" w:type="dxa"/>
            <w:tcBorders>
              <w:left w:val="nil"/>
              <w:bottom w:val="single" w:sz="4" w:space="0" w:color="auto"/>
              <w:right w:val="nil"/>
            </w:tcBorders>
            <w:shd w:val="clear" w:color="auto" w:fill="E2EFD9" w:themeFill="accent6" w:themeFillTint="33"/>
          </w:tcPr>
          <w:p w14:paraId="6F753F3A" w14:textId="4FE1073C" w:rsidR="006C31C3" w:rsidRPr="004F0D61" w:rsidRDefault="006C31C3" w:rsidP="006C31C3">
            <w:pPr>
              <w:jc w:val="center"/>
              <w:rPr>
                <w:sz w:val="16"/>
                <w:szCs w:val="16"/>
              </w:rPr>
            </w:pPr>
            <w:r w:rsidRPr="004F0D61">
              <w:rPr>
                <w:sz w:val="16"/>
                <w:szCs w:val="16"/>
              </w:rPr>
              <w:t>0.35</w:t>
            </w:r>
          </w:p>
        </w:tc>
        <w:tc>
          <w:tcPr>
            <w:tcW w:w="583" w:type="dxa"/>
            <w:tcBorders>
              <w:left w:val="nil"/>
              <w:bottom w:val="single" w:sz="4" w:space="0" w:color="auto"/>
              <w:right w:val="nil"/>
            </w:tcBorders>
            <w:shd w:val="clear" w:color="auto" w:fill="FFF2CC" w:themeFill="accent4" w:themeFillTint="33"/>
          </w:tcPr>
          <w:p w14:paraId="213BE968" w14:textId="0C456D37" w:rsidR="006C31C3" w:rsidRPr="004F0D61" w:rsidRDefault="006C31C3" w:rsidP="006C31C3">
            <w:pPr>
              <w:jc w:val="center"/>
              <w:rPr>
                <w:sz w:val="16"/>
                <w:szCs w:val="16"/>
              </w:rPr>
            </w:pPr>
            <w:r w:rsidRPr="004F0D61">
              <w:rPr>
                <w:sz w:val="16"/>
                <w:szCs w:val="16"/>
              </w:rPr>
              <w:t>0.46</w:t>
            </w:r>
          </w:p>
        </w:tc>
        <w:tc>
          <w:tcPr>
            <w:tcW w:w="895" w:type="dxa"/>
            <w:tcBorders>
              <w:left w:val="nil"/>
              <w:bottom w:val="single" w:sz="4" w:space="0" w:color="auto"/>
              <w:right w:val="single" w:sz="12" w:space="0" w:color="auto"/>
            </w:tcBorders>
            <w:shd w:val="clear" w:color="auto" w:fill="D9E2F3" w:themeFill="accent1" w:themeFillTint="33"/>
          </w:tcPr>
          <w:p w14:paraId="5BB5E564" w14:textId="10AF68F3" w:rsidR="006C31C3" w:rsidRPr="004F0D61" w:rsidRDefault="006C31C3" w:rsidP="006C31C3">
            <w:pPr>
              <w:jc w:val="center"/>
              <w:rPr>
                <w:sz w:val="16"/>
                <w:szCs w:val="16"/>
                <w:lang w:val="uk-UA"/>
              </w:rPr>
            </w:pPr>
            <w:r w:rsidRPr="004F0D61">
              <w:rPr>
                <w:sz w:val="16"/>
                <w:szCs w:val="16"/>
              </w:rPr>
              <w:t>0.54</w:t>
            </w:r>
            <w:r w:rsidRPr="004F0D61">
              <w:rPr>
                <w:sz w:val="16"/>
                <w:szCs w:val="16"/>
                <w:vertAlign w:val="superscript"/>
              </w:rPr>
              <w:t>***</w:t>
            </w:r>
          </w:p>
        </w:tc>
        <w:tc>
          <w:tcPr>
            <w:tcW w:w="584" w:type="dxa"/>
            <w:tcBorders>
              <w:left w:val="single" w:sz="12" w:space="0" w:color="auto"/>
              <w:bottom w:val="single" w:sz="4" w:space="0" w:color="auto"/>
              <w:right w:val="nil"/>
            </w:tcBorders>
            <w:shd w:val="clear" w:color="auto" w:fill="FBE4D5" w:themeFill="accent2" w:themeFillTint="33"/>
          </w:tcPr>
          <w:p w14:paraId="3808524E" w14:textId="15E9C7D3" w:rsidR="006C31C3" w:rsidRPr="004F0D61" w:rsidRDefault="006C31C3" w:rsidP="006C31C3">
            <w:pPr>
              <w:jc w:val="center"/>
              <w:rPr>
                <w:sz w:val="16"/>
                <w:szCs w:val="16"/>
                <w:lang w:val="uk-UA"/>
              </w:rPr>
            </w:pPr>
            <w:r w:rsidRPr="004F0D61">
              <w:rPr>
                <w:sz w:val="16"/>
                <w:szCs w:val="16"/>
              </w:rPr>
              <w:t>0.42</w:t>
            </w:r>
          </w:p>
        </w:tc>
        <w:tc>
          <w:tcPr>
            <w:tcW w:w="584" w:type="dxa"/>
            <w:tcBorders>
              <w:left w:val="nil"/>
              <w:bottom w:val="single" w:sz="4" w:space="0" w:color="auto"/>
              <w:right w:val="nil"/>
            </w:tcBorders>
          </w:tcPr>
          <w:p w14:paraId="2D035A70" w14:textId="5C7C6010" w:rsidR="006C31C3" w:rsidRPr="004F0D61" w:rsidRDefault="006C31C3" w:rsidP="006C31C3">
            <w:pPr>
              <w:jc w:val="center"/>
              <w:rPr>
                <w:sz w:val="16"/>
                <w:szCs w:val="16"/>
              </w:rPr>
            </w:pPr>
            <w:r w:rsidRPr="004F0D61">
              <w:rPr>
                <w:sz w:val="16"/>
                <w:szCs w:val="16"/>
              </w:rPr>
              <w:t>0.52</w:t>
            </w:r>
          </w:p>
        </w:tc>
        <w:tc>
          <w:tcPr>
            <w:tcW w:w="584" w:type="dxa"/>
            <w:tcBorders>
              <w:left w:val="nil"/>
              <w:bottom w:val="single" w:sz="4" w:space="0" w:color="auto"/>
              <w:right w:val="nil"/>
            </w:tcBorders>
            <w:shd w:val="clear" w:color="auto" w:fill="E2EFD9" w:themeFill="accent6" w:themeFillTint="33"/>
          </w:tcPr>
          <w:p w14:paraId="46DB2333" w14:textId="3DCAEB45" w:rsidR="006C31C3" w:rsidRPr="004F0D61" w:rsidRDefault="006C31C3" w:rsidP="006C31C3">
            <w:pPr>
              <w:jc w:val="center"/>
              <w:rPr>
                <w:sz w:val="16"/>
                <w:szCs w:val="16"/>
              </w:rPr>
            </w:pPr>
            <w:r w:rsidRPr="004F0D61">
              <w:rPr>
                <w:sz w:val="16"/>
                <w:szCs w:val="16"/>
              </w:rPr>
              <w:t>0.29</w:t>
            </w:r>
          </w:p>
        </w:tc>
        <w:tc>
          <w:tcPr>
            <w:tcW w:w="584" w:type="dxa"/>
            <w:tcBorders>
              <w:left w:val="nil"/>
              <w:bottom w:val="single" w:sz="4" w:space="0" w:color="auto"/>
              <w:right w:val="nil"/>
            </w:tcBorders>
            <w:shd w:val="clear" w:color="auto" w:fill="FFF2CC" w:themeFill="accent4" w:themeFillTint="33"/>
          </w:tcPr>
          <w:p w14:paraId="63084C5A" w14:textId="31C3B2BA" w:rsidR="006C31C3" w:rsidRPr="004F0D61" w:rsidRDefault="006C31C3" w:rsidP="006C31C3">
            <w:pPr>
              <w:jc w:val="center"/>
              <w:rPr>
                <w:sz w:val="16"/>
                <w:szCs w:val="16"/>
              </w:rPr>
            </w:pPr>
            <w:r w:rsidRPr="004F0D61">
              <w:rPr>
                <w:sz w:val="16"/>
                <w:szCs w:val="16"/>
              </w:rPr>
              <w:t>0.42</w:t>
            </w:r>
          </w:p>
        </w:tc>
        <w:tc>
          <w:tcPr>
            <w:tcW w:w="878" w:type="dxa"/>
            <w:tcBorders>
              <w:left w:val="nil"/>
              <w:bottom w:val="single" w:sz="4" w:space="0" w:color="auto"/>
              <w:right w:val="nil"/>
            </w:tcBorders>
            <w:shd w:val="clear" w:color="auto" w:fill="D9E2F3" w:themeFill="accent1" w:themeFillTint="33"/>
          </w:tcPr>
          <w:p w14:paraId="04707991" w14:textId="12169A73" w:rsidR="006C31C3" w:rsidRPr="004F0D61" w:rsidRDefault="006C31C3" w:rsidP="006C31C3">
            <w:pPr>
              <w:jc w:val="center"/>
              <w:rPr>
                <w:sz w:val="16"/>
                <w:szCs w:val="16"/>
                <w:lang w:val="uk-UA"/>
              </w:rPr>
            </w:pPr>
            <w:r w:rsidRPr="004F0D61">
              <w:rPr>
                <w:sz w:val="16"/>
                <w:szCs w:val="16"/>
              </w:rPr>
              <w:t>0.47</w:t>
            </w:r>
            <w:r w:rsidRPr="004F0D61">
              <w:rPr>
                <w:sz w:val="16"/>
                <w:szCs w:val="16"/>
                <w:vertAlign w:val="superscript"/>
              </w:rPr>
              <w:t>***</w:t>
            </w:r>
          </w:p>
        </w:tc>
        <w:tc>
          <w:tcPr>
            <w:tcW w:w="1230" w:type="dxa"/>
            <w:tcBorders>
              <w:left w:val="nil"/>
              <w:bottom w:val="single" w:sz="4" w:space="0" w:color="auto"/>
              <w:right w:val="nil"/>
            </w:tcBorders>
            <w:shd w:val="clear" w:color="auto" w:fill="auto"/>
          </w:tcPr>
          <w:p w14:paraId="3511B807" w14:textId="21F5F1FF" w:rsidR="006C31C3" w:rsidRPr="004F0D61" w:rsidRDefault="006C31C3" w:rsidP="006C31C3">
            <w:pPr>
              <w:rPr>
                <w:sz w:val="16"/>
                <w:szCs w:val="16"/>
                <w:lang w:val="uk-UA"/>
              </w:rPr>
            </w:pPr>
          </w:p>
        </w:tc>
      </w:tr>
      <w:tr w:rsidR="00991EC7" w:rsidRPr="004F0D61" w14:paraId="56BCAC1B" w14:textId="77777777" w:rsidTr="00315A2A">
        <w:trPr>
          <w:cantSplit/>
          <w:trHeight w:val="378"/>
        </w:trPr>
        <w:tc>
          <w:tcPr>
            <w:tcW w:w="568" w:type="dxa"/>
            <w:tcBorders>
              <w:left w:val="nil"/>
              <w:right w:val="nil"/>
            </w:tcBorders>
            <w:shd w:val="clear" w:color="auto" w:fill="auto"/>
          </w:tcPr>
          <w:p w14:paraId="76880F73" w14:textId="3AB9F5E2" w:rsidR="000442A4" w:rsidRPr="004F0D61" w:rsidRDefault="000442A4" w:rsidP="00270D6E">
            <w:pPr>
              <w:snapToGrid w:val="0"/>
              <w:ind w:right="-107"/>
              <w:rPr>
                <w:rFonts w:cs="Arial"/>
                <w:sz w:val="16"/>
                <w:szCs w:val="16"/>
                <w:lang w:val="uk-UA"/>
              </w:rPr>
            </w:pPr>
            <w:proofErr w:type="spellStart"/>
            <w:r w:rsidRPr="004F0D61">
              <w:rPr>
                <w:rFonts w:cs="Arial"/>
                <w:sz w:val="16"/>
                <w:szCs w:val="16"/>
                <w:lang w:val="uk-UA"/>
              </w:rPr>
              <w:t>rwa</w:t>
            </w:r>
            <w:proofErr w:type="spellEnd"/>
            <w:r w:rsidRPr="004F0D61">
              <w:rPr>
                <w:rFonts w:cs="Arial"/>
                <w:sz w:val="16"/>
                <w:szCs w:val="16"/>
                <w:lang w:val="en-US"/>
              </w:rPr>
              <w:t>0</w:t>
            </w:r>
            <w:r w:rsidRPr="004F0D61">
              <w:rPr>
                <w:rFonts w:cs="Arial"/>
                <w:sz w:val="16"/>
                <w:szCs w:val="16"/>
                <w:lang w:val="uk-UA"/>
              </w:rPr>
              <w:t>7</w:t>
            </w:r>
          </w:p>
        </w:tc>
        <w:tc>
          <w:tcPr>
            <w:tcW w:w="2183" w:type="dxa"/>
            <w:tcBorders>
              <w:left w:val="nil"/>
              <w:right w:val="nil"/>
            </w:tcBorders>
          </w:tcPr>
          <w:p w14:paraId="6A7A198E" w14:textId="109C25C7" w:rsidR="000442A4" w:rsidRPr="004F0D61" w:rsidRDefault="000442A4" w:rsidP="00270D6E">
            <w:pPr>
              <w:ind w:left="-112"/>
              <w:rPr>
                <w:sz w:val="16"/>
                <w:szCs w:val="16"/>
                <w:lang w:val="uk-UA"/>
              </w:rPr>
            </w:pPr>
            <w:r w:rsidRPr="004F0D61">
              <w:rPr>
                <w:sz w:val="16"/>
                <w:szCs w:val="16"/>
                <w:lang w:val="en-US"/>
              </w:rPr>
              <w:t>The only way our country can get through the crisis ahead is to get back to our traditional values, put some tough leaders in power, and silence the troublemakers spreading bad ideas</w:t>
            </w:r>
          </w:p>
        </w:tc>
        <w:tc>
          <w:tcPr>
            <w:tcW w:w="583" w:type="dxa"/>
            <w:tcBorders>
              <w:left w:val="nil"/>
              <w:right w:val="nil"/>
            </w:tcBorders>
            <w:shd w:val="clear" w:color="auto" w:fill="FBE4D5" w:themeFill="accent2" w:themeFillTint="33"/>
          </w:tcPr>
          <w:p w14:paraId="05290306" w14:textId="63456431" w:rsidR="000442A4" w:rsidRPr="004F0D61" w:rsidRDefault="000442A4" w:rsidP="000442A4">
            <w:pPr>
              <w:jc w:val="center"/>
              <w:rPr>
                <w:sz w:val="16"/>
                <w:szCs w:val="16"/>
                <w:lang w:val="uk-UA"/>
              </w:rPr>
            </w:pPr>
            <w:r w:rsidRPr="004F0D61">
              <w:rPr>
                <w:sz w:val="16"/>
                <w:szCs w:val="16"/>
              </w:rPr>
              <w:t>0.66</w:t>
            </w:r>
          </w:p>
        </w:tc>
        <w:tc>
          <w:tcPr>
            <w:tcW w:w="583" w:type="dxa"/>
            <w:tcBorders>
              <w:left w:val="nil"/>
              <w:right w:val="nil"/>
            </w:tcBorders>
          </w:tcPr>
          <w:p w14:paraId="0D99CC01" w14:textId="04F2EAB0" w:rsidR="000442A4" w:rsidRPr="004F0D61" w:rsidRDefault="000442A4" w:rsidP="000442A4">
            <w:pPr>
              <w:jc w:val="center"/>
              <w:rPr>
                <w:sz w:val="16"/>
                <w:szCs w:val="16"/>
              </w:rPr>
            </w:pPr>
            <w:r w:rsidRPr="004F0D61">
              <w:rPr>
                <w:sz w:val="16"/>
                <w:szCs w:val="16"/>
              </w:rPr>
              <w:t>0.65</w:t>
            </w:r>
          </w:p>
        </w:tc>
        <w:tc>
          <w:tcPr>
            <w:tcW w:w="582" w:type="dxa"/>
            <w:tcBorders>
              <w:left w:val="nil"/>
              <w:right w:val="nil"/>
            </w:tcBorders>
            <w:shd w:val="clear" w:color="auto" w:fill="E2EFD9" w:themeFill="accent6" w:themeFillTint="33"/>
          </w:tcPr>
          <w:p w14:paraId="22B78C36" w14:textId="43DD6D1E" w:rsidR="000442A4" w:rsidRPr="004F0D61" w:rsidRDefault="000442A4" w:rsidP="000442A4">
            <w:pPr>
              <w:jc w:val="center"/>
              <w:rPr>
                <w:sz w:val="16"/>
                <w:szCs w:val="16"/>
              </w:rPr>
            </w:pPr>
            <w:r w:rsidRPr="004F0D61">
              <w:rPr>
                <w:sz w:val="16"/>
                <w:szCs w:val="16"/>
              </w:rPr>
              <w:t>0.58</w:t>
            </w:r>
          </w:p>
        </w:tc>
        <w:tc>
          <w:tcPr>
            <w:tcW w:w="583" w:type="dxa"/>
            <w:tcBorders>
              <w:left w:val="nil"/>
              <w:right w:val="nil"/>
            </w:tcBorders>
            <w:shd w:val="clear" w:color="auto" w:fill="FFF2CC" w:themeFill="accent4" w:themeFillTint="33"/>
          </w:tcPr>
          <w:p w14:paraId="77E48586" w14:textId="4669E5EE" w:rsidR="000442A4" w:rsidRPr="004F0D61" w:rsidRDefault="000442A4" w:rsidP="000442A4">
            <w:pPr>
              <w:jc w:val="center"/>
              <w:rPr>
                <w:sz w:val="16"/>
                <w:szCs w:val="16"/>
              </w:rPr>
            </w:pPr>
            <w:r w:rsidRPr="004F0D61">
              <w:rPr>
                <w:sz w:val="16"/>
                <w:szCs w:val="16"/>
              </w:rPr>
              <w:t>0.58</w:t>
            </w:r>
          </w:p>
        </w:tc>
        <w:tc>
          <w:tcPr>
            <w:tcW w:w="895" w:type="dxa"/>
            <w:tcBorders>
              <w:left w:val="nil"/>
              <w:right w:val="single" w:sz="12" w:space="0" w:color="auto"/>
            </w:tcBorders>
            <w:shd w:val="clear" w:color="auto" w:fill="D9E2F3" w:themeFill="accent1" w:themeFillTint="33"/>
          </w:tcPr>
          <w:p w14:paraId="6B68B849" w14:textId="015547C9" w:rsidR="000442A4" w:rsidRPr="004F0D61" w:rsidRDefault="000442A4" w:rsidP="000442A4">
            <w:pPr>
              <w:jc w:val="center"/>
              <w:rPr>
                <w:sz w:val="16"/>
                <w:szCs w:val="16"/>
                <w:lang w:val="uk-UA"/>
              </w:rPr>
            </w:pPr>
            <w:r w:rsidRPr="004F0D61">
              <w:rPr>
                <w:sz w:val="16"/>
                <w:szCs w:val="16"/>
              </w:rPr>
              <w:t>0.33</w:t>
            </w:r>
            <w:r w:rsidRPr="004F0D61">
              <w:rPr>
                <w:sz w:val="16"/>
                <w:szCs w:val="16"/>
                <w:vertAlign w:val="superscript"/>
              </w:rPr>
              <w:t>***</w:t>
            </w:r>
          </w:p>
        </w:tc>
        <w:tc>
          <w:tcPr>
            <w:tcW w:w="584" w:type="dxa"/>
            <w:tcBorders>
              <w:left w:val="single" w:sz="12" w:space="0" w:color="auto"/>
              <w:right w:val="nil"/>
            </w:tcBorders>
            <w:shd w:val="clear" w:color="auto" w:fill="FBE4D5" w:themeFill="accent2" w:themeFillTint="33"/>
          </w:tcPr>
          <w:p w14:paraId="6006093C" w14:textId="55007EF3" w:rsidR="000442A4" w:rsidRPr="004F0D61" w:rsidRDefault="000442A4" w:rsidP="000442A4">
            <w:pPr>
              <w:jc w:val="center"/>
              <w:rPr>
                <w:sz w:val="16"/>
                <w:szCs w:val="16"/>
                <w:lang w:val="uk-UA"/>
              </w:rPr>
            </w:pPr>
            <w:r w:rsidRPr="004F0D61">
              <w:rPr>
                <w:sz w:val="16"/>
                <w:szCs w:val="16"/>
              </w:rPr>
              <w:t>0.65</w:t>
            </w:r>
          </w:p>
        </w:tc>
        <w:tc>
          <w:tcPr>
            <w:tcW w:w="584" w:type="dxa"/>
            <w:tcBorders>
              <w:left w:val="nil"/>
              <w:right w:val="nil"/>
            </w:tcBorders>
          </w:tcPr>
          <w:p w14:paraId="52786485" w14:textId="48738315" w:rsidR="000442A4" w:rsidRPr="004F0D61" w:rsidRDefault="000442A4" w:rsidP="000442A4">
            <w:pPr>
              <w:jc w:val="center"/>
              <w:rPr>
                <w:sz w:val="16"/>
                <w:szCs w:val="16"/>
              </w:rPr>
            </w:pPr>
            <w:r w:rsidRPr="004F0D61">
              <w:rPr>
                <w:sz w:val="16"/>
                <w:szCs w:val="16"/>
              </w:rPr>
              <w:t>0.66</w:t>
            </w:r>
          </w:p>
        </w:tc>
        <w:tc>
          <w:tcPr>
            <w:tcW w:w="584" w:type="dxa"/>
            <w:tcBorders>
              <w:left w:val="nil"/>
              <w:right w:val="nil"/>
            </w:tcBorders>
            <w:shd w:val="clear" w:color="auto" w:fill="E2EFD9" w:themeFill="accent6" w:themeFillTint="33"/>
          </w:tcPr>
          <w:p w14:paraId="12E2A989" w14:textId="0B51572F" w:rsidR="000442A4" w:rsidRPr="004F0D61" w:rsidRDefault="000442A4" w:rsidP="000442A4">
            <w:pPr>
              <w:jc w:val="center"/>
              <w:rPr>
                <w:sz w:val="16"/>
                <w:szCs w:val="16"/>
              </w:rPr>
            </w:pPr>
            <w:r w:rsidRPr="004F0D61">
              <w:rPr>
                <w:sz w:val="16"/>
                <w:szCs w:val="16"/>
              </w:rPr>
              <w:t>0.55</w:t>
            </w:r>
          </w:p>
        </w:tc>
        <w:tc>
          <w:tcPr>
            <w:tcW w:w="584" w:type="dxa"/>
            <w:tcBorders>
              <w:left w:val="nil"/>
              <w:right w:val="nil"/>
            </w:tcBorders>
            <w:shd w:val="clear" w:color="auto" w:fill="FFF2CC" w:themeFill="accent4" w:themeFillTint="33"/>
          </w:tcPr>
          <w:p w14:paraId="46034611" w14:textId="5E912EC6" w:rsidR="000442A4" w:rsidRPr="004F0D61" w:rsidRDefault="000442A4" w:rsidP="000442A4">
            <w:pPr>
              <w:jc w:val="center"/>
              <w:rPr>
                <w:sz w:val="16"/>
                <w:szCs w:val="16"/>
              </w:rPr>
            </w:pPr>
            <w:r w:rsidRPr="004F0D61">
              <w:rPr>
                <w:sz w:val="16"/>
                <w:szCs w:val="16"/>
              </w:rPr>
              <w:t>0.58</w:t>
            </w:r>
          </w:p>
        </w:tc>
        <w:tc>
          <w:tcPr>
            <w:tcW w:w="878" w:type="dxa"/>
            <w:tcBorders>
              <w:left w:val="nil"/>
              <w:right w:val="nil"/>
            </w:tcBorders>
            <w:shd w:val="clear" w:color="auto" w:fill="D9E2F3" w:themeFill="accent1" w:themeFillTint="33"/>
          </w:tcPr>
          <w:p w14:paraId="62636AB2" w14:textId="102E981F" w:rsidR="000442A4" w:rsidRPr="004F0D61" w:rsidRDefault="000442A4" w:rsidP="000442A4">
            <w:pPr>
              <w:jc w:val="center"/>
              <w:rPr>
                <w:sz w:val="16"/>
                <w:szCs w:val="16"/>
                <w:lang w:val="uk-UA"/>
              </w:rPr>
            </w:pPr>
            <w:r w:rsidRPr="004F0D61">
              <w:rPr>
                <w:sz w:val="16"/>
                <w:szCs w:val="16"/>
              </w:rPr>
              <w:t>0.40</w:t>
            </w:r>
            <w:r w:rsidRPr="004F0D61">
              <w:rPr>
                <w:sz w:val="16"/>
                <w:szCs w:val="16"/>
                <w:vertAlign w:val="superscript"/>
              </w:rPr>
              <w:t>***</w:t>
            </w:r>
          </w:p>
        </w:tc>
        <w:tc>
          <w:tcPr>
            <w:tcW w:w="1230" w:type="dxa"/>
            <w:tcBorders>
              <w:left w:val="nil"/>
              <w:right w:val="nil"/>
            </w:tcBorders>
            <w:shd w:val="clear" w:color="auto" w:fill="auto"/>
          </w:tcPr>
          <w:p w14:paraId="2541573E" w14:textId="28CBFA72" w:rsidR="000442A4" w:rsidRPr="004F0D61" w:rsidRDefault="000442A4" w:rsidP="000442A4">
            <w:pPr>
              <w:rPr>
                <w:sz w:val="16"/>
                <w:szCs w:val="16"/>
                <w:lang w:val="uk-UA"/>
              </w:rPr>
            </w:pPr>
            <w:r w:rsidRPr="004F0D61">
              <w:rPr>
                <w:sz w:val="16"/>
                <w:szCs w:val="16"/>
                <w:lang w:val="en-US"/>
              </w:rPr>
              <w:t>Mavor-14, Duckitt-20, Altemeyer-10</w:t>
            </w:r>
          </w:p>
        </w:tc>
      </w:tr>
      <w:tr w:rsidR="00991EC7" w:rsidRPr="004F0D61" w14:paraId="773960A1" w14:textId="77777777" w:rsidTr="00315A2A">
        <w:trPr>
          <w:cantSplit/>
          <w:trHeight w:val="378"/>
        </w:trPr>
        <w:tc>
          <w:tcPr>
            <w:tcW w:w="568" w:type="dxa"/>
            <w:tcBorders>
              <w:left w:val="nil"/>
              <w:right w:val="nil"/>
            </w:tcBorders>
            <w:shd w:val="clear" w:color="auto" w:fill="auto"/>
          </w:tcPr>
          <w:p w14:paraId="0C12BECC" w14:textId="6779F469" w:rsidR="000442A4" w:rsidRPr="004F0D61" w:rsidRDefault="000442A4" w:rsidP="00270D6E">
            <w:pPr>
              <w:snapToGrid w:val="0"/>
              <w:ind w:right="-107"/>
              <w:rPr>
                <w:rFonts w:cs="Arial"/>
                <w:b/>
                <w:bCs/>
                <w:sz w:val="16"/>
                <w:szCs w:val="16"/>
                <w:lang w:val="uk-UA"/>
              </w:rPr>
            </w:pPr>
            <w:proofErr w:type="spellStart"/>
            <w:r w:rsidRPr="004F0D61">
              <w:rPr>
                <w:rFonts w:cs="Arial"/>
                <w:b/>
                <w:bCs/>
                <w:sz w:val="16"/>
                <w:szCs w:val="16"/>
                <w:lang w:val="uk-UA"/>
              </w:rPr>
              <w:t>rwa</w:t>
            </w:r>
            <w:proofErr w:type="spellEnd"/>
            <w:r w:rsidRPr="004F0D61">
              <w:rPr>
                <w:rFonts w:cs="Arial"/>
                <w:b/>
                <w:bCs/>
                <w:sz w:val="16"/>
                <w:szCs w:val="16"/>
                <w:lang w:val="en-US"/>
              </w:rPr>
              <w:t>0</w:t>
            </w:r>
            <w:r w:rsidRPr="004F0D61">
              <w:rPr>
                <w:rFonts w:cs="Arial"/>
                <w:b/>
                <w:bCs/>
                <w:sz w:val="16"/>
                <w:szCs w:val="16"/>
                <w:lang w:val="uk-UA"/>
              </w:rPr>
              <w:t>9</w:t>
            </w:r>
          </w:p>
        </w:tc>
        <w:tc>
          <w:tcPr>
            <w:tcW w:w="2183" w:type="dxa"/>
            <w:tcBorders>
              <w:left w:val="nil"/>
              <w:right w:val="nil"/>
            </w:tcBorders>
          </w:tcPr>
          <w:p w14:paraId="1463AE34" w14:textId="34FA241D" w:rsidR="000442A4" w:rsidRPr="004F0D61" w:rsidRDefault="000442A4" w:rsidP="00270D6E">
            <w:pPr>
              <w:ind w:left="-112"/>
              <w:rPr>
                <w:b/>
                <w:bCs/>
                <w:sz w:val="16"/>
                <w:szCs w:val="16"/>
                <w:lang w:val="uk-UA"/>
              </w:rPr>
            </w:pPr>
            <w:r w:rsidRPr="004F0D61">
              <w:rPr>
                <w:b/>
                <w:bCs/>
                <w:sz w:val="16"/>
                <w:szCs w:val="16"/>
                <w:lang w:val="en-US"/>
              </w:rPr>
              <w:t>Our country needs free thinkers who have the courage to defy traditional ways, even if this upsets many people</w:t>
            </w:r>
          </w:p>
        </w:tc>
        <w:tc>
          <w:tcPr>
            <w:tcW w:w="583" w:type="dxa"/>
            <w:tcBorders>
              <w:left w:val="nil"/>
              <w:right w:val="nil"/>
            </w:tcBorders>
            <w:shd w:val="clear" w:color="auto" w:fill="FBE4D5" w:themeFill="accent2" w:themeFillTint="33"/>
          </w:tcPr>
          <w:p w14:paraId="7B55E525" w14:textId="3A780616" w:rsidR="000442A4" w:rsidRPr="004F0D61" w:rsidRDefault="000442A4" w:rsidP="000442A4">
            <w:pPr>
              <w:jc w:val="center"/>
              <w:rPr>
                <w:b/>
                <w:bCs/>
                <w:sz w:val="16"/>
                <w:szCs w:val="16"/>
                <w:lang w:val="uk-UA"/>
              </w:rPr>
            </w:pPr>
            <w:r w:rsidRPr="004F0D61">
              <w:rPr>
                <w:sz w:val="16"/>
                <w:szCs w:val="16"/>
              </w:rPr>
              <w:t>0.46</w:t>
            </w:r>
          </w:p>
        </w:tc>
        <w:tc>
          <w:tcPr>
            <w:tcW w:w="583" w:type="dxa"/>
            <w:tcBorders>
              <w:left w:val="nil"/>
              <w:right w:val="nil"/>
            </w:tcBorders>
          </w:tcPr>
          <w:p w14:paraId="45E14419" w14:textId="143A9994" w:rsidR="000442A4" w:rsidRPr="004F0D61" w:rsidRDefault="000442A4" w:rsidP="000442A4">
            <w:pPr>
              <w:jc w:val="center"/>
              <w:rPr>
                <w:sz w:val="16"/>
                <w:szCs w:val="16"/>
              </w:rPr>
            </w:pPr>
            <w:r w:rsidRPr="004F0D61">
              <w:rPr>
                <w:sz w:val="16"/>
                <w:szCs w:val="16"/>
              </w:rPr>
              <w:t>0.61</w:t>
            </w:r>
          </w:p>
        </w:tc>
        <w:tc>
          <w:tcPr>
            <w:tcW w:w="582" w:type="dxa"/>
            <w:tcBorders>
              <w:left w:val="nil"/>
              <w:right w:val="nil"/>
            </w:tcBorders>
            <w:shd w:val="clear" w:color="auto" w:fill="E2EFD9" w:themeFill="accent6" w:themeFillTint="33"/>
          </w:tcPr>
          <w:p w14:paraId="19D05A2B" w14:textId="1A13033D" w:rsidR="000442A4" w:rsidRPr="004F0D61" w:rsidRDefault="000442A4" w:rsidP="000442A4">
            <w:pPr>
              <w:jc w:val="center"/>
              <w:rPr>
                <w:sz w:val="16"/>
                <w:szCs w:val="16"/>
              </w:rPr>
            </w:pPr>
            <w:r w:rsidRPr="004F0D61">
              <w:rPr>
                <w:sz w:val="16"/>
                <w:szCs w:val="16"/>
              </w:rPr>
              <w:t>0.33</w:t>
            </w:r>
          </w:p>
        </w:tc>
        <w:tc>
          <w:tcPr>
            <w:tcW w:w="583" w:type="dxa"/>
            <w:tcBorders>
              <w:left w:val="nil"/>
              <w:right w:val="nil"/>
            </w:tcBorders>
            <w:shd w:val="clear" w:color="auto" w:fill="FFF2CC" w:themeFill="accent4" w:themeFillTint="33"/>
          </w:tcPr>
          <w:p w14:paraId="44EEDEF8" w14:textId="04773AC4" w:rsidR="000442A4" w:rsidRPr="004F0D61" w:rsidRDefault="000442A4" w:rsidP="000442A4">
            <w:pPr>
              <w:jc w:val="center"/>
              <w:rPr>
                <w:sz w:val="16"/>
                <w:szCs w:val="16"/>
              </w:rPr>
            </w:pPr>
            <w:r w:rsidRPr="004F0D61">
              <w:rPr>
                <w:sz w:val="16"/>
                <w:szCs w:val="16"/>
              </w:rPr>
              <w:t>0.53</w:t>
            </w:r>
          </w:p>
        </w:tc>
        <w:tc>
          <w:tcPr>
            <w:tcW w:w="895" w:type="dxa"/>
            <w:tcBorders>
              <w:left w:val="nil"/>
              <w:right w:val="single" w:sz="12" w:space="0" w:color="auto"/>
            </w:tcBorders>
            <w:shd w:val="clear" w:color="auto" w:fill="D9E2F3" w:themeFill="accent1" w:themeFillTint="33"/>
          </w:tcPr>
          <w:p w14:paraId="549EE05E" w14:textId="4F42826C" w:rsidR="000442A4" w:rsidRPr="004F0D61" w:rsidRDefault="000442A4" w:rsidP="000442A4">
            <w:pPr>
              <w:jc w:val="center"/>
              <w:rPr>
                <w:b/>
                <w:bCs/>
                <w:sz w:val="16"/>
                <w:szCs w:val="16"/>
                <w:lang w:val="uk-UA"/>
              </w:rPr>
            </w:pPr>
            <w:r w:rsidRPr="004F0D61">
              <w:rPr>
                <w:sz w:val="16"/>
                <w:szCs w:val="16"/>
              </w:rPr>
              <w:t>0.33</w:t>
            </w:r>
            <w:r w:rsidRPr="004F0D61">
              <w:rPr>
                <w:sz w:val="16"/>
                <w:szCs w:val="16"/>
                <w:vertAlign w:val="superscript"/>
              </w:rPr>
              <w:t>***</w:t>
            </w:r>
          </w:p>
        </w:tc>
        <w:tc>
          <w:tcPr>
            <w:tcW w:w="584" w:type="dxa"/>
            <w:tcBorders>
              <w:left w:val="single" w:sz="12" w:space="0" w:color="auto"/>
              <w:right w:val="nil"/>
            </w:tcBorders>
            <w:shd w:val="clear" w:color="auto" w:fill="FBE4D5" w:themeFill="accent2" w:themeFillTint="33"/>
          </w:tcPr>
          <w:p w14:paraId="22AF9173" w14:textId="6BED4ABC" w:rsidR="000442A4" w:rsidRPr="004F0D61" w:rsidRDefault="000442A4" w:rsidP="000442A4">
            <w:pPr>
              <w:jc w:val="center"/>
              <w:rPr>
                <w:b/>
                <w:bCs/>
                <w:sz w:val="16"/>
                <w:szCs w:val="16"/>
                <w:lang w:val="uk-UA"/>
              </w:rPr>
            </w:pPr>
            <w:r w:rsidRPr="004F0D61">
              <w:rPr>
                <w:sz w:val="16"/>
                <w:szCs w:val="16"/>
              </w:rPr>
              <w:t>0.46</w:t>
            </w:r>
          </w:p>
        </w:tc>
        <w:tc>
          <w:tcPr>
            <w:tcW w:w="584" w:type="dxa"/>
            <w:tcBorders>
              <w:left w:val="nil"/>
              <w:right w:val="nil"/>
            </w:tcBorders>
          </w:tcPr>
          <w:p w14:paraId="5EABCB71" w14:textId="38AF9A11" w:rsidR="000442A4" w:rsidRPr="004F0D61" w:rsidRDefault="000442A4" w:rsidP="000442A4">
            <w:pPr>
              <w:jc w:val="center"/>
              <w:rPr>
                <w:sz w:val="16"/>
                <w:szCs w:val="16"/>
              </w:rPr>
            </w:pPr>
            <w:r w:rsidRPr="004F0D61">
              <w:rPr>
                <w:sz w:val="16"/>
                <w:szCs w:val="16"/>
              </w:rPr>
              <w:t>0.59</w:t>
            </w:r>
          </w:p>
        </w:tc>
        <w:tc>
          <w:tcPr>
            <w:tcW w:w="584" w:type="dxa"/>
            <w:tcBorders>
              <w:left w:val="nil"/>
              <w:right w:val="nil"/>
            </w:tcBorders>
            <w:shd w:val="clear" w:color="auto" w:fill="E2EFD9" w:themeFill="accent6" w:themeFillTint="33"/>
          </w:tcPr>
          <w:p w14:paraId="2664C8BE" w14:textId="377AD4D4" w:rsidR="000442A4" w:rsidRPr="004F0D61" w:rsidRDefault="000442A4" w:rsidP="000442A4">
            <w:pPr>
              <w:jc w:val="center"/>
              <w:rPr>
                <w:sz w:val="16"/>
                <w:szCs w:val="16"/>
              </w:rPr>
            </w:pPr>
            <w:r w:rsidRPr="004F0D61">
              <w:rPr>
                <w:sz w:val="16"/>
                <w:szCs w:val="16"/>
              </w:rPr>
              <w:t>0.35</w:t>
            </w:r>
          </w:p>
        </w:tc>
        <w:tc>
          <w:tcPr>
            <w:tcW w:w="584" w:type="dxa"/>
            <w:tcBorders>
              <w:left w:val="nil"/>
              <w:right w:val="nil"/>
            </w:tcBorders>
            <w:shd w:val="clear" w:color="auto" w:fill="FFF2CC" w:themeFill="accent4" w:themeFillTint="33"/>
          </w:tcPr>
          <w:p w14:paraId="30F624EA" w14:textId="0BCC150B" w:rsidR="000442A4" w:rsidRPr="004F0D61" w:rsidRDefault="000442A4" w:rsidP="000442A4">
            <w:pPr>
              <w:jc w:val="center"/>
              <w:rPr>
                <w:sz w:val="16"/>
                <w:szCs w:val="16"/>
              </w:rPr>
            </w:pPr>
            <w:r w:rsidRPr="004F0D61">
              <w:rPr>
                <w:sz w:val="16"/>
                <w:szCs w:val="16"/>
              </w:rPr>
              <w:t>0.51</w:t>
            </w:r>
          </w:p>
        </w:tc>
        <w:tc>
          <w:tcPr>
            <w:tcW w:w="878" w:type="dxa"/>
            <w:tcBorders>
              <w:left w:val="nil"/>
              <w:right w:val="nil"/>
            </w:tcBorders>
            <w:shd w:val="clear" w:color="auto" w:fill="D9E2F3" w:themeFill="accent1" w:themeFillTint="33"/>
          </w:tcPr>
          <w:p w14:paraId="29F663B0" w14:textId="08EB7676" w:rsidR="000442A4" w:rsidRPr="004F0D61" w:rsidRDefault="000442A4" w:rsidP="000442A4">
            <w:pPr>
              <w:jc w:val="center"/>
              <w:rPr>
                <w:b/>
                <w:bCs/>
                <w:sz w:val="16"/>
                <w:szCs w:val="16"/>
                <w:lang w:val="uk-UA"/>
              </w:rPr>
            </w:pPr>
            <w:r w:rsidRPr="004F0D61">
              <w:rPr>
                <w:sz w:val="16"/>
                <w:szCs w:val="16"/>
              </w:rPr>
              <w:t>0.33</w:t>
            </w:r>
            <w:r w:rsidRPr="004F0D61">
              <w:rPr>
                <w:sz w:val="16"/>
                <w:szCs w:val="16"/>
                <w:vertAlign w:val="superscript"/>
              </w:rPr>
              <w:t>***</w:t>
            </w:r>
          </w:p>
        </w:tc>
        <w:tc>
          <w:tcPr>
            <w:tcW w:w="1230" w:type="dxa"/>
            <w:tcBorders>
              <w:left w:val="nil"/>
              <w:right w:val="nil"/>
            </w:tcBorders>
            <w:shd w:val="clear" w:color="auto" w:fill="auto"/>
          </w:tcPr>
          <w:p w14:paraId="462E3F26" w14:textId="003988A2" w:rsidR="000442A4" w:rsidRPr="004F0D61" w:rsidRDefault="00DB0A3E" w:rsidP="000442A4">
            <w:pPr>
              <w:rPr>
                <w:b/>
                <w:bCs/>
                <w:sz w:val="16"/>
                <w:szCs w:val="16"/>
                <w:lang w:val="uk-UA"/>
              </w:rPr>
            </w:pPr>
            <w:r w:rsidRPr="004F0D61">
              <w:rPr>
                <w:sz w:val="16"/>
                <w:szCs w:val="16"/>
                <w:lang w:val="en-US"/>
              </w:rPr>
              <w:t>Mavor-14</w:t>
            </w:r>
            <w:r w:rsidR="005D2336" w:rsidRPr="004F0D61">
              <w:rPr>
                <w:sz w:val="16"/>
                <w:szCs w:val="16"/>
                <w:lang w:val="en-US"/>
              </w:rPr>
              <w:t>, Zakrisson-15</w:t>
            </w:r>
            <w:r w:rsidR="003F592E" w:rsidRPr="004F0D61">
              <w:rPr>
                <w:sz w:val="16"/>
                <w:szCs w:val="16"/>
                <w:lang w:val="en-US"/>
              </w:rPr>
              <w:t>, Duckitt-20</w:t>
            </w:r>
          </w:p>
        </w:tc>
      </w:tr>
      <w:tr w:rsidR="00991EC7" w:rsidRPr="004F0D61" w14:paraId="0E0096DB" w14:textId="77777777" w:rsidTr="00315A2A">
        <w:trPr>
          <w:cantSplit/>
          <w:trHeight w:val="378"/>
        </w:trPr>
        <w:tc>
          <w:tcPr>
            <w:tcW w:w="568" w:type="dxa"/>
            <w:tcBorders>
              <w:left w:val="nil"/>
              <w:bottom w:val="single" w:sz="4" w:space="0" w:color="auto"/>
              <w:right w:val="nil"/>
            </w:tcBorders>
            <w:shd w:val="clear" w:color="auto" w:fill="auto"/>
          </w:tcPr>
          <w:p w14:paraId="6F3CF9CB" w14:textId="6BEA6314" w:rsidR="000442A4" w:rsidRPr="004F0D61" w:rsidRDefault="000442A4" w:rsidP="00270D6E">
            <w:pPr>
              <w:snapToGrid w:val="0"/>
              <w:ind w:right="-107"/>
              <w:rPr>
                <w:rFonts w:cs="Arial"/>
                <w:sz w:val="16"/>
                <w:szCs w:val="16"/>
                <w:lang w:val="uk-UA"/>
              </w:rPr>
            </w:pPr>
            <w:r w:rsidRPr="004F0D61">
              <w:rPr>
                <w:rFonts w:cs="Arial"/>
                <w:sz w:val="16"/>
                <w:szCs w:val="16"/>
                <w:lang w:val="uk-UA"/>
              </w:rPr>
              <w:t>rwa10</w:t>
            </w:r>
          </w:p>
        </w:tc>
        <w:tc>
          <w:tcPr>
            <w:tcW w:w="2183" w:type="dxa"/>
            <w:tcBorders>
              <w:left w:val="nil"/>
              <w:bottom w:val="single" w:sz="4" w:space="0" w:color="auto"/>
              <w:right w:val="nil"/>
            </w:tcBorders>
          </w:tcPr>
          <w:p w14:paraId="6A2512DC" w14:textId="7B482D1F" w:rsidR="000442A4" w:rsidRPr="004F0D61" w:rsidRDefault="000442A4" w:rsidP="00270D6E">
            <w:pPr>
              <w:ind w:left="-112"/>
              <w:rPr>
                <w:sz w:val="16"/>
                <w:szCs w:val="16"/>
                <w:lang w:val="uk-UA"/>
              </w:rPr>
            </w:pPr>
            <w:r w:rsidRPr="004F0D61">
              <w:rPr>
                <w:sz w:val="16"/>
                <w:szCs w:val="16"/>
                <w:lang w:val="en-US"/>
              </w:rPr>
              <w:t>Our country will be destroyed someday if we do not smash the perversions eating away at our moral fiber and traditional beliefs</w:t>
            </w:r>
          </w:p>
        </w:tc>
        <w:tc>
          <w:tcPr>
            <w:tcW w:w="583" w:type="dxa"/>
            <w:tcBorders>
              <w:left w:val="nil"/>
              <w:bottom w:val="single" w:sz="4" w:space="0" w:color="auto"/>
              <w:right w:val="nil"/>
            </w:tcBorders>
            <w:shd w:val="clear" w:color="auto" w:fill="FBE4D5" w:themeFill="accent2" w:themeFillTint="33"/>
          </w:tcPr>
          <w:p w14:paraId="4D3F551A" w14:textId="51AF0105" w:rsidR="000442A4" w:rsidRPr="004F0D61" w:rsidRDefault="000442A4" w:rsidP="000442A4">
            <w:pPr>
              <w:jc w:val="center"/>
              <w:rPr>
                <w:sz w:val="16"/>
                <w:szCs w:val="16"/>
                <w:lang w:val="uk-UA"/>
              </w:rPr>
            </w:pPr>
            <w:r w:rsidRPr="004F0D61">
              <w:rPr>
                <w:sz w:val="16"/>
                <w:szCs w:val="16"/>
              </w:rPr>
              <w:t>0.77</w:t>
            </w:r>
          </w:p>
        </w:tc>
        <w:tc>
          <w:tcPr>
            <w:tcW w:w="583" w:type="dxa"/>
            <w:tcBorders>
              <w:left w:val="nil"/>
              <w:bottom w:val="single" w:sz="4" w:space="0" w:color="auto"/>
              <w:right w:val="nil"/>
            </w:tcBorders>
          </w:tcPr>
          <w:p w14:paraId="52329060" w14:textId="73CDCFC6" w:rsidR="000442A4" w:rsidRPr="004F0D61" w:rsidRDefault="000442A4" w:rsidP="000442A4">
            <w:pPr>
              <w:jc w:val="center"/>
              <w:rPr>
                <w:sz w:val="16"/>
                <w:szCs w:val="16"/>
              </w:rPr>
            </w:pPr>
            <w:r w:rsidRPr="004F0D61">
              <w:rPr>
                <w:sz w:val="16"/>
                <w:szCs w:val="16"/>
              </w:rPr>
              <w:t>0.69</w:t>
            </w:r>
          </w:p>
        </w:tc>
        <w:tc>
          <w:tcPr>
            <w:tcW w:w="582" w:type="dxa"/>
            <w:tcBorders>
              <w:left w:val="nil"/>
              <w:bottom w:val="single" w:sz="4" w:space="0" w:color="auto"/>
              <w:right w:val="nil"/>
            </w:tcBorders>
            <w:shd w:val="clear" w:color="auto" w:fill="E2EFD9" w:themeFill="accent6" w:themeFillTint="33"/>
          </w:tcPr>
          <w:p w14:paraId="083D8CB8" w14:textId="67D9F4C5" w:rsidR="000442A4" w:rsidRPr="004F0D61" w:rsidRDefault="000442A4" w:rsidP="000442A4">
            <w:pPr>
              <w:jc w:val="center"/>
              <w:rPr>
                <w:sz w:val="16"/>
                <w:szCs w:val="16"/>
              </w:rPr>
            </w:pPr>
            <w:r w:rsidRPr="004F0D61">
              <w:rPr>
                <w:sz w:val="16"/>
                <w:szCs w:val="16"/>
              </w:rPr>
              <w:t>0.70</w:t>
            </w:r>
          </w:p>
        </w:tc>
        <w:tc>
          <w:tcPr>
            <w:tcW w:w="583" w:type="dxa"/>
            <w:tcBorders>
              <w:left w:val="nil"/>
              <w:bottom w:val="single" w:sz="4" w:space="0" w:color="auto"/>
              <w:right w:val="nil"/>
            </w:tcBorders>
            <w:shd w:val="clear" w:color="auto" w:fill="FFF2CC" w:themeFill="accent4" w:themeFillTint="33"/>
          </w:tcPr>
          <w:p w14:paraId="0639F0BD" w14:textId="04A4033C" w:rsidR="000442A4" w:rsidRPr="004F0D61" w:rsidRDefault="000442A4" w:rsidP="000442A4">
            <w:pPr>
              <w:jc w:val="center"/>
              <w:rPr>
                <w:sz w:val="16"/>
                <w:szCs w:val="16"/>
              </w:rPr>
            </w:pPr>
            <w:r w:rsidRPr="004F0D61">
              <w:rPr>
                <w:sz w:val="16"/>
                <w:szCs w:val="16"/>
              </w:rPr>
              <w:t>0.63</w:t>
            </w:r>
          </w:p>
        </w:tc>
        <w:tc>
          <w:tcPr>
            <w:tcW w:w="895" w:type="dxa"/>
            <w:tcBorders>
              <w:left w:val="nil"/>
              <w:bottom w:val="single" w:sz="4" w:space="0" w:color="auto"/>
              <w:right w:val="single" w:sz="12" w:space="0" w:color="auto"/>
            </w:tcBorders>
            <w:shd w:val="clear" w:color="auto" w:fill="D9E2F3" w:themeFill="accent1" w:themeFillTint="33"/>
          </w:tcPr>
          <w:p w14:paraId="4EAAB00F" w14:textId="459241BA" w:rsidR="000442A4" w:rsidRPr="004F0D61" w:rsidRDefault="000442A4" w:rsidP="000442A4">
            <w:pPr>
              <w:jc w:val="center"/>
              <w:rPr>
                <w:sz w:val="16"/>
                <w:szCs w:val="16"/>
                <w:lang w:val="uk-UA"/>
              </w:rPr>
            </w:pPr>
            <w:r w:rsidRPr="004F0D61">
              <w:rPr>
                <w:sz w:val="16"/>
                <w:szCs w:val="16"/>
              </w:rPr>
              <w:t>0.55</w:t>
            </w:r>
            <w:r w:rsidRPr="004F0D61">
              <w:rPr>
                <w:sz w:val="16"/>
                <w:szCs w:val="16"/>
                <w:vertAlign w:val="superscript"/>
              </w:rPr>
              <w:t>***</w:t>
            </w:r>
          </w:p>
        </w:tc>
        <w:tc>
          <w:tcPr>
            <w:tcW w:w="584" w:type="dxa"/>
            <w:tcBorders>
              <w:left w:val="single" w:sz="12" w:space="0" w:color="auto"/>
              <w:bottom w:val="single" w:sz="4" w:space="0" w:color="auto"/>
              <w:right w:val="nil"/>
            </w:tcBorders>
            <w:shd w:val="clear" w:color="auto" w:fill="FBE4D5" w:themeFill="accent2" w:themeFillTint="33"/>
          </w:tcPr>
          <w:p w14:paraId="72E85228" w14:textId="37FE5CB7" w:rsidR="000442A4" w:rsidRPr="004F0D61" w:rsidRDefault="000442A4" w:rsidP="000442A4">
            <w:pPr>
              <w:jc w:val="center"/>
              <w:rPr>
                <w:sz w:val="16"/>
                <w:szCs w:val="16"/>
                <w:lang w:val="uk-UA"/>
              </w:rPr>
            </w:pPr>
            <w:r w:rsidRPr="004F0D61">
              <w:rPr>
                <w:sz w:val="16"/>
                <w:szCs w:val="16"/>
              </w:rPr>
              <w:t>0.76</w:t>
            </w:r>
          </w:p>
        </w:tc>
        <w:tc>
          <w:tcPr>
            <w:tcW w:w="584" w:type="dxa"/>
            <w:tcBorders>
              <w:left w:val="nil"/>
              <w:bottom w:val="single" w:sz="4" w:space="0" w:color="auto"/>
              <w:right w:val="nil"/>
            </w:tcBorders>
          </w:tcPr>
          <w:p w14:paraId="7F1BCB60" w14:textId="43A396E9" w:rsidR="000442A4" w:rsidRPr="004F0D61" w:rsidRDefault="000442A4" w:rsidP="000442A4">
            <w:pPr>
              <w:jc w:val="center"/>
              <w:rPr>
                <w:sz w:val="16"/>
                <w:szCs w:val="16"/>
              </w:rPr>
            </w:pPr>
            <w:r w:rsidRPr="004F0D61">
              <w:rPr>
                <w:sz w:val="16"/>
                <w:szCs w:val="16"/>
              </w:rPr>
              <w:t>0.76</w:t>
            </w:r>
          </w:p>
        </w:tc>
        <w:tc>
          <w:tcPr>
            <w:tcW w:w="584" w:type="dxa"/>
            <w:tcBorders>
              <w:left w:val="nil"/>
              <w:bottom w:val="single" w:sz="4" w:space="0" w:color="auto"/>
              <w:right w:val="nil"/>
            </w:tcBorders>
            <w:shd w:val="clear" w:color="auto" w:fill="E2EFD9" w:themeFill="accent6" w:themeFillTint="33"/>
          </w:tcPr>
          <w:p w14:paraId="5B297B60" w14:textId="023ECF15" w:rsidR="000442A4" w:rsidRPr="004F0D61" w:rsidRDefault="000442A4" w:rsidP="000442A4">
            <w:pPr>
              <w:jc w:val="center"/>
              <w:rPr>
                <w:sz w:val="16"/>
                <w:szCs w:val="16"/>
              </w:rPr>
            </w:pPr>
            <w:r w:rsidRPr="004F0D61">
              <w:rPr>
                <w:sz w:val="16"/>
                <w:szCs w:val="16"/>
              </w:rPr>
              <w:t>0.68</w:t>
            </w:r>
          </w:p>
        </w:tc>
        <w:tc>
          <w:tcPr>
            <w:tcW w:w="584" w:type="dxa"/>
            <w:tcBorders>
              <w:left w:val="nil"/>
              <w:bottom w:val="single" w:sz="4" w:space="0" w:color="auto"/>
              <w:right w:val="nil"/>
            </w:tcBorders>
            <w:shd w:val="clear" w:color="auto" w:fill="FFF2CC" w:themeFill="accent4" w:themeFillTint="33"/>
          </w:tcPr>
          <w:p w14:paraId="1CB7AD0F" w14:textId="28911069" w:rsidR="000442A4" w:rsidRPr="004F0D61" w:rsidRDefault="000442A4" w:rsidP="000442A4">
            <w:pPr>
              <w:jc w:val="center"/>
              <w:rPr>
                <w:sz w:val="16"/>
                <w:szCs w:val="16"/>
              </w:rPr>
            </w:pPr>
            <w:r w:rsidRPr="004F0D61">
              <w:rPr>
                <w:sz w:val="16"/>
                <w:szCs w:val="16"/>
              </w:rPr>
              <w:t>0.68</w:t>
            </w:r>
          </w:p>
        </w:tc>
        <w:tc>
          <w:tcPr>
            <w:tcW w:w="878" w:type="dxa"/>
            <w:tcBorders>
              <w:left w:val="nil"/>
              <w:bottom w:val="single" w:sz="4" w:space="0" w:color="auto"/>
              <w:right w:val="nil"/>
            </w:tcBorders>
            <w:shd w:val="clear" w:color="auto" w:fill="D9E2F3" w:themeFill="accent1" w:themeFillTint="33"/>
          </w:tcPr>
          <w:p w14:paraId="00D59AB2" w14:textId="4C2C4703" w:rsidR="000442A4" w:rsidRPr="004F0D61" w:rsidRDefault="000442A4" w:rsidP="000442A4">
            <w:pPr>
              <w:jc w:val="center"/>
              <w:rPr>
                <w:sz w:val="16"/>
                <w:szCs w:val="16"/>
                <w:lang w:val="uk-UA"/>
              </w:rPr>
            </w:pPr>
            <w:r w:rsidRPr="004F0D61">
              <w:rPr>
                <w:sz w:val="16"/>
                <w:szCs w:val="16"/>
              </w:rPr>
              <w:t>0.60</w:t>
            </w:r>
            <w:r w:rsidRPr="004F0D61">
              <w:rPr>
                <w:sz w:val="16"/>
                <w:szCs w:val="16"/>
                <w:vertAlign w:val="superscript"/>
              </w:rPr>
              <w:t>***</w:t>
            </w:r>
          </w:p>
        </w:tc>
        <w:tc>
          <w:tcPr>
            <w:tcW w:w="1230" w:type="dxa"/>
            <w:tcBorders>
              <w:left w:val="nil"/>
              <w:bottom w:val="single" w:sz="4" w:space="0" w:color="auto"/>
              <w:right w:val="nil"/>
            </w:tcBorders>
            <w:shd w:val="clear" w:color="auto" w:fill="auto"/>
          </w:tcPr>
          <w:p w14:paraId="1147E3F3" w14:textId="685FE15B" w:rsidR="000442A4" w:rsidRPr="004F0D61" w:rsidRDefault="000442A4" w:rsidP="000442A4">
            <w:pPr>
              <w:rPr>
                <w:sz w:val="16"/>
                <w:szCs w:val="16"/>
                <w:lang w:val="uk-UA"/>
              </w:rPr>
            </w:pPr>
            <w:r w:rsidRPr="004F0D61">
              <w:rPr>
                <w:sz w:val="16"/>
                <w:szCs w:val="16"/>
                <w:lang w:val="en-US"/>
              </w:rPr>
              <w:t>Duckitt-20</w:t>
            </w:r>
          </w:p>
        </w:tc>
      </w:tr>
      <w:tr w:rsidR="00991EC7" w:rsidRPr="004F0D61" w14:paraId="450B5F32" w14:textId="77777777" w:rsidTr="00315A2A">
        <w:trPr>
          <w:cantSplit/>
          <w:trHeight w:val="378"/>
        </w:trPr>
        <w:tc>
          <w:tcPr>
            <w:tcW w:w="568" w:type="dxa"/>
            <w:tcBorders>
              <w:left w:val="nil"/>
              <w:right w:val="nil"/>
            </w:tcBorders>
            <w:shd w:val="clear" w:color="auto" w:fill="auto"/>
          </w:tcPr>
          <w:p w14:paraId="1B4515ED" w14:textId="7A68B63F" w:rsidR="000442A4" w:rsidRPr="004F0D61" w:rsidRDefault="000442A4" w:rsidP="00270D6E">
            <w:pPr>
              <w:snapToGrid w:val="0"/>
              <w:ind w:right="-107"/>
              <w:rPr>
                <w:rFonts w:cs="Arial"/>
                <w:b/>
                <w:bCs/>
                <w:sz w:val="16"/>
                <w:szCs w:val="16"/>
                <w:lang w:val="uk-UA"/>
              </w:rPr>
            </w:pPr>
            <w:r w:rsidRPr="004F0D61">
              <w:rPr>
                <w:rFonts w:cs="Arial"/>
                <w:b/>
                <w:bCs/>
                <w:sz w:val="16"/>
                <w:szCs w:val="16"/>
                <w:lang w:val="uk-UA"/>
              </w:rPr>
              <w:t>rwa11</w:t>
            </w:r>
          </w:p>
        </w:tc>
        <w:tc>
          <w:tcPr>
            <w:tcW w:w="2183" w:type="dxa"/>
            <w:tcBorders>
              <w:left w:val="nil"/>
              <w:right w:val="nil"/>
            </w:tcBorders>
          </w:tcPr>
          <w:p w14:paraId="6CB2A891" w14:textId="1AF7EE22" w:rsidR="000442A4" w:rsidRPr="004F0D61" w:rsidRDefault="000442A4" w:rsidP="00270D6E">
            <w:pPr>
              <w:ind w:left="-112"/>
              <w:rPr>
                <w:b/>
                <w:bCs/>
                <w:sz w:val="16"/>
                <w:szCs w:val="16"/>
                <w:lang w:val="uk-UA"/>
              </w:rPr>
            </w:pPr>
            <w:r w:rsidRPr="004F0D61">
              <w:rPr>
                <w:b/>
                <w:bCs/>
                <w:sz w:val="16"/>
                <w:szCs w:val="16"/>
                <w:lang w:val="en-US"/>
              </w:rPr>
              <w:t>Everyone should have their own lifestyle, religious beliefs, and sexual preferences, even if it makes them different from everyone else</w:t>
            </w:r>
          </w:p>
        </w:tc>
        <w:tc>
          <w:tcPr>
            <w:tcW w:w="583" w:type="dxa"/>
            <w:tcBorders>
              <w:left w:val="nil"/>
              <w:right w:val="nil"/>
            </w:tcBorders>
            <w:shd w:val="clear" w:color="auto" w:fill="FBE4D5" w:themeFill="accent2" w:themeFillTint="33"/>
          </w:tcPr>
          <w:p w14:paraId="402180C5" w14:textId="093C1958" w:rsidR="000442A4" w:rsidRPr="004F0D61" w:rsidRDefault="000442A4" w:rsidP="000442A4">
            <w:pPr>
              <w:jc w:val="center"/>
              <w:rPr>
                <w:b/>
                <w:bCs/>
                <w:sz w:val="16"/>
                <w:szCs w:val="16"/>
                <w:lang w:val="uk-UA"/>
              </w:rPr>
            </w:pPr>
            <w:r w:rsidRPr="004F0D61">
              <w:rPr>
                <w:sz w:val="16"/>
                <w:szCs w:val="16"/>
              </w:rPr>
              <w:t>0.32</w:t>
            </w:r>
          </w:p>
        </w:tc>
        <w:tc>
          <w:tcPr>
            <w:tcW w:w="583" w:type="dxa"/>
            <w:tcBorders>
              <w:left w:val="nil"/>
              <w:right w:val="nil"/>
            </w:tcBorders>
          </w:tcPr>
          <w:p w14:paraId="50117675" w14:textId="1D1ABD65" w:rsidR="000442A4" w:rsidRPr="004F0D61" w:rsidRDefault="000442A4" w:rsidP="000442A4">
            <w:pPr>
              <w:jc w:val="center"/>
              <w:rPr>
                <w:sz w:val="16"/>
                <w:szCs w:val="16"/>
              </w:rPr>
            </w:pPr>
            <w:r w:rsidRPr="004F0D61">
              <w:rPr>
                <w:sz w:val="16"/>
                <w:szCs w:val="16"/>
              </w:rPr>
              <w:t>0.56</w:t>
            </w:r>
          </w:p>
        </w:tc>
        <w:tc>
          <w:tcPr>
            <w:tcW w:w="582" w:type="dxa"/>
            <w:tcBorders>
              <w:left w:val="nil"/>
              <w:right w:val="nil"/>
            </w:tcBorders>
            <w:shd w:val="clear" w:color="auto" w:fill="E2EFD9" w:themeFill="accent6" w:themeFillTint="33"/>
          </w:tcPr>
          <w:p w14:paraId="50FE27C0" w14:textId="74C609C7" w:rsidR="000442A4" w:rsidRPr="004F0D61" w:rsidRDefault="000442A4" w:rsidP="000442A4">
            <w:pPr>
              <w:jc w:val="center"/>
              <w:rPr>
                <w:sz w:val="16"/>
                <w:szCs w:val="16"/>
              </w:rPr>
            </w:pPr>
            <w:r w:rsidRPr="004F0D61">
              <w:rPr>
                <w:sz w:val="16"/>
                <w:szCs w:val="16"/>
              </w:rPr>
              <w:t>0.17</w:t>
            </w:r>
          </w:p>
        </w:tc>
        <w:tc>
          <w:tcPr>
            <w:tcW w:w="583" w:type="dxa"/>
            <w:tcBorders>
              <w:left w:val="nil"/>
              <w:right w:val="nil"/>
            </w:tcBorders>
            <w:shd w:val="clear" w:color="auto" w:fill="FFF2CC" w:themeFill="accent4" w:themeFillTint="33"/>
          </w:tcPr>
          <w:p w14:paraId="4A0368F4" w14:textId="1FDA9285" w:rsidR="000442A4" w:rsidRPr="004F0D61" w:rsidRDefault="000442A4" w:rsidP="000442A4">
            <w:pPr>
              <w:jc w:val="center"/>
              <w:rPr>
                <w:sz w:val="16"/>
                <w:szCs w:val="16"/>
              </w:rPr>
            </w:pPr>
            <w:r w:rsidRPr="004F0D61">
              <w:rPr>
                <w:sz w:val="16"/>
                <w:szCs w:val="16"/>
              </w:rPr>
              <w:t>0.45</w:t>
            </w:r>
          </w:p>
        </w:tc>
        <w:tc>
          <w:tcPr>
            <w:tcW w:w="895" w:type="dxa"/>
            <w:tcBorders>
              <w:left w:val="nil"/>
              <w:right w:val="single" w:sz="12" w:space="0" w:color="auto"/>
            </w:tcBorders>
            <w:shd w:val="clear" w:color="auto" w:fill="D9E2F3" w:themeFill="accent1" w:themeFillTint="33"/>
          </w:tcPr>
          <w:p w14:paraId="47D90F8D" w14:textId="16F043E8" w:rsidR="000442A4" w:rsidRPr="004F0D61" w:rsidRDefault="000442A4" w:rsidP="000442A4">
            <w:pPr>
              <w:jc w:val="center"/>
              <w:rPr>
                <w:b/>
                <w:bCs/>
                <w:sz w:val="16"/>
                <w:szCs w:val="16"/>
                <w:lang w:val="uk-UA"/>
              </w:rPr>
            </w:pPr>
            <w:r w:rsidRPr="004F0D61">
              <w:rPr>
                <w:sz w:val="16"/>
                <w:szCs w:val="16"/>
              </w:rPr>
              <w:t>0.56</w:t>
            </w:r>
            <w:r w:rsidRPr="004F0D61">
              <w:rPr>
                <w:sz w:val="16"/>
                <w:szCs w:val="16"/>
                <w:vertAlign w:val="superscript"/>
              </w:rPr>
              <w:t>***</w:t>
            </w:r>
          </w:p>
        </w:tc>
        <w:tc>
          <w:tcPr>
            <w:tcW w:w="584" w:type="dxa"/>
            <w:tcBorders>
              <w:left w:val="single" w:sz="12" w:space="0" w:color="auto"/>
              <w:right w:val="nil"/>
            </w:tcBorders>
            <w:shd w:val="clear" w:color="auto" w:fill="FBE4D5" w:themeFill="accent2" w:themeFillTint="33"/>
          </w:tcPr>
          <w:p w14:paraId="2CB8B16D" w14:textId="551D43DA" w:rsidR="000442A4" w:rsidRPr="004F0D61" w:rsidRDefault="000442A4" w:rsidP="000442A4">
            <w:pPr>
              <w:jc w:val="center"/>
              <w:rPr>
                <w:b/>
                <w:bCs/>
                <w:sz w:val="16"/>
                <w:szCs w:val="16"/>
                <w:lang w:val="uk-UA"/>
              </w:rPr>
            </w:pPr>
            <w:r w:rsidRPr="004F0D61">
              <w:rPr>
                <w:sz w:val="16"/>
                <w:szCs w:val="16"/>
              </w:rPr>
              <w:t>0.42</w:t>
            </w:r>
          </w:p>
        </w:tc>
        <w:tc>
          <w:tcPr>
            <w:tcW w:w="584" w:type="dxa"/>
            <w:tcBorders>
              <w:left w:val="nil"/>
              <w:right w:val="nil"/>
            </w:tcBorders>
          </w:tcPr>
          <w:p w14:paraId="4C9C9D0B" w14:textId="603024A7" w:rsidR="000442A4" w:rsidRPr="004F0D61" w:rsidRDefault="000442A4" w:rsidP="000442A4">
            <w:pPr>
              <w:jc w:val="center"/>
              <w:rPr>
                <w:sz w:val="16"/>
                <w:szCs w:val="16"/>
              </w:rPr>
            </w:pPr>
            <w:r w:rsidRPr="004F0D61">
              <w:rPr>
                <w:sz w:val="16"/>
                <w:szCs w:val="16"/>
              </w:rPr>
              <w:t>0.65</w:t>
            </w:r>
          </w:p>
        </w:tc>
        <w:tc>
          <w:tcPr>
            <w:tcW w:w="584" w:type="dxa"/>
            <w:tcBorders>
              <w:left w:val="nil"/>
              <w:right w:val="nil"/>
            </w:tcBorders>
            <w:shd w:val="clear" w:color="auto" w:fill="E2EFD9" w:themeFill="accent6" w:themeFillTint="33"/>
          </w:tcPr>
          <w:p w14:paraId="7B43AFE3" w14:textId="5C1845E6" w:rsidR="000442A4" w:rsidRPr="004F0D61" w:rsidRDefault="000442A4" w:rsidP="000442A4">
            <w:pPr>
              <w:jc w:val="center"/>
              <w:rPr>
                <w:sz w:val="16"/>
                <w:szCs w:val="16"/>
              </w:rPr>
            </w:pPr>
            <w:r w:rsidRPr="004F0D61">
              <w:rPr>
                <w:sz w:val="16"/>
                <w:szCs w:val="16"/>
              </w:rPr>
              <w:t>0.31</w:t>
            </w:r>
          </w:p>
        </w:tc>
        <w:tc>
          <w:tcPr>
            <w:tcW w:w="584" w:type="dxa"/>
            <w:tcBorders>
              <w:left w:val="nil"/>
              <w:right w:val="nil"/>
            </w:tcBorders>
            <w:shd w:val="clear" w:color="auto" w:fill="FFF2CC" w:themeFill="accent4" w:themeFillTint="33"/>
          </w:tcPr>
          <w:p w14:paraId="65BE63A0" w14:textId="14334420" w:rsidR="000442A4" w:rsidRPr="004F0D61" w:rsidRDefault="000442A4" w:rsidP="000442A4">
            <w:pPr>
              <w:jc w:val="center"/>
              <w:rPr>
                <w:sz w:val="16"/>
                <w:szCs w:val="16"/>
              </w:rPr>
            </w:pPr>
            <w:r w:rsidRPr="004F0D61">
              <w:rPr>
                <w:sz w:val="16"/>
                <w:szCs w:val="16"/>
              </w:rPr>
              <w:t>0.56</w:t>
            </w:r>
          </w:p>
        </w:tc>
        <w:tc>
          <w:tcPr>
            <w:tcW w:w="878" w:type="dxa"/>
            <w:tcBorders>
              <w:left w:val="nil"/>
              <w:right w:val="nil"/>
            </w:tcBorders>
            <w:shd w:val="clear" w:color="auto" w:fill="D9E2F3" w:themeFill="accent1" w:themeFillTint="33"/>
          </w:tcPr>
          <w:p w14:paraId="0E9B1CB0" w14:textId="59AD1621" w:rsidR="000442A4" w:rsidRPr="004F0D61" w:rsidRDefault="000442A4" w:rsidP="000442A4">
            <w:pPr>
              <w:jc w:val="center"/>
              <w:rPr>
                <w:b/>
                <w:bCs/>
                <w:sz w:val="16"/>
                <w:szCs w:val="16"/>
                <w:lang w:val="uk-UA"/>
              </w:rPr>
            </w:pPr>
            <w:r w:rsidRPr="004F0D61">
              <w:rPr>
                <w:sz w:val="16"/>
                <w:szCs w:val="16"/>
              </w:rPr>
              <w:t>0.51</w:t>
            </w:r>
            <w:r w:rsidRPr="004F0D61">
              <w:rPr>
                <w:sz w:val="16"/>
                <w:szCs w:val="16"/>
                <w:vertAlign w:val="superscript"/>
              </w:rPr>
              <w:t>***</w:t>
            </w:r>
          </w:p>
        </w:tc>
        <w:tc>
          <w:tcPr>
            <w:tcW w:w="1230" w:type="dxa"/>
            <w:tcBorders>
              <w:left w:val="nil"/>
              <w:right w:val="nil"/>
            </w:tcBorders>
            <w:shd w:val="clear" w:color="auto" w:fill="auto"/>
          </w:tcPr>
          <w:p w14:paraId="3CE1FF49" w14:textId="76F636B0" w:rsidR="000442A4" w:rsidRPr="004F0D61" w:rsidRDefault="00866AC4" w:rsidP="000442A4">
            <w:pPr>
              <w:rPr>
                <w:b/>
                <w:bCs/>
                <w:sz w:val="16"/>
                <w:szCs w:val="16"/>
                <w:lang w:val="uk-UA"/>
              </w:rPr>
            </w:pPr>
            <w:r w:rsidRPr="004F0D61">
              <w:rPr>
                <w:sz w:val="16"/>
                <w:szCs w:val="16"/>
                <w:lang w:val="en-US"/>
              </w:rPr>
              <w:t>Altemeyer-10</w:t>
            </w:r>
            <w:r w:rsidR="00DB0A3E" w:rsidRPr="004F0D61">
              <w:rPr>
                <w:sz w:val="16"/>
                <w:szCs w:val="16"/>
                <w:lang w:val="en-US"/>
              </w:rPr>
              <w:t>, Mavor-14</w:t>
            </w:r>
            <w:r w:rsidR="005D2336" w:rsidRPr="004F0D61">
              <w:rPr>
                <w:sz w:val="16"/>
                <w:szCs w:val="16"/>
                <w:lang w:val="en-US"/>
              </w:rPr>
              <w:t>, Rattazzi-14</w:t>
            </w:r>
          </w:p>
        </w:tc>
      </w:tr>
      <w:tr w:rsidR="00991EC7" w:rsidRPr="004F0D61" w14:paraId="20530814" w14:textId="77777777" w:rsidTr="00315A2A">
        <w:trPr>
          <w:cantSplit/>
          <w:trHeight w:val="378"/>
        </w:trPr>
        <w:tc>
          <w:tcPr>
            <w:tcW w:w="568" w:type="dxa"/>
            <w:tcBorders>
              <w:left w:val="nil"/>
              <w:right w:val="nil"/>
            </w:tcBorders>
            <w:shd w:val="clear" w:color="auto" w:fill="auto"/>
          </w:tcPr>
          <w:p w14:paraId="604FEC89" w14:textId="0F93653D" w:rsidR="000442A4" w:rsidRPr="004F0D61" w:rsidRDefault="000442A4" w:rsidP="00270D6E">
            <w:pPr>
              <w:snapToGrid w:val="0"/>
              <w:ind w:right="-107"/>
              <w:rPr>
                <w:rFonts w:cs="Arial"/>
                <w:sz w:val="16"/>
                <w:szCs w:val="16"/>
                <w:lang w:val="uk-UA"/>
              </w:rPr>
            </w:pPr>
            <w:r w:rsidRPr="004F0D61">
              <w:rPr>
                <w:rFonts w:cs="Arial"/>
                <w:sz w:val="16"/>
                <w:szCs w:val="16"/>
                <w:lang w:val="uk-UA"/>
              </w:rPr>
              <w:t>rwa12</w:t>
            </w:r>
          </w:p>
        </w:tc>
        <w:tc>
          <w:tcPr>
            <w:tcW w:w="2183" w:type="dxa"/>
            <w:tcBorders>
              <w:left w:val="nil"/>
              <w:right w:val="nil"/>
            </w:tcBorders>
          </w:tcPr>
          <w:p w14:paraId="343A68F9" w14:textId="3477492C" w:rsidR="000442A4" w:rsidRPr="004F0D61" w:rsidRDefault="000442A4" w:rsidP="00270D6E">
            <w:pPr>
              <w:ind w:left="-112"/>
              <w:rPr>
                <w:sz w:val="16"/>
                <w:szCs w:val="16"/>
                <w:lang w:val="uk-UA"/>
              </w:rPr>
            </w:pPr>
            <w:r w:rsidRPr="004F0D61">
              <w:rPr>
                <w:sz w:val="16"/>
                <w:szCs w:val="16"/>
                <w:lang w:val="en-US"/>
              </w:rPr>
              <w:t>The “old-fashioned ways” and the “old-fashioned values” still show the best way to live</w:t>
            </w:r>
          </w:p>
        </w:tc>
        <w:tc>
          <w:tcPr>
            <w:tcW w:w="583" w:type="dxa"/>
            <w:tcBorders>
              <w:left w:val="nil"/>
              <w:right w:val="nil"/>
            </w:tcBorders>
            <w:shd w:val="clear" w:color="auto" w:fill="FBE4D5" w:themeFill="accent2" w:themeFillTint="33"/>
          </w:tcPr>
          <w:p w14:paraId="584BD741" w14:textId="11FB7228" w:rsidR="000442A4" w:rsidRPr="004F0D61" w:rsidRDefault="000442A4" w:rsidP="000442A4">
            <w:pPr>
              <w:jc w:val="center"/>
              <w:rPr>
                <w:sz w:val="16"/>
                <w:szCs w:val="16"/>
                <w:lang w:val="uk-UA"/>
              </w:rPr>
            </w:pPr>
            <w:r w:rsidRPr="004F0D61">
              <w:rPr>
                <w:sz w:val="16"/>
                <w:szCs w:val="16"/>
              </w:rPr>
              <w:t>0.65</w:t>
            </w:r>
          </w:p>
        </w:tc>
        <w:tc>
          <w:tcPr>
            <w:tcW w:w="583" w:type="dxa"/>
            <w:tcBorders>
              <w:left w:val="nil"/>
              <w:right w:val="nil"/>
            </w:tcBorders>
          </w:tcPr>
          <w:p w14:paraId="457D2AE1" w14:textId="3489179B" w:rsidR="000442A4" w:rsidRPr="004F0D61" w:rsidRDefault="000442A4" w:rsidP="000442A4">
            <w:pPr>
              <w:jc w:val="center"/>
              <w:rPr>
                <w:sz w:val="16"/>
                <w:szCs w:val="16"/>
              </w:rPr>
            </w:pPr>
            <w:r w:rsidRPr="004F0D61">
              <w:rPr>
                <w:sz w:val="16"/>
                <w:szCs w:val="16"/>
              </w:rPr>
              <w:t>0.64</w:t>
            </w:r>
          </w:p>
        </w:tc>
        <w:tc>
          <w:tcPr>
            <w:tcW w:w="582" w:type="dxa"/>
            <w:tcBorders>
              <w:left w:val="nil"/>
              <w:right w:val="nil"/>
            </w:tcBorders>
            <w:shd w:val="clear" w:color="auto" w:fill="E2EFD9" w:themeFill="accent6" w:themeFillTint="33"/>
          </w:tcPr>
          <w:p w14:paraId="7DA92CB1" w14:textId="6D24F5AD" w:rsidR="000442A4" w:rsidRPr="004F0D61" w:rsidRDefault="000442A4" w:rsidP="000442A4">
            <w:pPr>
              <w:jc w:val="center"/>
              <w:rPr>
                <w:sz w:val="16"/>
                <w:szCs w:val="16"/>
              </w:rPr>
            </w:pPr>
            <w:r w:rsidRPr="004F0D61">
              <w:rPr>
                <w:sz w:val="16"/>
                <w:szCs w:val="16"/>
              </w:rPr>
              <w:t>0.53</w:t>
            </w:r>
          </w:p>
        </w:tc>
        <w:tc>
          <w:tcPr>
            <w:tcW w:w="583" w:type="dxa"/>
            <w:tcBorders>
              <w:left w:val="nil"/>
              <w:right w:val="nil"/>
            </w:tcBorders>
            <w:shd w:val="clear" w:color="auto" w:fill="FFF2CC" w:themeFill="accent4" w:themeFillTint="33"/>
          </w:tcPr>
          <w:p w14:paraId="0D00CACE" w14:textId="20B369FC" w:rsidR="000442A4" w:rsidRPr="004F0D61" w:rsidRDefault="000442A4" w:rsidP="000442A4">
            <w:pPr>
              <w:jc w:val="center"/>
              <w:rPr>
                <w:sz w:val="16"/>
                <w:szCs w:val="16"/>
              </w:rPr>
            </w:pPr>
            <w:r w:rsidRPr="004F0D61">
              <w:rPr>
                <w:sz w:val="16"/>
                <w:szCs w:val="16"/>
              </w:rPr>
              <w:t>0.54</w:t>
            </w:r>
          </w:p>
        </w:tc>
        <w:tc>
          <w:tcPr>
            <w:tcW w:w="895" w:type="dxa"/>
            <w:tcBorders>
              <w:left w:val="nil"/>
              <w:right w:val="single" w:sz="12" w:space="0" w:color="auto"/>
            </w:tcBorders>
            <w:shd w:val="clear" w:color="auto" w:fill="D9E2F3" w:themeFill="accent1" w:themeFillTint="33"/>
          </w:tcPr>
          <w:p w14:paraId="5C8AE916" w14:textId="1A69CBC3" w:rsidR="000442A4" w:rsidRPr="004F0D61" w:rsidRDefault="000442A4" w:rsidP="000442A4">
            <w:pPr>
              <w:jc w:val="center"/>
              <w:rPr>
                <w:sz w:val="16"/>
                <w:szCs w:val="16"/>
                <w:lang w:val="uk-UA"/>
              </w:rPr>
            </w:pPr>
            <w:r w:rsidRPr="004F0D61">
              <w:rPr>
                <w:sz w:val="16"/>
                <w:szCs w:val="16"/>
              </w:rPr>
              <w:t>0.61</w:t>
            </w:r>
            <w:r w:rsidRPr="004F0D61">
              <w:rPr>
                <w:sz w:val="16"/>
                <w:szCs w:val="16"/>
                <w:vertAlign w:val="superscript"/>
              </w:rPr>
              <w:t>***</w:t>
            </w:r>
          </w:p>
        </w:tc>
        <w:tc>
          <w:tcPr>
            <w:tcW w:w="584" w:type="dxa"/>
            <w:tcBorders>
              <w:left w:val="single" w:sz="12" w:space="0" w:color="auto"/>
              <w:right w:val="nil"/>
            </w:tcBorders>
            <w:shd w:val="clear" w:color="auto" w:fill="FBE4D5" w:themeFill="accent2" w:themeFillTint="33"/>
          </w:tcPr>
          <w:p w14:paraId="4E36DF52" w14:textId="291C278E" w:rsidR="000442A4" w:rsidRPr="004F0D61" w:rsidRDefault="000442A4" w:rsidP="000442A4">
            <w:pPr>
              <w:jc w:val="center"/>
              <w:rPr>
                <w:sz w:val="16"/>
                <w:szCs w:val="16"/>
                <w:lang w:val="uk-UA"/>
              </w:rPr>
            </w:pPr>
            <w:r w:rsidRPr="004F0D61">
              <w:rPr>
                <w:sz w:val="16"/>
                <w:szCs w:val="16"/>
              </w:rPr>
              <w:t>0.65</w:t>
            </w:r>
          </w:p>
        </w:tc>
        <w:tc>
          <w:tcPr>
            <w:tcW w:w="584" w:type="dxa"/>
            <w:tcBorders>
              <w:left w:val="nil"/>
              <w:right w:val="nil"/>
            </w:tcBorders>
          </w:tcPr>
          <w:p w14:paraId="036FC5C9" w14:textId="076B43E6" w:rsidR="000442A4" w:rsidRPr="004F0D61" w:rsidRDefault="000442A4" w:rsidP="000442A4">
            <w:pPr>
              <w:jc w:val="center"/>
              <w:rPr>
                <w:sz w:val="16"/>
                <w:szCs w:val="16"/>
              </w:rPr>
            </w:pPr>
            <w:r w:rsidRPr="004F0D61">
              <w:rPr>
                <w:sz w:val="16"/>
                <w:szCs w:val="16"/>
              </w:rPr>
              <w:t>0.62</w:t>
            </w:r>
          </w:p>
        </w:tc>
        <w:tc>
          <w:tcPr>
            <w:tcW w:w="584" w:type="dxa"/>
            <w:tcBorders>
              <w:left w:val="nil"/>
              <w:right w:val="nil"/>
            </w:tcBorders>
            <w:shd w:val="clear" w:color="auto" w:fill="E2EFD9" w:themeFill="accent6" w:themeFillTint="33"/>
          </w:tcPr>
          <w:p w14:paraId="43A97538" w14:textId="35BEF4F6" w:rsidR="000442A4" w:rsidRPr="004F0D61" w:rsidRDefault="000442A4" w:rsidP="000442A4">
            <w:pPr>
              <w:jc w:val="center"/>
              <w:rPr>
                <w:sz w:val="16"/>
                <w:szCs w:val="16"/>
              </w:rPr>
            </w:pPr>
            <w:r w:rsidRPr="004F0D61">
              <w:rPr>
                <w:sz w:val="16"/>
                <w:szCs w:val="16"/>
              </w:rPr>
              <w:t>0.55</w:t>
            </w:r>
          </w:p>
        </w:tc>
        <w:tc>
          <w:tcPr>
            <w:tcW w:w="584" w:type="dxa"/>
            <w:tcBorders>
              <w:left w:val="nil"/>
              <w:right w:val="nil"/>
            </w:tcBorders>
            <w:shd w:val="clear" w:color="auto" w:fill="FFF2CC" w:themeFill="accent4" w:themeFillTint="33"/>
          </w:tcPr>
          <w:p w14:paraId="3E6E6C48" w14:textId="7AF0DBA8" w:rsidR="000442A4" w:rsidRPr="004F0D61" w:rsidRDefault="000442A4" w:rsidP="000442A4">
            <w:pPr>
              <w:jc w:val="center"/>
              <w:rPr>
                <w:sz w:val="16"/>
                <w:szCs w:val="16"/>
              </w:rPr>
            </w:pPr>
            <w:r w:rsidRPr="004F0D61">
              <w:rPr>
                <w:sz w:val="16"/>
                <w:szCs w:val="16"/>
              </w:rPr>
              <w:t>0.54</w:t>
            </w:r>
          </w:p>
        </w:tc>
        <w:tc>
          <w:tcPr>
            <w:tcW w:w="878" w:type="dxa"/>
            <w:tcBorders>
              <w:left w:val="nil"/>
              <w:right w:val="nil"/>
            </w:tcBorders>
            <w:shd w:val="clear" w:color="auto" w:fill="D9E2F3" w:themeFill="accent1" w:themeFillTint="33"/>
          </w:tcPr>
          <w:p w14:paraId="276886A8" w14:textId="6036DA3C" w:rsidR="000442A4" w:rsidRPr="004F0D61" w:rsidRDefault="000442A4" w:rsidP="000442A4">
            <w:pPr>
              <w:jc w:val="center"/>
              <w:rPr>
                <w:sz w:val="16"/>
                <w:szCs w:val="16"/>
                <w:lang w:val="uk-UA"/>
              </w:rPr>
            </w:pPr>
            <w:r w:rsidRPr="004F0D61">
              <w:rPr>
                <w:sz w:val="16"/>
                <w:szCs w:val="16"/>
              </w:rPr>
              <w:t>0.62</w:t>
            </w:r>
            <w:r w:rsidRPr="004F0D61">
              <w:rPr>
                <w:sz w:val="16"/>
                <w:szCs w:val="16"/>
                <w:vertAlign w:val="superscript"/>
              </w:rPr>
              <w:t>***</w:t>
            </w:r>
          </w:p>
        </w:tc>
        <w:tc>
          <w:tcPr>
            <w:tcW w:w="1230" w:type="dxa"/>
            <w:tcBorders>
              <w:left w:val="nil"/>
              <w:right w:val="nil"/>
            </w:tcBorders>
            <w:shd w:val="clear" w:color="auto" w:fill="auto"/>
          </w:tcPr>
          <w:p w14:paraId="753228C5" w14:textId="129FCB90" w:rsidR="000442A4" w:rsidRPr="004F0D61" w:rsidRDefault="000442A4" w:rsidP="000442A4">
            <w:pPr>
              <w:rPr>
                <w:sz w:val="16"/>
                <w:szCs w:val="16"/>
                <w:lang w:val="uk-UA"/>
              </w:rPr>
            </w:pPr>
            <w:r w:rsidRPr="004F0D61">
              <w:rPr>
                <w:sz w:val="16"/>
                <w:szCs w:val="16"/>
                <w:lang w:val="en-US"/>
              </w:rPr>
              <w:t>Zakrisson-15, Altemeyer-10</w:t>
            </w:r>
          </w:p>
        </w:tc>
      </w:tr>
      <w:tr w:rsidR="00991EC7" w:rsidRPr="004F0D61" w14:paraId="638C02ED" w14:textId="77777777" w:rsidTr="00315A2A">
        <w:trPr>
          <w:cantSplit/>
          <w:trHeight w:val="378"/>
        </w:trPr>
        <w:tc>
          <w:tcPr>
            <w:tcW w:w="568" w:type="dxa"/>
            <w:tcBorders>
              <w:left w:val="nil"/>
              <w:right w:val="nil"/>
            </w:tcBorders>
            <w:shd w:val="clear" w:color="auto" w:fill="auto"/>
          </w:tcPr>
          <w:p w14:paraId="2C699A25" w14:textId="394C242F" w:rsidR="000442A4" w:rsidRPr="004F0D61" w:rsidRDefault="000442A4" w:rsidP="00270D6E">
            <w:pPr>
              <w:snapToGrid w:val="0"/>
              <w:ind w:right="-107"/>
              <w:rPr>
                <w:rFonts w:cs="Arial"/>
                <w:b/>
                <w:bCs/>
                <w:sz w:val="16"/>
                <w:szCs w:val="16"/>
                <w:lang w:val="uk-UA"/>
              </w:rPr>
            </w:pPr>
            <w:r w:rsidRPr="004F0D61">
              <w:rPr>
                <w:rFonts w:cs="Arial"/>
                <w:b/>
                <w:bCs/>
                <w:sz w:val="16"/>
                <w:szCs w:val="16"/>
                <w:lang w:val="uk-UA"/>
              </w:rPr>
              <w:t>rwa13</w:t>
            </w:r>
          </w:p>
        </w:tc>
        <w:tc>
          <w:tcPr>
            <w:tcW w:w="2183" w:type="dxa"/>
            <w:tcBorders>
              <w:left w:val="nil"/>
              <w:right w:val="nil"/>
            </w:tcBorders>
          </w:tcPr>
          <w:p w14:paraId="24EF5947" w14:textId="5F3EE703" w:rsidR="000442A4" w:rsidRPr="004F0D61" w:rsidRDefault="000442A4" w:rsidP="00270D6E">
            <w:pPr>
              <w:ind w:left="-112"/>
              <w:rPr>
                <w:b/>
                <w:bCs/>
                <w:sz w:val="16"/>
                <w:szCs w:val="16"/>
                <w:lang w:val="uk-UA"/>
              </w:rPr>
            </w:pPr>
            <w:r w:rsidRPr="004F0D61">
              <w:rPr>
                <w:b/>
                <w:bCs/>
                <w:sz w:val="16"/>
                <w:szCs w:val="16"/>
                <w:lang w:val="en-US"/>
              </w:rPr>
              <w:t>You have to admire those who challenged the law and the majority’s view by protesting for women’s abortion rights, for animal rights, or to abolish school prayer</w:t>
            </w:r>
          </w:p>
        </w:tc>
        <w:tc>
          <w:tcPr>
            <w:tcW w:w="583" w:type="dxa"/>
            <w:tcBorders>
              <w:left w:val="nil"/>
              <w:right w:val="nil"/>
            </w:tcBorders>
            <w:shd w:val="clear" w:color="auto" w:fill="FBE4D5" w:themeFill="accent2" w:themeFillTint="33"/>
          </w:tcPr>
          <w:p w14:paraId="0A98D490" w14:textId="08447A1B" w:rsidR="000442A4" w:rsidRPr="004F0D61" w:rsidRDefault="000442A4" w:rsidP="000442A4">
            <w:pPr>
              <w:jc w:val="center"/>
              <w:rPr>
                <w:b/>
                <w:bCs/>
                <w:sz w:val="16"/>
                <w:szCs w:val="16"/>
                <w:lang w:val="uk-UA"/>
              </w:rPr>
            </w:pPr>
            <w:r w:rsidRPr="004F0D61">
              <w:rPr>
                <w:sz w:val="16"/>
                <w:szCs w:val="16"/>
              </w:rPr>
              <w:t>0.63</w:t>
            </w:r>
          </w:p>
        </w:tc>
        <w:tc>
          <w:tcPr>
            <w:tcW w:w="583" w:type="dxa"/>
            <w:tcBorders>
              <w:left w:val="nil"/>
              <w:right w:val="nil"/>
            </w:tcBorders>
          </w:tcPr>
          <w:p w14:paraId="32546102" w14:textId="71F768A3" w:rsidR="000442A4" w:rsidRPr="004F0D61" w:rsidRDefault="000442A4" w:rsidP="000442A4">
            <w:pPr>
              <w:jc w:val="center"/>
              <w:rPr>
                <w:sz w:val="16"/>
                <w:szCs w:val="16"/>
              </w:rPr>
            </w:pPr>
            <w:r w:rsidRPr="004F0D61">
              <w:rPr>
                <w:sz w:val="16"/>
                <w:szCs w:val="16"/>
              </w:rPr>
              <w:t>0.66</w:t>
            </w:r>
          </w:p>
        </w:tc>
        <w:tc>
          <w:tcPr>
            <w:tcW w:w="582" w:type="dxa"/>
            <w:tcBorders>
              <w:left w:val="nil"/>
              <w:right w:val="nil"/>
            </w:tcBorders>
            <w:shd w:val="clear" w:color="auto" w:fill="E2EFD9" w:themeFill="accent6" w:themeFillTint="33"/>
          </w:tcPr>
          <w:p w14:paraId="391FA714" w14:textId="02945983" w:rsidR="000442A4" w:rsidRPr="004F0D61" w:rsidRDefault="000442A4" w:rsidP="000442A4">
            <w:pPr>
              <w:jc w:val="center"/>
              <w:rPr>
                <w:sz w:val="16"/>
                <w:szCs w:val="16"/>
              </w:rPr>
            </w:pPr>
            <w:r w:rsidRPr="004F0D61">
              <w:rPr>
                <w:sz w:val="16"/>
                <w:szCs w:val="16"/>
              </w:rPr>
              <w:t>0.53</w:t>
            </w:r>
          </w:p>
        </w:tc>
        <w:tc>
          <w:tcPr>
            <w:tcW w:w="583" w:type="dxa"/>
            <w:tcBorders>
              <w:left w:val="nil"/>
              <w:right w:val="nil"/>
            </w:tcBorders>
            <w:shd w:val="clear" w:color="auto" w:fill="FFF2CC" w:themeFill="accent4" w:themeFillTint="33"/>
          </w:tcPr>
          <w:p w14:paraId="71178137" w14:textId="72F95DA4" w:rsidR="000442A4" w:rsidRPr="004F0D61" w:rsidRDefault="000442A4" w:rsidP="000442A4">
            <w:pPr>
              <w:jc w:val="center"/>
              <w:rPr>
                <w:sz w:val="16"/>
                <w:szCs w:val="16"/>
              </w:rPr>
            </w:pPr>
            <w:r w:rsidRPr="004F0D61">
              <w:rPr>
                <w:sz w:val="16"/>
                <w:szCs w:val="16"/>
              </w:rPr>
              <w:t>0.55</w:t>
            </w:r>
          </w:p>
        </w:tc>
        <w:tc>
          <w:tcPr>
            <w:tcW w:w="895" w:type="dxa"/>
            <w:tcBorders>
              <w:left w:val="nil"/>
              <w:right w:val="single" w:sz="12" w:space="0" w:color="auto"/>
            </w:tcBorders>
            <w:shd w:val="clear" w:color="auto" w:fill="D9E2F3" w:themeFill="accent1" w:themeFillTint="33"/>
          </w:tcPr>
          <w:p w14:paraId="658C88CE" w14:textId="67BABF52" w:rsidR="000442A4" w:rsidRPr="004F0D61" w:rsidRDefault="000442A4" w:rsidP="000442A4">
            <w:pPr>
              <w:jc w:val="center"/>
              <w:rPr>
                <w:b/>
                <w:bCs/>
                <w:sz w:val="16"/>
                <w:szCs w:val="16"/>
                <w:lang w:val="uk-UA"/>
              </w:rPr>
            </w:pPr>
            <w:r w:rsidRPr="004F0D61">
              <w:rPr>
                <w:sz w:val="16"/>
                <w:szCs w:val="16"/>
              </w:rPr>
              <w:t>0.47</w:t>
            </w:r>
            <w:r w:rsidRPr="004F0D61">
              <w:rPr>
                <w:sz w:val="16"/>
                <w:szCs w:val="16"/>
                <w:vertAlign w:val="superscript"/>
              </w:rPr>
              <w:t>***</w:t>
            </w:r>
          </w:p>
        </w:tc>
        <w:tc>
          <w:tcPr>
            <w:tcW w:w="584" w:type="dxa"/>
            <w:tcBorders>
              <w:left w:val="single" w:sz="12" w:space="0" w:color="auto"/>
              <w:right w:val="nil"/>
            </w:tcBorders>
            <w:shd w:val="clear" w:color="auto" w:fill="FBE4D5" w:themeFill="accent2" w:themeFillTint="33"/>
          </w:tcPr>
          <w:p w14:paraId="7995B2A7" w14:textId="2BBCD7E8" w:rsidR="000442A4" w:rsidRPr="004F0D61" w:rsidRDefault="000442A4" w:rsidP="000442A4">
            <w:pPr>
              <w:jc w:val="center"/>
              <w:rPr>
                <w:b/>
                <w:bCs/>
                <w:sz w:val="16"/>
                <w:szCs w:val="16"/>
                <w:lang w:val="uk-UA"/>
              </w:rPr>
            </w:pPr>
            <w:r w:rsidRPr="004F0D61">
              <w:rPr>
                <w:sz w:val="16"/>
                <w:szCs w:val="16"/>
              </w:rPr>
              <w:t>0.69</w:t>
            </w:r>
          </w:p>
        </w:tc>
        <w:tc>
          <w:tcPr>
            <w:tcW w:w="584" w:type="dxa"/>
            <w:tcBorders>
              <w:left w:val="nil"/>
              <w:right w:val="nil"/>
            </w:tcBorders>
          </w:tcPr>
          <w:p w14:paraId="057D42CA" w14:textId="79FC98B3" w:rsidR="000442A4" w:rsidRPr="004F0D61" w:rsidRDefault="000442A4" w:rsidP="000442A4">
            <w:pPr>
              <w:jc w:val="center"/>
              <w:rPr>
                <w:sz w:val="16"/>
                <w:szCs w:val="16"/>
              </w:rPr>
            </w:pPr>
            <w:r w:rsidRPr="004F0D61">
              <w:rPr>
                <w:sz w:val="16"/>
                <w:szCs w:val="16"/>
              </w:rPr>
              <w:t>0.8</w:t>
            </w:r>
          </w:p>
        </w:tc>
        <w:tc>
          <w:tcPr>
            <w:tcW w:w="584" w:type="dxa"/>
            <w:tcBorders>
              <w:left w:val="nil"/>
              <w:right w:val="nil"/>
            </w:tcBorders>
            <w:shd w:val="clear" w:color="auto" w:fill="E2EFD9" w:themeFill="accent6" w:themeFillTint="33"/>
          </w:tcPr>
          <w:p w14:paraId="1DA15471" w14:textId="134F153C" w:rsidR="000442A4" w:rsidRPr="004F0D61" w:rsidRDefault="000442A4" w:rsidP="000442A4">
            <w:pPr>
              <w:jc w:val="center"/>
              <w:rPr>
                <w:sz w:val="16"/>
                <w:szCs w:val="16"/>
              </w:rPr>
            </w:pPr>
            <w:r w:rsidRPr="004F0D61">
              <w:rPr>
                <w:sz w:val="16"/>
                <w:szCs w:val="16"/>
              </w:rPr>
              <w:t>0.63</w:t>
            </w:r>
          </w:p>
        </w:tc>
        <w:tc>
          <w:tcPr>
            <w:tcW w:w="584" w:type="dxa"/>
            <w:tcBorders>
              <w:left w:val="nil"/>
              <w:right w:val="nil"/>
            </w:tcBorders>
            <w:shd w:val="clear" w:color="auto" w:fill="FFF2CC" w:themeFill="accent4" w:themeFillTint="33"/>
          </w:tcPr>
          <w:p w14:paraId="11FA1BDE" w14:textId="601F7EF5" w:rsidR="000442A4" w:rsidRPr="004F0D61" w:rsidRDefault="000442A4" w:rsidP="000442A4">
            <w:pPr>
              <w:jc w:val="center"/>
              <w:rPr>
                <w:sz w:val="16"/>
                <w:szCs w:val="16"/>
              </w:rPr>
            </w:pPr>
            <w:r w:rsidRPr="004F0D61">
              <w:rPr>
                <w:sz w:val="16"/>
                <w:szCs w:val="16"/>
              </w:rPr>
              <w:t>0.75</w:t>
            </w:r>
          </w:p>
        </w:tc>
        <w:tc>
          <w:tcPr>
            <w:tcW w:w="878" w:type="dxa"/>
            <w:tcBorders>
              <w:left w:val="nil"/>
              <w:right w:val="nil"/>
            </w:tcBorders>
            <w:shd w:val="clear" w:color="auto" w:fill="D9E2F3" w:themeFill="accent1" w:themeFillTint="33"/>
          </w:tcPr>
          <w:p w14:paraId="2FD9839A" w14:textId="335F1F5E" w:rsidR="000442A4" w:rsidRPr="004F0D61" w:rsidRDefault="000442A4" w:rsidP="000442A4">
            <w:pPr>
              <w:jc w:val="center"/>
              <w:rPr>
                <w:b/>
                <w:bCs/>
                <w:sz w:val="16"/>
                <w:szCs w:val="16"/>
                <w:lang w:val="uk-UA"/>
              </w:rPr>
            </w:pPr>
            <w:r w:rsidRPr="004F0D61">
              <w:rPr>
                <w:sz w:val="16"/>
                <w:szCs w:val="16"/>
              </w:rPr>
              <w:t>0.42</w:t>
            </w:r>
            <w:r w:rsidRPr="004F0D61">
              <w:rPr>
                <w:sz w:val="16"/>
                <w:szCs w:val="16"/>
                <w:vertAlign w:val="superscript"/>
              </w:rPr>
              <w:t>***</w:t>
            </w:r>
          </w:p>
        </w:tc>
        <w:tc>
          <w:tcPr>
            <w:tcW w:w="1230" w:type="dxa"/>
            <w:tcBorders>
              <w:left w:val="nil"/>
              <w:right w:val="nil"/>
            </w:tcBorders>
            <w:shd w:val="clear" w:color="auto" w:fill="auto"/>
          </w:tcPr>
          <w:p w14:paraId="6A4B3DBA" w14:textId="1751072A" w:rsidR="000442A4" w:rsidRPr="004F0D61" w:rsidRDefault="000442A4" w:rsidP="000442A4">
            <w:pPr>
              <w:rPr>
                <w:b/>
                <w:bCs/>
                <w:sz w:val="16"/>
                <w:szCs w:val="16"/>
                <w:lang w:val="uk-UA"/>
              </w:rPr>
            </w:pPr>
            <w:r w:rsidRPr="004F0D61">
              <w:rPr>
                <w:sz w:val="16"/>
                <w:szCs w:val="16"/>
                <w:lang w:val="en-US"/>
              </w:rPr>
              <w:t>Altemeyer-10</w:t>
            </w:r>
          </w:p>
        </w:tc>
      </w:tr>
      <w:tr w:rsidR="00991EC7" w:rsidRPr="004F0D61" w14:paraId="022C378A" w14:textId="77777777" w:rsidTr="00315A2A">
        <w:trPr>
          <w:cantSplit/>
          <w:trHeight w:val="378"/>
        </w:trPr>
        <w:tc>
          <w:tcPr>
            <w:tcW w:w="568" w:type="dxa"/>
            <w:tcBorders>
              <w:left w:val="nil"/>
              <w:bottom w:val="single" w:sz="4" w:space="0" w:color="auto"/>
              <w:right w:val="nil"/>
            </w:tcBorders>
            <w:shd w:val="clear" w:color="auto" w:fill="auto"/>
          </w:tcPr>
          <w:p w14:paraId="43ED8391" w14:textId="3891DB25" w:rsidR="000442A4" w:rsidRPr="004F0D61" w:rsidRDefault="000442A4" w:rsidP="00270D6E">
            <w:pPr>
              <w:snapToGrid w:val="0"/>
              <w:ind w:right="-107"/>
              <w:rPr>
                <w:rFonts w:cs="Arial"/>
                <w:b/>
                <w:bCs/>
                <w:sz w:val="16"/>
                <w:szCs w:val="16"/>
                <w:lang w:val="uk-UA"/>
              </w:rPr>
            </w:pPr>
            <w:r w:rsidRPr="004F0D61">
              <w:rPr>
                <w:rFonts w:cs="Arial"/>
                <w:b/>
                <w:bCs/>
                <w:sz w:val="16"/>
                <w:szCs w:val="16"/>
                <w:lang w:val="uk-UA"/>
              </w:rPr>
              <w:t>rwa15</w:t>
            </w:r>
          </w:p>
        </w:tc>
        <w:tc>
          <w:tcPr>
            <w:tcW w:w="2183" w:type="dxa"/>
            <w:tcBorders>
              <w:left w:val="nil"/>
              <w:bottom w:val="single" w:sz="4" w:space="0" w:color="auto"/>
              <w:right w:val="nil"/>
            </w:tcBorders>
          </w:tcPr>
          <w:p w14:paraId="2B6E8D2C" w14:textId="7928C995" w:rsidR="000442A4" w:rsidRPr="004F0D61" w:rsidRDefault="000442A4" w:rsidP="00270D6E">
            <w:pPr>
              <w:ind w:left="-112"/>
              <w:rPr>
                <w:b/>
                <w:bCs/>
                <w:sz w:val="16"/>
                <w:szCs w:val="16"/>
                <w:lang w:val="en-US"/>
              </w:rPr>
            </w:pPr>
            <w:r w:rsidRPr="004F0D61">
              <w:rPr>
                <w:b/>
                <w:bCs/>
                <w:sz w:val="16"/>
                <w:szCs w:val="16"/>
                <w:lang w:val="en-US"/>
              </w:rPr>
              <w:t>Some of the best people in our country are those who are challenging our government, criticizing religion, and ignoring the “normal way things are supposed to be done.”</w:t>
            </w:r>
          </w:p>
        </w:tc>
        <w:tc>
          <w:tcPr>
            <w:tcW w:w="583" w:type="dxa"/>
            <w:tcBorders>
              <w:left w:val="nil"/>
              <w:bottom w:val="single" w:sz="4" w:space="0" w:color="auto"/>
              <w:right w:val="nil"/>
            </w:tcBorders>
            <w:shd w:val="clear" w:color="auto" w:fill="FBE4D5" w:themeFill="accent2" w:themeFillTint="33"/>
          </w:tcPr>
          <w:p w14:paraId="192909C1" w14:textId="00F7D131" w:rsidR="000442A4" w:rsidRPr="004F0D61" w:rsidRDefault="000442A4" w:rsidP="000442A4">
            <w:pPr>
              <w:jc w:val="center"/>
              <w:rPr>
                <w:b/>
                <w:bCs/>
                <w:sz w:val="16"/>
                <w:szCs w:val="16"/>
                <w:lang w:val="uk-UA"/>
              </w:rPr>
            </w:pPr>
            <w:r w:rsidRPr="004F0D61">
              <w:rPr>
                <w:sz w:val="16"/>
                <w:szCs w:val="16"/>
              </w:rPr>
              <w:t>0.41</w:t>
            </w:r>
          </w:p>
        </w:tc>
        <w:tc>
          <w:tcPr>
            <w:tcW w:w="583" w:type="dxa"/>
            <w:tcBorders>
              <w:left w:val="nil"/>
              <w:bottom w:val="single" w:sz="4" w:space="0" w:color="auto"/>
              <w:right w:val="nil"/>
            </w:tcBorders>
          </w:tcPr>
          <w:p w14:paraId="6F197F17" w14:textId="3E039D0A" w:rsidR="000442A4" w:rsidRPr="004F0D61" w:rsidRDefault="000442A4" w:rsidP="000442A4">
            <w:pPr>
              <w:jc w:val="center"/>
              <w:rPr>
                <w:sz w:val="16"/>
                <w:szCs w:val="16"/>
              </w:rPr>
            </w:pPr>
            <w:r w:rsidRPr="004F0D61">
              <w:rPr>
                <w:sz w:val="16"/>
                <w:szCs w:val="16"/>
              </w:rPr>
              <w:t>0.48</w:t>
            </w:r>
          </w:p>
        </w:tc>
        <w:tc>
          <w:tcPr>
            <w:tcW w:w="582" w:type="dxa"/>
            <w:tcBorders>
              <w:left w:val="nil"/>
              <w:bottom w:val="single" w:sz="4" w:space="0" w:color="auto"/>
              <w:right w:val="nil"/>
            </w:tcBorders>
            <w:shd w:val="clear" w:color="auto" w:fill="E2EFD9" w:themeFill="accent6" w:themeFillTint="33"/>
          </w:tcPr>
          <w:p w14:paraId="2C55487B" w14:textId="08B3769C" w:rsidR="000442A4" w:rsidRPr="004F0D61" w:rsidRDefault="000442A4" w:rsidP="000442A4">
            <w:pPr>
              <w:jc w:val="center"/>
              <w:rPr>
                <w:sz w:val="16"/>
                <w:szCs w:val="16"/>
              </w:rPr>
            </w:pPr>
            <w:r w:rsidRPr="004F0D61">
              <w:rPr>
                <w:sz w:val="16"/>
                <w:szCs w:val="16"/>
              </w:rPr>
              <w:t>0.30</w:t>
            </w:r>
          </w:p>
        </w:tc>
        <w:tc>
          <w:tcPr>
            <w:tcW w:w="583" w:type="dxa"/>
            <w:tcBorders>
              <w:left w:val="nil"/>
              <w:bottom w:val="single" w:sz="4" w:space="0" w:color="auto"/>
              <w:right w:val="nil"/>
            </w:tcBorders>
            <w:shd w:val="clear" w:color="auto" w:fill="FFF2CC" w:themeFill="accent4" w:themeFillTint="33"/>
          </w:tcPr>
          <w:p w14:paraId="69DAA7FD" w14:textId="4D1F0186" w:rsidR="000442A4" w:rsidRPr="004F0D61" w:rsidRDefault="000442A4" w:rsidP="000442A4">
            <w:pPr>
              <w:jc w:val="center"/>
              <w:rPr>
                <w:sz w:val="16"/>
                <w:szCs w:val="16"/>
              </w:rPr>
            </w:pPr>
            <w:r w:rsidRPr="004F0D61">
              <w:rPr>
                <w:sz w:val="16"/>
                <w:szCs w:val="16"/>
              </w:rPr>
              <w:t>0.36</w:t>
            </w:r>
          </w:p>
        </w:tc>
        <w:tc>
          <w:tcPr>
            <w:tcW w:w="895" w:type="dxa"/>
            <w:tcBorders>
              <w:left w:val="nil"/>
              <w:bottom w:val="single" w:sz="4" w:space="0" w:color="auto"/>
              <w:right w:val="single" w:sz="12" w:space="0" w:color="auto"/>
            </w:tcBorders>
            <w:shd w:val="clear" w:color="auto" w:fill="D9E2F3" w:themeFill="accent1" w:themeFillTint="33"/>
          </w:tcPr>
          <w:p w14:paraId="2B731C2E" w14:textId="01BF4D48" w:rsidR="000442A4" w:rsidRPr="004F0D61" w:rsidRDefault="000442A4" w:rsidP="000442A4">
            <w:pPr>
              <w:jc w:val="center"/>
              <w:rPr>
                <w:b/>
                <w:bCs/>
                <w:sz w:val="16"/>
                <w:szCs w:val="16"/>
                <w:lang w:val="uk-UA"/>
              </w:rPr>
            </w:pPr>
            <w:r w:rsidRPr="004F0D61">
              <w:rPr>
                <w:sz w:val="16"/>
                <w:szCs w:val="16"/>
              </w:rPr>
              <w:t>0.40</w:t>
            </w:r>
            <w:r w:rsidRPr="004F0D61">
              <w:rPr>
                <w:sz w:val="16"/>
                <w:szCs w:val="16"/>
                <w:vertAlign w:val="superscript"/>
              </w:rPr>
              <w:t>***</w:t>
            </w:r>
          </w:p>
        </w:tc>
        <w:tc>
          <w:tcPr>
            <w:tcW w:w="584" w:type="dxa"/>
            <w:tcBorders>
              <w:left w:val="single" w:sz="12" w:space="0" w:color="auto"/>
              <w:bottom w:val="single" w:sz="4" w:space="0" w:color="auto"/>
              <w:right w:val="nil"/>
            </w:tcBorders>
            <w:shd w:val="clear" w:color="auto" w:fill="FBE4D5" w:themeFill="accent2" w:themeFillTint="33"/>
          </w:tcPr>
          <w:p w14:paraId="01364817" w14:textId="36255F34" w:rsidR="000442A4" w:rsidRPr="004F0D61" w:rsidRDefault="000442A4" w:rsidP="000442A4">
            <w:pPr>
              <w:jc w:val="center"/>
              <w:rPr>
                <w:b/>
                <w:bCs/>
                <w:sz w:val="16"/>
                <w:szCs w:val="16"/>
                <w:lang w:val="uk-UA"/>
              </w:rPr>
            </w:pPr>
            <w:r w:rsidRPr="004F0D61">
              <w:rPr>
                <w:sz w:val="16"/>
                <w:szCs w:val="16"/>
              </w:rPr>
              <w:t>0.4</w:t>
            </w:r>
          </w:p>
        </w:tc>
        <w:tc>
          <w:tcPr>
            <w:tcW w:w="584" w:type="dxa"/>
            <w:tcBorders>
              <w:left w:val="nil"/>
              <w:bottom w:val="single" w:sz="4" w:space="0" w:color="auto"/>
              <w:right w:val="nil"/>
            </w:tcBorders>
          </w:tcPr>
          <w:p w14:paraId="7AA851C8" w14:textId="0B9EBCE0" w:rsidR="000442A4" w:rsidRPr="004F0D61" w:rsidRDefault="000442A4" w:rsidP="000442A4">
            <w:pPr>
              <w:jc w:val="center"/>
              <w:rPr>
                <w:sz w:val="16"/>
                <w:szCs w:val="16"/>
              </w:rPr>
            </w:pPr>
            <w:r w:rsidRPr="004F0D61">
              <w:rPr>
                <w:sz w:val="16"/>
                <w:szCs w:val="16"/>
              </w:rPr>
              <w:t>0.54</w:t>
            </w:r>
          </w:p>
        </w:tc>
        <w:tc>
          <w:tcPr>
            <w:tcW w:w="584" w:type="dxa"/>
            <w:tcBorders>
              <w:left w:val="nil"/>
              <w:bottom w:val="single" w:sz="4" w:space="0" w:color="auto"/>
              <w:right w:val="nil"/>
            </w:tcBorders>
            <w:shd w:val="clear" w:color="auto" w:fill="E2EFD9" w:themeFill="accent6" w:themeFillTint="33"/>
          </w:tcPr>
          <w:p w14:paraId="1055A67D" w14:textId="62A8C426" w:rsidR="000442A4" w:rsidRPr="004F0D61" w:rsidRDefault="000442A4" w:rsidP="000442A4">
            <w:pPr>
              <w:jc w:val="center"/>
              <w:rPr>
                <w:sz w:val="16"/>
                <w:szCs w:val="16"/>
              </w:rPr>
            </w:pPr>
            <w:r w:rsidRPr="004F0D61">
              <w:rPr>
                <w:sz w:val="16"/>
                <w:szCs w:val="16"/>
              </w:rPr>
              <w:t>0.29</w:t>
            </w:r>
          </w:p>
        </w:tc>
        <w:tc>
          <w:tcPr>
            <w:tcW w:w="584" w:type="dxa"/>
            <w:tcBorders>
              <w:left w:val="nil"/>
              <w:bottom w:val="single" w:sz="4" w:space="0" w:color="auto"/>
              <w:right w:val="nil"/>
            </w:tcBorders>
            <w:shd w:val="clear" w:color="auto" w:fill="FFF2CC" w:themeFill="accent4" w:themeFillTint="33"/>
          </w:tcPr>
          <w:p w14:paraId="3E67240E" w14:textId="176A534D" w:rsidR="000442A4" w:rsidRPr="004F0D61" w:rsidRDefault="000442A4" w:rsidP="000442A4">
            <w:pPr>
              <w:jc w:val="center"/>
              <w:rPr>
                <w:sz w:val="16"/>
                <w:szCs w:val="16"/>
              </w:rPr>
            </w:pPr>
            <w:r w:rsidRPr="004F0D61">
              <w:rPr>
                <w:sz w:val="16"/>
                <w:szCs w:val="16"/>
              </w:rPr>
              <w:t>0.46</w:t>
            </w:r>
          </w:p>
        </w:tc>
        <w:tc>
          <w:tcPr>
            <w:tcW w:w="878" w:type="dxa"/>
            <w:tcBorders>
              <w:left w:val="nil"/>
              <w:bottom w:val="single" w:sz="4" w:space="0" w:color="auto"/>
              <w:right w:val="nil"/>
            </w:tcBorders>
            <w:shd w:val="clear" w:color="auto" w:fill="D9E2F3" w:themeFill="accent1" w:themeFillTint="33"/>
          </w:tcPr>
          <w:p w14:paraId="3F689AB7" w14:textId="20F16926" w:rsidR="000442A4" w:rsidRPr="004F0D61" w:rsidRDefault="000442A4" w:rsidP="000442A4">
            <w:pPr>
              <w:jc w:val="center"/>
              <w:rPr>
                <w:b/>
                <w:bCs/>
                <w:sz w:val="16"/>
                <w:szCs w:val="16"/>
                <w:lang w:val="uk-UA"/>
              </w:rPr>
            </w:pPr>
            <w:r w:rsidRPr="004F0D61">
              <w:rPr>
                <w:sz w:val="16"/>
                <w:szCs w:val="16"/>
              </w:rPr>
              <w:t>0.39</w:t>
            </w:r>
            <w:r w:rsidRPr="004F0D61">
              <w:rPr>
                <w:sz w:val="16"/>
                <w:szCs w:val="16"/>
                <w:vertAlign w:val="superscript"/>
              </w:rPr>
              <w:t>***</w:t>
            </w:r>
          </w:p>
        </w:tc>
        <w:tc>
          <w:tcPr>
            <w:tcW w:w="1230" w:type="dxa"/>
            <w:tcBorders>
              <w:left w:val="nil"/>
              <w:bottom w:val="single" w:sz="4" w:space="0" w:color="auto"/>
              <w:right w:val="nil"/>
            </w:tcBorders>
            <w:shd w:val="clear" w:color="auto" w:fill="auto"/>
          </w:tcPr>
          <w:p w14:paraId="09DD199C" w14:textId="453B4F70" w:rsidR="000442A4" w:rsidRPr="004F0D61" w:rsidRDefault="00DB0A3E" w:rsidP="000442A4">
            <w:pPr>
              <w:rPr>
                <w:b/>
                <w:bCs/>
                <w:sz w:val="16"/>
                <w:szCs w:val="16"/>
                <w:lang w:val="uk-UA"/>
              </w:rPr>
            </w:pPr>
            <w:r w:rsidRPr="004F0D61">
              <w:rPr>
                <w:sz w:val="16"/>
                <w:szCs w:val="16"/>
                <w:lang w:val="en-US"/>
              </w:rPr>
              <w:t>Mavor-14</w:t>
            </w:r>
            <w:r w:rsidR="005D2336" w:rsidRPr="004F0D61">
              <w:rPr>
                <w:sz w:val="16"/>
                <w:szCs w:val="16"/>
                <w:lang w:val="en-US"/>
              </w:rPr>
              <w:t>, Zakrisson-15</w:t>
            </w:r>
          </w:p>
        </w:tc>
      </w:tr>
      <w:tr w:rsidR="00991EC7" w:rsidRPr="004F0D61" w14:paraId="079CD160" w14:textId="77777777" w:rsidTr="00315A2A">
        <w:trPr>
          <w:cantSplit/>
          <w:trHeight w:val="378"/>
        </w:trPr>
        <w:tc>
          <w:tcPr>
            <w:tcW w:w="568" w:type="dxa"/>
            <w:tcBorders>
              <w:left w:val="nil"/>
              <w:right w:val="nil"/>
            </w:tcBorders>
            <w:shd w:val="clear" w:color="auto" w:fill="auto"/>
          </w:tcPr>
          <w:p w14:paraId="3696DF46" w14:textId="2AE9B4F7" w:rsidR="000442A4" w:rsidRPr="004F0D61" w:rsidRDefault="000442A4" w:rsidP="00270D6E">
            <w:pPr>
              <w:snapToGrid w:val="0"/>
              <w:ind w:right="-107"/>
              <w:rPr>
                <w:rFonts w:cs="Arial"/>
                <w:sz w:val="16"/>
                <w:szCs w:val="16"/>
                <w:lang w:val="uk-UA"/>
              </w:rPr>
            </w:pPr>
            <w:r w:rsidRPr="004F0D61">
              <w:rPr>
                <w:rFonts w:cs="Arial"/>
                <w:sz w:val="16"/>
                <w:szCs w:val="16"/>
                <w:lang w:val="uk-UA"/>
              </w:rPr>
              <w:t>rwa16</w:t>
            </w:r>
          </w:p>
        </w:tc>
        <w:tc>
          <w:tcPr>
            <w:tcW w:w="2183" w:type="dxa"/>
            <w:tcBorders>
              <w:left w:val="nil"/>
              <w:right w:val="nil"/>
            </w:tcBorders>
          </w:tcPr>
          <w:p w14:paraId="3B47BC19" w14:textId="7CE1D89C" w:rsidR="000442A4" w:rsidRPr="004F0D61" w:rsidRDefault="000442A4" w:rsidP="00270D6E">
            <w:pPr>
              <w:ind w:left="-112"/>
              <w:rPr>
                <w:sz w:val="16"/>
                <w:szCs w:val="16"/>
                <w:lang w:val="uk-UA"/>
              </w:rPr>
            </w:pPr>
            <w:r w:rsidRPr="004F0D61">
              <w:rPr>
                <w:sz w:val="16"/>
                <w:szCs w:val="16"/>
                <w:lang w:val="en-US"/>
              </w:rPr>
              <w:t>God’s laws about abortion, pornography and marriage must be strictly followed before it is too late, and those who break them must be strongly punished</w:t>
            </w:r>
          </w:p>
        </w:tc>
        <w:tc>
          <w:tcPr>
            <w:tcW w:w="583" w:type="dxa"/>
            <w:tcBorders>
              <w:left w:val="nil"/>
              <w:right w:val="nil"/>
            </w:tcBorders>
            <w:shd w:val="clear" w:color="auto" w:fill="FBE4D5" w:themeFill="accent2" w:themeFillTint="33"/>
          </w:tcPr>
          <w:p w14:paraId="6E905A4C" w14:textId="12434912" w:rsidR="000442A4" w:rsidRPr="004F0D61" w:rsidRDefault="000442A4" w:rsidP="000442A4">
            <w:pPr>
              <w:jc w:val="center"/>
              <w:rPr>
                <w:sz w:val="16"/>
                <w:szCs w:val="16"/>
                <w:lang w:val="uk-UA"/>
              </w:rPr>
            </w:pPr>
            <w:r w:rsidRPr="004F0D61">
              <w:rPr>
                <w:sz w:val="16"/>
                <w:szCs w:val="16"/>
              </w:rPr>
              <w:t>0.71</w:t>
            </w:r>
          </w:p>
        </w:tc>
        <w:tc>
          <w:tcPr>
            <w:tcW w:w="583" w:type="dxa"/>
            <w:tcBorders>
              <w:left w:val="nil"/>
              <w:right w:val="nil"/>
            </w:tcBorders>
          </w:tcPr>
          <w:p w14:paraId="2B689365" w14:textId="0E33BA2D" w:rsidR="000442A4" w:rsidRPr="004F0D61" w:rsidRDefault="000442A4" w:rsidP="000442A4">
            <w:pPr>
              <w:jc w:val="center"/>
              <w:rPr>
                <w:sz w:val="16"/>
                <w:szCs w:val="16"/>
              </w:rPr>
            </w:pPr>
            <w:r w:rsidRPr="004F0D61">
              <w:rPr>
                <w:sz w:val="16"/>
                <w:szCs w:val="16"/>
              </w:rPr>
              <w:t>0.68</w:t>
            </w:r>
          </w:p>
        </w:tc>
        <w:tc>
          <w:tcPr>
            <w:tcW w:w="582" w:type="dxa"/>
            <w:tcBorders>
              <w:left w:val="nil"/>
              <w:right w:val="nil"/>
            </w:tcBorders>
            <w:shd w:val="clear" w:color="auto" w:fill="E2EFD9" w:themeFill="accent6" w:themeFillTint="33"/>
          </w:tcPr>
          <w:p w14:paraId="12B9AAFE" w14:textId="25317929" w:rsidR="000442A4" w:rsidRPr="004F0D61" w:rsidRDefault="000442A4" w:rsidP="000442A4">
            <w:pPr>
              <w:jc w:val="center"/>
              <w:rPr>
                <w:sz w:val="16"/>
                <w:szCs w:val="16"/>
              </w:rPr>
            </w:pPr>
            <w:r w:rsidRPr="004F0D61">
              <w:rPr>
                <w:sz w:val="16"/>
                <w:szCs w:val="16"/>
              </w:rPr>
              <w:t>0.62</w:t>
            </w:r>
          </w:p>
        </w:tc>
        <w:tc>
          <w:tcPr>
            <w:tcW w:w="583" w:type="dxa"/>
            <w:tcBorders>
              <w:left w:val="nil"/>
              <w:right w:val="nil"/>
            </w:tcBorders>
            <w:shd w:val="clear" w:color="auto" w:fill="FFF2CC" w:themeFill="accent4" w:themeFillTint="33"/>
          </w:tcPr>
          <w:p w14:paraId="2DB7718C" w14:textId="0BD8C3F6" w:rsidR="000442A4" w:rsidRPr="004F0D61" w:rsidRDefault="000442A4" w:rsidP="000442A4">
            <w:pPr>
              <w:jc w:val="center"/>
              <w:rPr>
                <w:sz w:val="16"/>
                <w:szCs w:val="16"/>
              </w:rPr>
            </w:pPr>
            <w:r w:rsidRPr="004F0D61">
              <w:rPr>
                <w:sz w:val="16"/>
                <w:szCs w:val="16"/>
              </w:rPr>
              <w:t>0.59</w:t>
            </w:r>
          </w:p>
        </w:tc>
        <w:tc>
          <w:tcPr>
            <w:tcW w:w="895" w:type="dxa"/>
            <w:tcBorders>
              <w:left w:val="nil"/>
              <w:right w:val="single" w:sz="12" w:space="0" w:color="auto"/>
            </w:tcBorders>
            <w:shd w:val="clear" w:color="auto" w:fill="D9E2F3" w:themeFill="accent1" w:themeFillTint="33"/>
          </w:tcPr>
          <w:p w14:paraId="5B33248B" w14:textId="23048253" w:rsidR="000442A4" w:rsidRPr="004F0D61" w:rsidRDefault="000442A4" w:rsidP="000442A4">
            <w:pPr>
              <w:jc w:val="center"/>
              <w:rPr>
                <w:sz w:val="16"/>
                <w:szCs w:val="16"/>
                <w:lang w:val="uk-UA"/>
              </w:rPr>
            </w:pPr>
            <w:r w:rsidRPr="004F0D61">
              <w:rPr>
                <w:sz w:val="16"/>
                <w:szCs w:val="16"/>
              </w:rPr>
              <w:t>0.54</w:t>
            </w:r>
            <w:r w:rsidRPr="004F0D61">
              <w:rPr>
                <w:sz w:val="16"/>
                <w:szCs w:val="16"/>
                <w:vertAlign w:val="superscript"/>
              </w:rPr>
              <w:t>***</w:t>
            </w:r>
          </w:p>
        </w:tc>
        <w:tc>
          <w:tcPr>
            <w:tcW w:w="584" w:type="dxa"/>
            <w:tcBorders>
              <w:left w:val="single" w:sz="12" w:space="0" w:color="auto"/>
              <w:right w:val="nil"/>
            </w:tcBorders>
            <w:shd w:val="clear" w:color="auto" w:fill="FBE4D5" w:themeFill="accent2" w:themeFillTint="33"/>
          </w:tcPr>
          <w:p w14:paraId="14F56E8E" w14:textId="7D7262FD" w:rsidR="000442A4" w:rsidRPr="004F0D61" w:rsidRDefault="000442A4" w:rsidP="000442A4">
            <w:pPr>
              <w:jc w:val="center"/>
              <w:rPr>
                <w:sz w:val="16"/>
                <w:szCs w:val="16"/>
                <w:lang w:val="uk-UA"/>
              </w:rPr>
            </w:pPr>
            <w:r w:rsidRPr="004F0D61">
              <w:rPr>
                <w:sz w:val="16"/>
                <w:szCs w:val="16"/>
              </w:rPr>
              <w:t>0.71</w:t>
            </w:r>
          </w:p>
        </w:tc>
        <w:tc>
          <w:tcPr>
            <w:tcW w:w="584" w:type="dxa"/>
            <w:tcBorders>
              <w:left w:val="nil"/>
              <w:right w:val="nil"/>
            </w:tcBorders>
          </w:tcPr>
          <w:p w14:paraId="5D4EE67E" w14:textId="6F8FD533" w:rsidR="000442A4" w:rsidRPr="004F0D61" w:rsidRDefault="000442A4" w:rsidP="000442A4">
            <w:pPr>
              <w:jc w:val="center"/>
              <w:rPr>
                <w:sz w:val="16"/>
                <w:szCs w:val="16"/>
              </w:rPr>
            </w:pPr>
            <w:r w:rsidRPr="004F0D61">
              <w:rPr>
                <w:sz w:val="16"/>
                <w:szCs w:val="16"/>
              </w:rPr>
              <w:t>0.67</w:t>
            </w:r>
          </w:p>
        </w:tc>
        <w:tc>
          <w:tcPr>
            <w:tcW w:w="584" w:type="dxa"/>
            <w:tcBorders>
              <w:left w:val="nil"/>
              <w:right w:val="nil"/>
            </w:tcBorders>
            <w:shd w:val="clear" w:color="auto" w:fill="E2EFD9" w:themeFill="accent6" w:themeFillTint="33"/>
          </w:tcPr>
          <w:p w14:paraId="0ADD4991" w14:textId="001847D2" w:rsidR="000442A4" w:rsidRPr="004F0D61" w:rsidRDefault="000442A4" w:rsidP="000442A4">
            <w:pPr>
              <w:jc w:val="center"/>
              <w:rPr>
                <w:sz w:val="16"/>
                <w:szCs w:val="16"/>
              </w:rPr>
            </w:pPr>
            <w:r w:rsidRPr="004F0D61">
              <w:rPr>
                <w:sz w:val="16"/>
                <w:szCs w:val="16"/>
              </w:rPr>
              <w:t>0.63</w:t>
            </w:r>
          </w:p>
        </w:tc>
        <w:tc>
          <w:tcPr>
            <w:tcW w:w="584" w:type="dxa"/>
            <w:tcBorders>
              <w:left w:val="nil"/>
              <w:right w:val="nil"/>
            </w:tcBorders>
            <w:shd w:val="clear" w:color="auto" w:fill="FFF2CC" w:themeFill="accent4" w:themeFillTint="33"/>
          </w:tcPr>
          <w:p w14:paraId="27B7C82B" w14:textId="5B603A14" w:rsidR="000442A4" w:rsidRPr="004F0D61" w:rsidRDefault="000442A4" w:rsidP="000442A4">
            <w:pPr>
              <w:jc w:val="center"/>
              <w:rPr>
                <w:sz w:val="16"/>
                <w:szCs w:val="16"/>
              </w:rPr>
            </w:pPr>
            <w:r w:rsidRPr="004F0D61">
              <w:rPr>
                <w:sz w:val="16"/>
                <w:szCs w:val="16"/>
              </w:rPr>
              <w:t>0.59</w:t>
            </w:r>
          </w:p>
        </w:tc>
        <w:tc>
          <w:tcPr>
            <w:tcW w:w="878" w:type="dxa"/>
            <w:tcBorders>
              <w:left w:val="nil"/>
              <w:right w:val="nil"/>
            </w:tcBorders>
            <w:shd w:val="clear" w:color="auto" w:fill="D9E2F3" w:themeFill="accent1" w:themeFillTint="33"/>
          </w:tcPr>
          <w:p w14:paraId="5BF17376" w14:textId="685B9E95" w:rsidR="000442A4" w:rsidRPr="004F0D61" w:rsidRDefault="000442A4" w:rsidP="000442A4">
            <w:pPr>
              <w:jc w:val="center"/>
              <w:rPr>
                <w:sz w:val="16"/>
                <w:szCs w:val="16"/>
                <w:lang w:val="uk-UA"/>
              </w:rPr>
            </w:pPr>
            <w:r w:rsidRPr="004F0D61">
              <w:rPr>
                <w:sz w:val="16"/>
                <w:szCs w:val="16"/>
              </w:rPr>
              <w:t>0.55</w:t>
            </w:r>
            <w:r w:rsidRPr="004F0D61">
              <w:rPr>
                <w:sz w:val="16"/>
                <w:szCs w:val="16"/>
                <w:vertAlign w:val="superscript"/>
              </w:rPr>
              <w:t>***</w:t>
            </w:r>
          </w:p>
        </w:tc>
        <w:tc>
          <w:tcPr>
            <w:tcW w:w="1230" w:type="dxa"/>
            <w:tcBorders>
              <w:left w:val="nil"/>
              <w:right w:val="nil"/>
            </w:tcBorders>
            <w:shd w:val="clear" w:color="auto" w:fill="auto"/>
          </w:tcPr>
          <w:p w14:paraId="55004D28" w14:textId="4C3E0478" w:rsidR="000442A4" w:rsidRPr="004F0D61" w:rsidRDefault="000442A4" w:rsidP="000442A4">
            <w:pPr>
              <w:rPr>
                <w:sz w:val="16"/>
                <w:szCs w:val="16"/>
                <w:lang w:val="uk-UA"/>
              </w:rPr>
            </w:pPr>
            <w:r w:rsidRPr="004F0D61">
              <w:rPr>
                <w:sz w:val="16"/>
                <w:szCs w:val="16"/>
                <w:lang w:val="en-US"/>
              </w:rPr>
              <w:t>Zakrisson-15, Altemeyer-10</w:t>
            </w:r>
          </w:p>
        </w:tc>
      </w:tr>
      <w:tr w:rsidR="00991EC7" w:rsidRPr="004F0D61" w14:paraId="4E9BAA86" w14:textId="77777777" w:rsidTr="00315A2A">
        <w:trPr>
          <w:cantSplit/>
          <w:trHeight w:val="378"/>
        </w:trPr>
        <w:tc>
          <w:tcPr>
            <w:tcW w:w="568" w:type="dxa"/>
            <w:tcBorders>
              <w:left w:val="nil"/>
              <w:right w:val="nil"/>
            </w:tcBorders>
            <w:shd w:val="clear" w:color="auto" w:fill="auto"/>
          </w:tcPr>
          <w:p w14:paraId="32F87642" w14:textId="1F70EFCE" w:rsidR="000442A4" w:rsidRPr="004F0D61" w:rsidRDefault="000442A4" w:rsidP="00270D6E">
            <w:pPr>
              <w:snapToGrid w:val="0"/>
              <w:ind w:right="-107"/>
              <w:rPr>
                <w:rFonts w:cs="Arial"/>
                <w:b/>
                <w:bCs/>
                <w:sz w:val="16"/>
                <w:szCs w:val="16"/>
                <w:lang w:val="uk-UA"/>
              </w:rPr>
            </w:pPr>
            <w:r w:rsidRPr="004F0D61">
              <w:rPr>
                <w:rFonts w:cs="Arial"/>
                <w:b/>
                <w:bCs/>
                <w:sz w:val="16"/>
                <w:szCs w:val="16"/>
                <w:lang w:val="uk-UA"/>
              </w:rPr>
              <w:t>rwa18</w:t>
            </w:r>
          </w:p>
        </w:tc>
        <w:tc>
          <w:tcPr>
            <w:tcW w:w="2183" w:type="dxa"/>
            <w:tcBorders>
              <w:left w:val="nil"/>
              <w:right w:val="nil"/>
            </w:tcBorders>
          </w:tcPr>
          <w:p w14:paraId="1EB2A391" w14:textId="4D59332D" w:rsidR="000442A4" w:rsidRPr="004F0D61" w:rsidRDefault="000442A4" w:rsidP="00270D6E">
            <w:pPr>
              <w:ind w:left="-112"/>
              <w:rPr>
                <w:b/>
                <w:bCs/>
                <w:sz w:val="16"/>
                <w:szCs w:val="16"/>
                <w:lang w:val="uk-UA"/>
              </w:rPr>
            </w:pPr>
            <w:r w:rsidRPr="004F0D61">
              <w:rPr>
                <w:b/>
                <w:bCs/>
                <w:sz w:val="16"/>
                <w:szCs w:val="16"/>
                <w:lang w:val="en-US"/>
              </w:rPr>
              <w:t>A “woman’s place” should be wherever she wants to be. The days when women are submissive to their husbands and social conventions belong strictly in the past</w:t>
            </w:r>
          </w:p>
        </w:tc>
        <w:tc>
          <w:tcPr>
            <w:tcW w:w="583" w:type="dxa"/>
            <w:tcBorders>
              <w:left w:val="nil"/>
              <w:right w:val="nil"/>
            </w:tcBorders>
            <w:shd w:val="clear" w:color="auto" w:fill="FBE4D5" w:themeFill="accent2" w:themeFillTint="33"/>
          </w:tcPr>
          <w:p w14:paraId="03EF44B2" w14:textId="37290018" w:rsidR="000442A4" w:rsidRPr="004F0D61" w:rsidRDefault="000442A4" w:rsidP="000442A4">
            <w:pPr>
              <w:jc w:val="center"/>
              <w:rPr>
                <w:b/>
                <w:bCs/>
                <w:sz w:val="16"/>
                <w:szCs w:val="16"/>
                <w:lang w:val="uk-UA"/>
              </w:rPr>
            </w:pPr>
            <w:r w:rsidRPr="004F0D61">
              <w:rPr>
                <w:sz w:val="16"/>
                <w:szCs w:val="16"/>
              </w:rPr>
              <w:t>0.55</w:t>
            </w:r>
          </w:p>
        </w:tc>
        <w:tc>
          <w:tcPr>
            <w:tcW w:w="583" w:type="dxa"/>
            <w:tcBorders>
              <w:left w:val="nil"/>
              <w:right w:val="nil"/>
            </w:tcBorders>
          </w:tcPr>
          <w:p w14:paraId="61A0D26F" w14:textId="734A4C4B" w:rsidR="000442A4" w:rsidRPr="004F0D61" w:rsidRDefault="000442A4" w:rsidP="000442A4">
            <w:pPr>
              <w:jc w:val="center"/>
              <w:rPr>
                <w:sz w:val="16"/>
                <w:szCs w:val="16"/>
              </w:rPr>
            </w:pPr>
            <w:r w:rsidRPr="004F0D61">
              <w:rPr>
                <w:sz w:val="16"/>
                <w:szCs w:val="16"/>
              </w:rPr>
              <w:t>0.53</w:t>
            </w:r>
          </w:p>
        </w:tc>
        <w:tc>
          <w:tcPr>
            <w:tcW w:w="582" w:type="dxa"/>
            <w:tcBorders>
              <w:left w:val="nil"/>
              <w:right w:val="nil"/>
            </w:tcBorders>
            <w:shd w:val="clear" w:color="auto" w:fill="E2EFD9" w:themeFill="accent6" w:themeFillTint="33"/>
          </w:tcPr>
          <w:p w14:paraId="2FEB0A03" w14:textId="43A58855" w:rsidR="000442A4" w:rsidRPr="004F0D61" w:rsidRDefault="000442A4" w:rsidP="000442A4">
            <w:pPr>
              <w:jc w:val="center"/>
              <w:rPr>
                <w:sz w:val="16"/>
                <w:szCs w:val="16"/>
              </w:rPr>
            </w:pPr>
            <w:r w:rsidRPr="004F0D61">
              <w:rPr>
                <w:sz w:val="16"/>
                <w:szCs w:val="16"/>
              </w:rPr>
              <w:t>0.43</w:t>
            </w:r>
          </w:p>
        </w:tc>
        <w:tc>
          <w:tcPr>
            <w:tcW w:w="583" w:type="dxa"/>
            <w:tcBorders>
              <w:left w:val="nil"/>
              <w:right w:val="nil"/>
            </w:tcBorders>
            <w:shd w:val="clear" w:color="auto" w:fill="FFF2CC" w:themeFill="accent4" w:themeFillTint="33"/>
          </w:tcPr>
          <w:p w14:paraId="519C5E4E" w14:textId="61A4C200" w:rsidR="000442A4" w:rsidRPr="004F0D61" w:rsidRDefault="000442A4" w:rsidP="000442A4">
            <w:pPr>
              <w:jc w:val="center"/>
              <w:rPr>
                <w:sz w:val="16"/>
                <w:szCs w:val="16"/>
              </w:rPr>
            </w:pPr>
            <w:r w:rsidRPr="004F0D61">
              <w:rPr>
                <w:sz w:val="16"/>
                <w:szCs w:val="16"/>
              </w:rPr>
              <w:t>0.40</w:t>
            </w:r>
          </w:p>
        </w:tc>
        <w:tc>
          <w:tcPr>
            <w:tcW w:w="895" w:type="dxa"/>
            <w:tcBorders>
              <w:left w:val="nil"/>
              <w:right w:val="single" w:sz="12" w:space="0" w:color="auto"/>
            </w:tcBorders>
            <w:shd w:val="clear" w:color="auto" w:fill="D9E2F3" w:themeFill="accent1" w:themeFillTint="33"/>
          </w:tcPr>
          <w:p w14:paraId="5B5D5610" w14:textId="03241D4F" w:rsidR="000442A4" w:rsidRPr="004F0D61" w:rsidRDefault="000442A4" w:rsidP="000442A4">
            <w:pPr>
              <w:jc w:val="center"/>
              <w:rPr>
                <w:b/>
                <w:bCs/>
                <w:sz w:val="16"/>
                <w:szCs w:val="16"/>
                <w:lang w:val="uk-UA"/>
              </w:rPr>
            </w:pPr>
            <w:r w:rsidRPr="004F0D61">
              <w:rPr>
                <w:sz w:val="16"/>
                <w:szCs w:val="16"/>
              </w:rPr>
              <w:t>0.44</w:t>
            </w:r>
            <w:r w:rsidRPr="004F0D61">
              <w:rPr>
                <w:sz w:val="16"/>
                <w:szCs w:val="16"/>
                <w:vertAlign w:val="superscript"/>
              </w:rPr>
              <w:t>***</w:t>
            </w:r>
          </w:p>
        </w:tc>
        <w:tc>
          <w:tcPr>
            <w:tcW w:w="584" w:type="dxa"/>
            <w:tcBorders>
              <w:left w:val="single" w:sz="12" w:space="0" w:color="auto"/>
              <w:right w:val="nil"/>
            </w:tcBorders>
            <w:shd w:val="clear" w:color="auto" w:fill="FBE4D5" w:themeFill="accent2" w:themeFillTint="33"/>
          </w:tcPr>
          <w:p w14:paraId="5517AEEE" w14:textId="1C3E29CC" w:rsidR="000442A4" w:rsidRPr="004F0D61" w:rsidRDefault="000442A4" w:rsidP="000442A4">
            <w:pPr>
              <w:jc w:val="center"/>
              <w:rPr>
                <w:b/>
                <w:bCs/>
                <w:sz w:val="16"/>
                <w:szCs w:val="16"/>
                <w:lang w:val="uk-UA"/>
              </w:rPr>
            </w:pPr>
            <w:r w:rsidRPr="004F0D61">
              <w:rPr>
                <w:sz w:val="16"/>
                <w:szCs w:val="16"/>
              </w:rPr>
              <w:t>0.68</w:t>
            </w:r>
          </w:p>
        </w:tc>
        <w:tc>
          <w:tcPr>
            <w:tcW w:w="584" w:type="dxa"/>
            <w:tcBorders>
              <w:left w:val="nil"/>
              <w:right w:val="nil"/>
            </w:tcBorders>
          </w:tcPr>
          <w:p w14:paraId="0A9F6E74" w14:textId="3155B4F7" w:rsidR="000442A4" w:rsidRPr="004F0D61" w:rsidRDefault="000442A4" w:rsidP="000442A4">
            <w:pPr>
              <w:jc w:val="center"/>
              <w:rPr>
                <w:sz w:val="16"/>
                <w:szCs w:val="16"/>
              </w:rPr>
            </w:pPr>
            <w:r w:rsidRPr="004F0D61">
              <w:rPr>
                <w:sz w:val="16"/>
                <w:szCs w:val="16"/>
              </w:rPr>
              <w:t>0.66</w:t>
            </w:r>
          </w:p>
        </w:tc>
        <w:tc>
          <w:tcPr>
            <w:tcW w:w="584" w:type="dxa"/>
            <w:tcBorders>
              <w:left w:val="nil"/>
              <w:right w:val="nil"/>
            </w:tcBorders>
            <w:shd w:val="clear" w:color="auto" w:fill="E2EFD9" w:themeFill="accent6" w:themeFillTint="33"/>
          </w:tcPr>
          <w:p w14:paraId="39512F75" w14:textId="7FB99E64" w:rsidR="000442A4" w:rsidRPr="004F0D61" w:rsidRDefault="000442A4" w:rsidP="000442A4">
            <w:pPr>
              <w:jc w:val="center"/>
              <w:rPr>
                <w:sz w:val="16"/>
                <w:szCs w:val="16"/>
              </w:rPr>
            </w:pPr>
            <w:r w:rsidRPr="004F0D61">
              <w:rPr>
                <w:sz w:val="16"/>
                <w:szCs w:val="16"/>
              </w:rPr>
              <w:t>0.59</w:t>
            </w:r>
          </w:p>
        </w:tc>
        <w:tc>
          <w:tcPr>
            <w:tcW w:w="584" w:type="dxa"/>
            <w:tcBorders>
              <w:left w:val="nil"/>
              <w:right w:val="nil"/>
            </w:tcBorders>
            <w:shd w:val="clear" w:color="auto" w:fill="FFF2CC" w:themeFill="accent4" w:themeFillTint="33"/>
          </w:tcPr>
          <w:p w14:paraId="2A6C8799" w14:textId="58A1E567" w:rsidR="000442A4" w:rsidRPr="004F0D61" w:rsidRDefault="000442A4" w:rsidP="000442A4">
            <w:pPr>
              <w:jc w:val="center"/>
              <w:rPr>
                <w:sz w:val="16"/>
                <w:szCs w:val="16"/>
              </w:rPr>
            </w:pPr>
            <w:r w:rsidRPr="004F0D61">
              <w:rPr>
                <w:sz w:val="16"/>
                <w:szCs w:val="16"/>
              </w:rPr>
              <w:t>0.57</w:t>
            </w:r>
          </w:p>
        </w:tc>
        <w:tc>
          <w:tcPr>
            <w:tcW w:w="878" w:type="dxa"/>
            <w:tcBorders>
              <w:left w:val="nil"/>
              <w:right w:val="nil"/>
            </w:tcBorders>
            <w:shd w:val="clear" w:color="auto" w:fill="D9E2F3" w:themeFill="accent1" w:themeFillTint="33"/>
          </w:tcPr>
          <w:p w14:paraId="635C50EB" w14:textId="2B0D5FC7" w:rsidR="000442A4" w:rsidRPr="004F0D61" w:rsidRDefault="000442A4" w:rsidP="000442A4">
            <w:pPr>
              <w:jc w:val="center"/>
              <w:rPr>
                <w:b/>
                <w:bCs/>
                <w:sz w:val="16"/>
                <w:szCs w:val="16"/>
                <w:lang w:val="uk-UA"/>
              </w:rPr>
            </w:pPr>
            <w:r w:rsidRPr="004F0D61">
              <w:rPr>
                <w:sz w:val="16"/>
                <w:szCs w:val="16"/>
              </w:rPr>
              <w:t>0.46</w:t>
            </w:r>
            <w:r w:rsidRPr="004F0D61">
              <w:rPr>
                <w:sz w:val="16"/>
                <w:szCs w:val="16"/>
                <w:vertAlign w:val="superscript"/>
              </w:rPr>
              <w:t>***</w:t>
            </w:r>
          </w:p>
        </w:tc>
        <w:tc>
          <w:tcPr>
            <w:tcW w:w="1230" w:type="dxa"/>
            <w:tcBorders>
              <w:left w:val="nil"/>
              <w:right w:val="nil"/>
            </w:tcBorders>
            <w:shd w:val="clear" w:color="auto" w:fill="auto"/>
          </w:tcPr>
          <w:p w14:paraId="00DD8DF5" w14:textId="023E56A0" w:rsidR="000442A4" w:rsidRPr="004F0D61" w:rsidRDefault="000442A4" w:rsidP="000442A4">
            <w:pPr>
              <w:rPr>
                <w:b/>
                <w:bCs/>
                <w:sz w:val="16"/>
                <w:szCs w:val="16"/>
                <w:lang w:val="uk-UA"/>
              </w:rPr>
            </w:pPr>
            <w:r w:rsidRPr="004F0D61">
              <w:rPr>
                <w:sz w:val="16"/>
                <w:szCs w:val="16"/>
                <w:lang w:val="en-US"/>
              </w:rPr>
              <w:t>Duckitt-20, Funke-12</w:t>
            </w:r>
          </w:p>
        </w:tc>
      </w:tr>
      <w:tr w:rsidR="00991EC7" w:rsidRPr="004F0D61" w14:paraId="310DC447" w14:textId="77777777" w:rsidTr="00315A2A">
        <w:trPr>
          <w:cantSplit/>
          <w:trHeight w:val="378"/>
        </w:trPr>
        <w:tc>
          <w:tcPr>
            <w:tcW w:w="568" w:type="dxa"/>
            <w:tcBorders>
              <w:left w:val="nil"/>
              <w:right w:val="nil"/>
            </w:tcBorders>
            <w:shd w:val="clear" w:color="auto" w:fill="auto"/>
          </w:tcPr>
          <w:p w14:paraId="44E9AB33" w14:textId="545B2CDA" w:rsidR="000442A4" w:rsidRPr="004F0D61" w:rsidRDefault="000442A4" w:rsidP="00270D6E">
            <w:pPr>
              <w:snapToGrid w:val="0"/>
              <w:ind w:right="-107"/>
              <w:rPr>
                <w:rFonts w:cs="Arial"/>
                <w:sz w:val="16"/>
                <w:szCs w:val="16"/>
                <w:lang w:val="uk-UA"/>
              </w:rPr>
            </w:pPr>
            <w:r w:rsidRPr="004F0D61">
              <w:rPr>
                <w:rFonts w:cs="Arial"/>
                <w:sz w:val="16"/>
                <w:szCs w:val="16"/>
                <w:lang w:val="uk-UA"/>
              </w:rPr>
              <w:t>rwa19</w:t>
            </w:r>
          </w:p>
        </w:tc>
        <w:tc>
          <w:tcPr>
            <w:tcW w:w="2183" w:type="dxa"/>
            <w:tcBorders>
              <w:left w:val="nil"/>
              <w:right w:val="nil"/>
            </w:tcBorders>
          </w:tcPr>
          <w:p w14:paraId="2EE01F8E" w14:textId="720D2507" w:rsidR="000442A4" w:rsidRPr="004F0D61" w:rsidRDefault="000442A4" w:rsidP="00270D6E">
            <w:pPr>
              <w:ind w:left="-112"/>
              <w:rPr>
                <w:sz w:val="16"/>
                <w:szCs w:val="16"/>
                <w:lang w:val="uk-UA"/>
              </w:rPr>
            </w:pPr>
            <w:r w:rsidRPr="004F0D61">
              <w:rPr>
                <w:sz w:val="16"/>
                <w:szCs w:val="16"/>
                <w:lang w:val="en-US"/>
              </w:rPr>
              <w:t>Our country will be great if we honor the ways of our forefathers, do what the authorities tell us to do, and get rid of the “rotten apples” who are ruining everything</w:t>
            </w:r>
          </w:p>
        </w:tc>
        <w:tc>
          <w:tcPr>
            <w:tcW w:w="583" w:type="dxa"/>
            <w:tcBorders>
              <w:left w:val="nil"/>
              <w:right w:val="nil"/>
            </w:tcBorders>
            <w:shd w:val="clear" w:color="auto" w:fill="FBE4D5" w:themeFill="accent2" w:themeFillTint="33"/>
          </w:tcPr>
          <w:p w14:paraId="481261DD" w14:textId="75A8C493" w:rsidR="000442A4" w:rsidRPr="004F0D61" w:rsidRDefault="000442A4" w:rsidP="000442A4">
            <w:pPr>
              <w:jc w:val="center"/>
              <w:rPr>
                <w:sz w:val="16"/>
                <w:szCs w:val="16"/>
                <w:lang w:val="uk-UA"/>
              </w:rPr>
            </w:pPr>
            <w:r w:rsidRPr="004F0D61">
              <w:rPr>
                <w:sz w:val="16"/>
                <w:szCs w:val="16"/>
              </w:rPr>
              <w:t>0.45</w:t>
            </w:r>
          </w:p>
        </w:tc>
        <w:tc>
          <w:tcPr>
            <w:tcW w:w="583" w:type="dxa"/>
            <w:tcBorders>
              <w:left w:val="nil"/>
              <w:right w:val="nil"/>
            </w:tcBorders>
          </w:tcPr>
          <w:p w14:paraId="6868896F" w14:textId="1CC5810C" w:rsidR="000442A4" w:rsidRPr="004F0D61" w:rsidRDefault="000442A4" w:rsidP="000442A4">
            <w:pPr>
              <w:jc w:val="center"/>
              <w:rPr>
                <w:sz w:val="16"/>
                <w:szCs w:val="16"/>
              </w:rPr>
            </w:pPr>
            <w:r w:rsidRPr="004F0D61">
              <w:rPr>
                <w:sz w:val="16"/>
                <w:szCs w:val="16"/>
              </w:rPr>
              <w:t>0.52</w:t>
            </w:r>
          </w:p>
        </w:tc>
        <w:tc>
          <w:tcPr>
            <w:tcW w:w="582" w:type="dxa"/>
            <w:tcBorders>
              <w:left w:val="nil"/>
              <w:right w:val="nil"/>
            </w:tcBorders>
            <w:shd w:val="clear" w:color="auto" w:fill="E2EFD9" w:themeFill="accent6" w:themeFillTint="33"/>
          </w:tcPr>
          <w:p w14:paraId="7FA526E5" w14:textId="08D5B901" w:rsidR="000442A4" w:rsidRPr="004F0D61" w:rsidRDefault="000442A4" w:rsidP="000442A4">
            <w:pPr>
              <w:jc w:val="center"/>
              <w:rPr>
                <w:sz w:val="16"/>
                <w:szCs w:val="16"/>
              </w:rPr>
            </w:pPr>
            <w:r w:rsidRPr="004F0D61">
              <w:rPr>
                <w:sz w:val="16"/>
                <w:szCs w:val="16"/>
              </w:rPr>
              <w:t>0.35</w:t>
            </w:r>
          </w:p>
        </w:tc>
        <w:tc>
          <w:tcPr>
            <w:tcW w:w="583" w:type="dxa"/>
            <w:tcBorders>
              <w:left w:val="nil"/>
              <w:right w:val="nil"/>
            </w:tcBorders>
            <w:shd w:val="clear" w:color="auto" w:fill="FFF2CC" w:themeFill="accent4" w:themeFillTint="33"/>
          </w:tcPr>
          <w:p w14:paraId="429392C1" w14:textId="66BC2A94" w:rsidR="000442A4" w:rsidRPr="004F0D61" w:rsidRDefault="000442A4" w:rsidP="000442A4">
            <w:pPr>
              <w:jc w:val="center"/>
              <w:rPr>
                <w:sz w:val="16"/>
                <w:szCs w:val="16"/>
              </w:rPr>
            </w:pPr>
            <w:r w:rsidRPr="004F0D61">
              <w:rPr>
                <w:sz w:val="16"/>
                <w:szCs w:val="16"/>
              </w:rPr>
              <w:t>0.43</w:t>
            </w:r>
          </w:p>
        </w:tc>
        <w:tc>
          <w:tcPr>
            <w:tcW w:w="895" w:type="dxa"/>
            <w:tcBorders>
              <w:left w:val="nil"/>
              <w:right w:val="single" w:sz="12" w:space="0" w:color="auto"/>
            </w:tcBorders>
            <w:shd w:val="clear" w:color="auto" w:fill="D9E2F3" w:themeFill="accent1" w:themeFillTint="33"/>
          </w:tcPr>
          <w:p w14:paraId="02DE7530" w14:textId="1B850863" w:rsidR="000442A4" w:rsidRPr="004F0D61" w:rsidRDefault="000442A4" w:rsidP="000442A4">
            <w:pPr>
              <w:jc w:val="center"/>
              <w:rPr>
                <w:sz w:val="16"/>
                <w:szCs w:val="16"/>
                <w:lang w:val="uk-UA"/>
              </w:rPr>
            </w:pPr>
            <w:r w:rsidRPr="004F0D61">
              <w:rPr>
                <w:sz w:val="16"/>
                <w:szCs w:val="16"/>
              </w:rPr>
              <w:t>0.58</w:t>
            </w:r>
            <w:r w:rsidRPr="004F0D61">
              <w:rPr>
                <w:sz w:val="16"/>
                <w:szCs w:val="16"/>
                <w:vertAlign w:val="superscript"/>
              </w:rPr>
              <w:t>***</w:t>
            </w:r>
          </w:p>
        </w:tc>
        <w:tc>
          <w:tcPr>
            <w:tcW w:w="584" w:type="dxa"/>
            <w:tcBorders>
              <w:left w:val="single" w:sz="12" w:space="0" w:color="auto"/>
              <w:right w:val="nil"/>
            </w:tcBorders>
            <w:shd w:val="clear" w:color="auto" w:fill="FBE4D5" w:themeFill="accent2" w:themeFillTint="33"/>
          </w:tcPr>
          <w:p w14:paraId="4F54CB80" w14:textId="0FBC1C31" w:rsidR="000442A4" w:rsidRPr="004F0D61" w:rsidRDefault="000442A4" w:rsidP="000442A4">
            <w:pPr>
              <w:jc w:val="center"/>
              <w:rPr>
                <w:sz w:val="16"/>
                <w:szCs w:val="16"/>
                <w:lang w:val="uk-UA"/>
              </w:rPr>
            </w:pPr>
            <w:r w:rsidRPr="004F0D61">
              <w:rPr>
                <w:sz w:val="16"/>
                <w:szCs w:val="16"/>
              </w:rPr>
              <w:t>0.41</w:t>
            </w:r>
          </w:p>
        </w:tc>
        <w:tc>
          <w:tcPr>
            <w:tcW w:w="584" w:type="dxa"/>
            <w:tcBorders>
              <w:left w:val="nil"/>
              <w:right w:val="nil"/>
            </w:tcBorders>
          </w:tcPr>
          <w:p w14:paraId="0B178C9D" w14:textId="304ADA93" w:rsidR="000442A4" w:rsidRPr="004F0D61" w:rsidRDefault="000442A4" w:rsidP="000442A4">
            <w:pPr>
              <w:jc w:val="center"/>
              <w:rPr>
                <w:sz w:val="16"/>
                <w:szCs w:val="16"/>
              </w:rPr>
            </w:pPr>
            <w:r w:rsidRPr="004F0D61">
              <w:rPr>
                <w:sz w:val="16"/>
                <w:szCs w:val="16"/>
              </w:rPr>
              <w:t>0.49</w:t>
            </w:r>
          </w:p>
        </w:tc>
        <w:tc>
          <w:tcPr>
            <w:tcW w:w="584" w:type="dxa"/>
            <w:tcBorders>
              <w:left w:val="nil"/>
              <w:right w:val="nil"/>
            </w:tcBorders>
            <w:shd w:val="clear" w:color="auto" w:fill="E2EFD9" w:themeFill="accent6" w:themeFillTint="33"/>
          </w:tcPr>
          <w:p w14:paraId="77127A4E" w14:textId="516FBDA2" w:rsidR="000442A4" w:rsidRPr="004F0D61" w:rsidRDefault="000442A4" w:rsidP="000442A4">
            <w:pPr>
              <w:jc w:val="center"/>
              <w:rPr>
                <w:sz w:val="16"/>
                <w:szCs w:val="16"/>
              </w:rPr>
            </w:pPr>
            <w:r w:rsidRPr="004F0D61">
              <w:rPr>
                <w:sz w:val="16"/>
                <w:szCs w:val="16"/>
              </w:rPr>
              <w:t>0.3</w:t>
            </w:r>
          </w:p>
        </w:tc>
        <w:tc>
          <w:tcPr>
            <w:tcW w:w="584" w:type="dxa"/>
            <w:tcBorders>
              <w:left w:val="nil"/>
              <w:right w:val="nil"/>
            </w:tcBorders>
            <w:shd w:val="clear" w:color="auto" w:fill="FFF2CC" w:themeFill="accent4" w:themeFillTint="33"/>
          </w:tcPr>
          <w:p w14:paraId="6BC9EA76" w14:textId="21AE4D24" w:rsidR="000442A4" w:rsidRPr="004F0D61" w:rsidRDefault="000442A4" w:rsidP="000442A4">
            <w:pPr>
              <w:jc w:val="center"/>
              <w:rPr>
                <w:sz w:val="16"/>
                <w:szCs w:val="16"/>
              </w:rPr>
            </w:pPr>
            <w:r w:rsidRPr="004F0D61">
              <w:rPr>
                <w:sz w:val="16"/>
                <w:szCs w:val="16"/>
              </w:rPr>
              <w:t>0.39</w:t>
            </w:r>
          </w:p>
        </w:tc>
        <w:tc>
          <w:tcPr>
            <w:tcW w:w="878" w:type="dxa"/>
            <w:tcBorders>
              <w:left w:val="nil"/>
              <w:right w:val="nil"/>
            </w:tcBorders>
            <w:shd w:val="clear" w:color="auto" w:fill="D9E2F3" w:themeFill="accent1" w:themeFillTint="33"/>
          </w:tcPr>
          <w:p w14:paraId="79AA1A21" w14:textId="3B2015F5" w:rsidR="000442A4" w:rsidRPr="004F0D61" w:rsidRDefault="000442A4" w:rsidP="000442A4">
            <w:pPr>
              <w:jc w:val="center"/>
              <w:rPr>
                <w:sz w:val="16"/>
                <w:szCs w:val="16"/>
                <w:lang w:val="uk-UA"/>
              </w:rPr>
            </w:pPr>
            <w:r w:rsidRPr="004F0D61">
              <w:rPr>
                <w:sz w:val="16"/>
                <w:szCs w:val="16"/>
              </w:rPr>
              <w:t>0.55</w:t>
            </w:r>
            <w:r w:rsidRPr="004F0D61">
              <w:rPr>
                <w:sz w:val="16"/>
                <w:szCs w:val="16"/>
                <w:vertAlign w:val="superscript"/>
              </w:rPr>
              <w:t>***</w:t>
            </w:r>
          </w:p>
        </w:tc>
        <w:tc>
          <w:tcPr>
            <w:tcW w:w="1230" w:type="dxa"/>
            <w:tcBorders>
              <w:left w:val="nil"/>
              <w:right w:val="nil"/>
            </w:tcBorders>
            <w:shd w:val="clear" w:color="auto" w:fill="auto"/>
          </w:tcPr>
          <w:p w14:paraId="5359A4A2" w14:textId="3FD53630" w:rsidR="000442A4" w:rsidRPr="004F0D61" w:rsidRDefault="005D2336" w:rsidP="000442A4">
            <w:pPr>
              <w:rPr>
                <w:sz w:val="16"/>
                <w:szCs w:val="16"/>
                <w:lang w:val="uk-UA"/>
              </w:rPr>
            </w:pPr>
            <w:r w:rsidRPr="004F0D61">
              <w:rPr>
                <w:sz w:val="16"/>
                <w:szCs w:val="16"/>
                <w:lang w:val="en-US"/>
              </w:rPr>
              <w:t>Zakrisson-15</w:t>
            </w:r>
            <w:r w:rsidR="003F592E" w:rsidRPr="004F0D61">
              <w:rPr>
                <w:sz w:val="16"/>
                <w:szCs w:val="16"/>
                <w:lang w:val="en-US"/>
              </w:rPr>
              <w:t>, Duckitt-20</w:t>
            </w:r>
          </w:p>
        </w:tc>
      </w:tr>
      <w:tr w:rsidR="00991EC7" w:rsidRPr="004F0D61" w14:paraId="0916EDDD" w14:textId="77777777" w:rsidTr="00315A2A">
        <w:trPr>
          <w:cantSplit/>
          <w:trHeight w:val="378"/>
        </w:trPr>
        <w:tc>
          <w:tcPr>
            <w:tcW w:w="568" w:type="dxa"/>
            <w:tcBorders>
              <w:left w:val="nil"/>
              <w:bottom w:val="single" w:sz="4" w:space="0" w:color="auto"/>
              <w:right w:val="nil"/>
            </w:tcBorders>
            <w:shd w:val="clear" w:color="auto" w:fill="auto"/>
          </w:tcPr>
          <w:p w14:paraId="1989E6D3" w14:textId="100EA869" w:rsidR="000442A4" w:rsidRPr="004F0D61" w:rsidRDefault="000442A4" w:rsidP="00270D6E">
            <w:pPr>
              <w:snapToGrid w:val="0"/>
              <w:ind w:right="-107"/>
              <w:rPr>
                <w:rFonts w:cs="Arial"/>
                <w:b/>
                <w:bCs/>
                <w:sz w:val="16"/>
                <w:szCs w:val="16"/>
                <w:lang w:val="uk-UA"/>
              </w:rPr>
            </w:pPr>
            <w:r w:rsidRPr="004F0D61">
              <w:rPr>
                <w:rFonts w:cs="Arial"/>
                <w:b/>
                <w:bCs/>
                <w:sz w:val="16"/>
                <w:szCs w:val="16"/>
                <w:lang w:val="uk-UA"/>
              </w:rPr>
              <w:lastRenderedPageBreak/>
              <w:t>rwa21</w:t>
            </w:r>
          </w:p>
        </w:tc>
        <w:tc>
          <w:tcPr>
            <w:tcW w:w="2183" w:type="dxa"/>
            <w:tcBorders>
              <w:left w:val="nil"/>
              <w:bottom w:val="single" w:sz="4" w:space="0" w:color="auto"/>
              <w:right w:val="nil"/>
            </w:tcBorders>
          </w:tcPr>
          <w:p w14:paraId="09CDA35F" w14:textId="4D06C578" w:rsidR="000442A4" w:rsidRPr="004F0D61" w:rsidRDefault="000442A4" w:rsidP="00270D6E">
            <w:pPr>
              <w:ind w:left="-112"/>
              <w:rPr>
                <w:b/>
                <w:bCs/>
                <w:sz w:val="16"/>
                <w:szCs w:val="16"/>
                <w:lang w:val="en-US"/>
              </w:rPr>
            </w:pPr>
            <w:r w:rsidRPr="004F0D61">
              <w:rPr>
                <w:b/>
                <w:bCs/>
                <w:sz w:val="16"/>
                <w:szCs w:val="16"/>
                <w:lang w:val="en-US"/>
              </w:rPr>
              <w:t>Homosexuals and feminists should be praised for being brave enough to defy “traditional family values”</w:t>
            </w:r>
          </w:p>
        </w:tc>
        <w:tc>
          <w:tcPr>
            <w:tcW w:w="583" w:type="dxa"/>
            <w:tcBorders>
              <w:left w:val="nil"/>
              <w:bottom w:val="single" w:sz="4" w:space="0" w:color="auto"/>
              <w:right w:val="nil"/>
            </w:tcBorders>
            <w:shd w:val="clear" w:color="auto" w:fill="FBE4D5" w:themeFill="accent2" w:themeFillTint="33"/>
          </w:tcPr>
          <w:p w14:paraId="7787AA7A" w14:textId="5EF5684D" w:rsidR="000442A4" w:rsidRPr="004F0D61" w:rsidRDefault="000442A4" w:rsidP="000442A4">
            <w:pPr>
              <w:jc w:val="center"/>
              <w:rPr>
                <w:b/>
                <w:bCs/>
                <w:sz w:val="16"/>
                <w:szCs w:val="16"/>
                <w:lang w:val="uk-UA"/>
              </w:rPr>
            </w:pPr>
            <w:r w:rsidRPr="004F0D61">
              <w:rPr>
                <w:sz w:val="16"/>
                <w:szCs w:val="16"/>
              </w:rPr>
              <w:t>0.68</w:t>
            </w:r>
          </w:p>
        </w:tc>
        <w:tc>
          <w:tcPr>
            <w:tcW w:w="583" w:type="dxa"/>
            <w:tcBorders>
              <w:left w:val="nil"/>
              <w:bottom w:val="single" w:sz="4" w:space="0" w:color="auto"/>
              <w:right w:val="nil"/>
            </w:tcBorders>
          </w:tcPr>
          <w:p w14:paraId="3D7942DC" w14:textId="3F99CCE2" w:rsidR="000442A4" w:rsidRPr="004F0D61" w:rsidRDefault="000442A4" w:rsidP="000442A4">
            <w:pPr>
              <w:jc w:val="center"/>
              <w:rPr>
                <w:sz w:val="16"/>
                <w:szCs w:val="16"/>
              </w:rPr>
            </w:pPr>
            <w:r w:rsidRPr="004F0D61">
              <w:rPr>
                <w:sz w:val="16"/>
                <w:szCs w:val="16"/>
              </w:rPr>
              <w:t>0.66</w:t>
            </w:r>
          </w:p>
        </w:tc>
        <w:tc>
          <w:tcPr>
            <w:tcW w:w="582" w:type="dxa"/>
            <w:tcBorders>
              <w:left w:val="nil"/>
              <w:bottom w:val="single" w:sz="4" w:space="0" w:color="auto"/>
              <w:right w:val="nil"/>
            </w:tcBorders>
            <w:shd w:val="clear" w:color="auto" w:fill="E2EFD9" w:themeFill="accent6" w:themeFillTint="33"/>
          </w:tcPr>
          <w:p w14:paraId="48519759" w14:textId="178DDE7D" w:rsidR="000442A4" w:rsidRPr="004F0D61" w:rsidRDefault="000442A4" w:rsidP="000442A4">
            <w:pPr>
              <w:jc w:val="center"/>
              <w:rPr>
                <w:sz w:val="16"/>
                <w:szCs w:val="16"/>
              </w:rPr>
            </w:pPr>
            <w:r w:rsidRPr="004F0D61">
              <w:rPr>
                <w:sz w:val="16"/>
                <w:szCs w:val="16"/>
              </w:rPr>
              <w:t>0.57</w:t>
            </w:r>
          </w:p>
        </w:tc>
        <w:tc>
          <w:tcPr>
            <w:tcW w:w="583" w:type="dxa"/>
            <w:tcBorders>
              <w:left w:val="nil"/>
              <w:bottom w:val="single" w:sz="4" w:space="0" w:color="auto"/>
              <w:right w:val="nil"/>
            </w:tcBorders>
            <w:shd w:val="clear" w:color="auto" w:fill="FFF2CC" w:themeFill="accent4" w:themeFillTint="33"/>
          </w:tcPr>
          <w:p w14:paraId="269793EC" w14:textId="16E2973F" w:rsidR="000442A4" w:rsidRPr="004F0D61" w:rsidRDefault="000442A4" w:rsidP="000442A4">
            <w:pPr>
              <w:jc w:val="center"/>
              <w:rPr>
                <w:sz w:val="16"/>
                <w:szCs w:val="16"/>
              </w:rPr>
            </w:pPr>
            <w:r w:rsidRPr="004F0D61">
              <w:rPr>
                <w:sz w:val="16"/>
                <w:szCs w:val="16"/>
              </w:rPr>
              <w:t>0.57</w:t>
            </w:r>
          </w:p>
        </w:tc>
        <w:tc>
          <w:tcPr>
            <w:tcW w:w="895" w:type="dxa"/>
            <w:tcBorders>
              <w:left w:val="nil"/>
              <w:bottom w:val="single" w:sz="4" w:space="0" w:color="auto"/>
              <w:right w:val="single" w:sz="12" w:space="0" w:color="auto"/>
            </w:tcBorders>
            <w:shd w:val="clear" w:color="auto" w:fill="D9E2F3" w:themeFill="accent1" w:themeFillTint="33"/>
          </w:tcPr>
          <w:p w14:paraId="50B6F61D" w14:textId="58705AF4" w:rsidR="000442A4" w:rsidRPr="004F0D61" w:rsidRDefault="000442A4" w:rsidP="000442A4">
            <w:pPr>
              <w:jc w:val="center"/>
              <w:rPr>
                <w:b/>
                <w:bCs/>
                <w:sz w:val="16"/>
                <w:szCs w:val="16"/>
                <w:lang w:val="uk-UA"/>
              </w:rPr>
            </w:pPr>
            <w:r w:rsidRPr="004F0D61">
              <w:rPr>
                <w:sz w:val="16"/>
                <w:szCs w:val="16"/>
              </w:rPr>
              <w:t>0.59</w:t>
            </w:r>
            <w:r w:rsidRPr="004F0D61">
              <w:rPr>
                <w:sz w:val="16"/>
                <w:szCs w:val="16"/>
                <w:vertAlign w:val="superscript"/>
              </w:rPr>
              <w:t>***</w:t>
            </w:r>
          </w:p>
        </w:tc>
        <w:tc>
          <w:tcPr>
            <w:tcW w:w="584" w:type="dxa"/>
            <w:tcBorders>
              <w:left w:val="single" w:sz="12" w:space="0" w:color="auto"/>
              <w:bottom w:val="single" w:sz="4" w:space="0" w:color="auto"/>
              <w:right w:val="nil"/>
            </w:tcBorders>
            <w:shd w:val="clear" w:color="auto" w:fill="FBE4D5" w:themeFill="accent2" w:themeFillTint="33"/>
          </w:tcPr>
          <w:p w14:paraId="3FEA1098" w14:textId="0AB2CCB8" w:rsidR="000442A4" w:rsidRPr="004F0D61" w:rsidRDefault="000442A4" w:rsidP="000442A4">
            <w:pPr>
              <w:jc w:val="center"/>
              <w:rPr>
                <w:b/>
                <w:bCs/>
                <w:sz w:val="16"/>
                <w:szCs w:val="16"/>
                <w:lang w:val="uk-UA"/>
              </w:rPr>
            </w:pPr>
            <w:r w:rsidRPr="004F0D61">
              <w:rPr>
                <w:sz w:val="16"/>
                <w:szCs w:val="16"/>
              </w:rPr>
              <w:t>0.78</w:t>
            </w:r>
          </w:p>
        </w:tc>
        <w:tc>
          <w:tcPr>
            <w:tcW w:w="584" w:type="dxa"/>
            <w:tcBorders>
              <w:left w:val="nil"/>
              <w:bottom w:val="single" w:sz="4" w:space="0" w:color="auto"/>
              <w:right w:val="nil"/>
            </w:tcBorders>
          </w:tcPr>
          <w:p w14:paraId="465906A6" w14:textId="77F0426B" w:rsidR="000442A4" w:rsidRPr="004F0D61" w:rsidRDefault="000442A4" w:rsidP="000442A4">
            <w:pPr>
              <w:jc w:val="center"/>
              <w:rPr>
                <w:sz w:val="16"/>
                <w:szCs w:val="16"/>
              </w:rPr>
            </w:pPr>
            <w:r w:rsidRPr="004F0D61">
              <w:rPr>
                <w:sz w:val="16"/>
                <w:szCs w:val="16"/>
              </w:rPr>
              <w:t>0.69</w:t>
            </w:r>
          </w:p>
        </w:tc>
        <w:tc>
          <w:tcPr>
            <w:tcW w:w="584" w:type="dxa"/>
            <w:tcBorders>
              <w:left w:val="nil"/>
              <w:bottom w:val="single" w:sz="4" w:space="0" w:color="auto"/>
              <w:right w:val="nil"/>
            </w:tcBorders>
            <w:shd w:val="clear" w:color="auto" w:fill="E2EFD9" w:themeFill="accent6" w:themeFillTint="33"/>
          </w:tcPr>
          <w:p w14:paraId="231C1DB1" w14:textId="6E436A7A" w:rsidR="000442A4" w:rsidRPr="004F0D61" w:rsidRDefault="000442A4" w:rsidP="000442A4">
            <w:pPr>
              <w:jc w:val="center"/>
              <w:rPr>
                <w:sz w:val="16"/>
                <w:szCs w:val="16"/>
              </w:rPr>
            </w:pPr>
            <w:r w:rsidRPr="004F0D61">
              <w:rPr>
                <w:sz w:val="16"/>
                <w:szCs w:val="16"/>
              </w:rPr>
              <w:t>0.73</w:t>
            </w:r>
          </w:p>
        </w:tc>
        <w:tc>
          <w:tcPr>
            <w:tcW w:w="584" w:type="dxa"/>
            <w:tcBorders>
              <w:left w:val="nil"/>
              <w:bottom w:val="single" w:sz="4" w:space="0" w:color="auto"/>
              <w:right w:val="nil"/>
            </w:tcBorders>
            <w:shd w:val="clear" w:color="auto" w:fill="FFF2CC" w:themeFill="accent4" w:themeFillTint="33"/>
          </w:tcPr>
          <w:p w14:paraId="1D6EB7B6" w14:textId="33C76875" w:rsidR="000442A4" w:rsidRPr="004F0D61" w:rsidRDefault="000442A4" w:rsidP="000442A4">
            <w:pPr>
              <w:jc w:val="center"/>
              <w:rPr>
                <w:sz w:val="16"/>
                <w:szCs w:val="16"/>
              </w:rPr>
            </w:pPr>
            <w:r w:rsidRPr="004F0D61">
              <w:rPr>
                <w:sz w:val="16"/>
                <w:szCs w:val="16"/>
              </w:rPr>
              <w:t>0.62</w:t>
            </w:r>
          </w:p>
        </w:tc>
        <w:tc>
          <w:tcPr>
            <w:tcW w:w="878" w:type="dxa"/>
            <w:tcBorders>
              <w:left w:val="nil"/>
              <w:bottom w:val="single" w:sz="4" w:space="0" w:color="auto"/>
              <w:right w:val="nil"/>
            </w:tcBorders>
            <w:shd w:val="clear" w:color="auto" w:fill="D9E2F3" w:themeFill="accent1" w:themeFillTint="33"/>
          </w:tcPr>
          <w:p w14:paraId="070A5719" w14:textId="1CD8AD4F" w:rsidR="000442A4" w:rsidRPr="004F0D61" w:rsidRDefault="000442A4" w:rsidP="000442A4">
            <w:pPr>
              <w:jc w:val="center"/>
              <w:rPr>
                <w:b/>
                <w:bCs/>
                <w:sz w:val="16"/>
                <w:szCs w:val="16"/>
                <w:lang w:val="uk-UA"/>
              </w:rPr>
            </w:pPr>
            <w:r w:rsidRPr="004F0D61">
              <w:rPr>
                <w:sz w:val="16"/>
                <w:szCs w:val="16"/>
              </w:rPr>
              <w:t>0.57</w:t>
            </w:r>
            <w:r w:rsidRPr="004F0D61">
              <w:rPr>
                <w:sz w:val="16"/>
                <w:szCs w:val="16"/>
                <w:vertAlign w:val="superscript"/>
              </w:rPr>
              <w:t>***</w:t>
            </w:r>
          </w:p>
        </w:tc>
        <w:tc>
          <w:tcPr>
            <w:tcW w:w="1230" w:type="dxa"/>
            <w:tcBorders>
              <w:left w:val="nil"/>
              <w:bottom w:val="single" w:sz="4" w:space="0" w:color="auto"/>
              <w:right w:val="nil"/>
            </w:tcBorders>
            <w:shd w:val="clear" w:color="auto" w:fill="auto"/>
          </w:tcPr>
          <w:p w14:paraId="5A68FF4C" w14:textId="75261AF6" w:rsidR="000442A4" w:rsidRPr="004F0D61" w:rsidRDefault="000442A4" w:rsidP="000442A4">
            <w:pPr>
              <w:rPr>
                <w:b/>
                <w:bCs/>
                <w:sz w:val="16"/>
                <w:szCs w:val="16"/>
                <w:lang w:val="uk-UA"/>
              </w:rPr>
            </w:pPr>
            <w:r w:rsidRPr="004F0D61">
              <w:rPr>
                <w:sz w:val="16"/>
                <w:szCs w:val="16"/>
                <w:lang w:val="en-US"/>
              </w:rPr>
              <w:t>Rattazzi-14, Duckitt-20, Altemeyer-10</w:t>
            </w:r>
          </w:p>
        </w:tc>
      </w:tr>
    </w:tbl>
    <w:p w14:paraId="67DFBE9C" w14:textId="1DB65709" w:rsidR="00DB22B8" w:rsidRPr="00F655C6" w:rsidRDefault="00DB22B8" w:rsidP="00DB22B8">
      <w:pPr>
        <w:tabs>
          <w:tab w:val="left" w:pos="284"/>
        </w:tabs>
        <w:rPr>
          <w:i/>
          <w:iCs/>
          <w:sz w:val="16"/>
          <w:szCs w:val="16"/>
          <w:lang w:val="en-US"/>
        </w:rPr>
      </w:pPr>
      <w:bookmarkStart w:id="0" w:name="_Hlk189164170"/>
      <w:r w:rsidRPr="00F655C6">
        <w:rPr>
          <w:i/>
          <w:iCs/>
          <w:sz w:val="16"/>
          <w:szCs w:val="16"/>
          <w:vertAlign w:val="superscript"/>
        </w:rPr>
        <w:t>*</w:t>
      </w:r>
      <w:r w:rsidRPr="00F655C6">
        <w:rPr>
          <w:i/>
          <w:iCs/>
          <w:sz w:val="16"/>
          <w:szCs w:val="16"/>
        </w:rPr>
        <w:tab/>
        <w:t>p &lt; 0.05</w:t>
      </w:r>
      <w:r w:rsidR="00F655C6" w:rsidRPr="00F655C6">
        <w:rPr>
          <w:i/>
          <w:iCs/>
          <w:sz w:val="16"/>
          <w:szCs w:val="16"/>
        </w:rPr>
        <w:tab/>
      </w:r>
      <w:r w:rsidR="00F655C6" w:rsidRPr="00F655C6">
        <w:rPr>
          <w:i/>
          <w:iCs/>
          <w:sz w:val="16"/>
          <w:szCs w:val="16"/>
        </w:rPr>
        <w:tab/>
      </w:r>
      <w:r w:rsidRPr="00F655C6">
        <w:rPr>
          <w:i/>
          <w:iCs/>
          <w:sz w:val="16"/>
          <w:szCs w:val="16"/>
          <w:vertAlign w:val="superscript"/>
        </w:rPr>
        <w:t>**</w:t>
      </w:r>
      <w:r w:rsidR="00F655C6" w:rsidRPr="00F655C6">
        <w:rPr>
          <w:i/>
          <w:iCs/>
          <w:sz w:val="16"/>
          <w:szCs w:val="16"/>
        </w:rPr>
        <w:t xml:space="preserve"> </w:t>
      </w:r>
      <w:r w:rsidRPr="00F655C6">
        <w:rPr>
          <w:i/>
          <w:iCs/>
          <w:sz w:val="16"/>
          <w:szCs w:val="16"/>
        </w:rPr>
        <w:t>p &lt; 0.01</w:t>
      </w:r>
      <w:r w:rsidR="00F655C6" w:rsidRPr="00F655C6">
        <w:rPr>
          <w:i/>
          <w:iCs/>
          <w:sz w:val="16"/>
          <w:szCs w:val="16"/>
        </w:rPr>
        <w:tab/>
      </w:r>
      <w:r w:rsidR="00F655C6" w:rsidRPr="00F655C6">
        <w:rPr>
          <w:i/>
          <w:iCs/>
          <w:sz w:val="16"/>
          <w:szCs w:val="16"/>
        </w:rPr>
        <w:tab/>
      </w:r>
      <w:r w:rsidRPr="00F655C6">
        <w:rPr>
          <w:i/>
          <w:iCs/>
          <w:sz w:val="16"/>
          <w:szCs w:val="16"/>
          <w:vertAlign w:val="superscript"/>
        </w:rPr>
        <w:t>***</w:t>
      </w:r>
      <w:r w:rsidR="00F655C6" w:rsidRPr="00F655C6">
        <w:rPr>
          <w:i/>
          <w:iCs/>
          <w:sz w:val="16"/>
          <w:szCs w:val="16"/>
        </w:rPr>
        <w:t xml:space="preserve"> </w:t>
      </w:r>
      <w:r w:rsidRPr="00F655C6">
        <w:rPr>
          <w:i/>
          <w:iCs/>
          <w:sz w:val="16"/>
          <w:szCs w:val="16"/>
        </w:rPr>
        <w:t>p &lt; 0.001</w:t>
      </w:r>
    </w:p>
    <w:bookmarkEnd w:id="0"/>
    <w:p w14:paraId="5631DDE0" w14:textId="77777777" w:rsidR="00AF396C" w:rsidRDefault="00AF396C" w:rsidP="00CC5204">
      <w:pPr>
        <w:jc w:val="both"/>
        <w:rPr>
          <w:i/>
          <w:iCs/>
          <w:color w:val="FF0000"/>
          <w:sz w:val="16"/>
          <w:szCs w:val="16"/>
          <w:lang w:val="en-US"/>
        </w:rPr>
      </w:pPr>
    </w:p>
    <w:p w14:paraId="25F0FAFD" w14:textId="7AED6372" w:rsidR="00051E17" w:rsidRPr="0051206B" w:rsidRDefault="00CC5204" w:rsidP="00051E17">
      <w:pPr>
        <w:jc w:val="both"/>
        <w:rPr>
          <w:sz w:val="16"/>
          <w:szCs w:val="16"/>
          <w:lang w:val="en-US"/>
        </w:rPr>
      </w:pPr>
      <w:r w:rsidRPr="0051206B">
        <w:rPr>
          <w:i/>
          <w:iCs/>
          <w:sz w:val="16"/>
          <w:szCs w:val="16"/>
          <w:lang w:val="en-US"/>
        </w:rPr>
        <w:t>Note</w:t>
      </w:r>
      <w:r w:rsidRPr="0051206B">
        <w:rPr>
          <w:sz w:val="16"/>
          <w:szCs w:val="16"/>
          <w:lang w:val="en-US"/>
        </w:rPr>
        <w:t xml:space="preserve">: </w:t>
      </w:r>
      <w:r w:rsidR="00051E17" w:rsidRPr="0051206B">
        <w:rPr>
          <w:sz w:val="16"/>
          <w:szCs w:val="16"/>
          <w:lang w:val="en-US"/>
        </w:rPr>
        <w:t xml:space="preserve">Con-trait (reverse-scored) items are presented in bold, and item numbering follows the sequence in </w:t>
      </w:r>
      <w:r w:rsidR="00051E17" w:rsidRPr="0051206B">
        <w:rPr>
          <w:sz w:val="16"/>
          <w:szCs w:val="16"/>
          <w:lang w:val="en-US"/>
        </w:rPr>
        <w:fldChar w:fldCharType="begin"/>
      </w:r>
      <w:r w:rsidR="00051E17" w:rsidRPr="0051206B">
        <w:rPr>
          <w:sz w:val="16"/>
          <w:szCs w:val="16"/>
          <w:lang w:val="en-US"/>
        </w:rPr>
        <w:instrText xml:space="preserve"> ADDIN ZOTERO_ITEM CSL_CITATION {"citationID":"3Tslec6E","properties":{"formattedCitation":"(Altemeyer, 2006, pp. 11\\uc0\\u8211{}12)","plainCitation":"(Altemeyer, 2006, pp. 11–12)","noteIndex":0},"citationItems":[{"id":305,"uris":["http://zotero.org/users/9667483/items/6AFAU63K"],"itemData":{"id":305,"type":"book","language":"en","number-of-pages":"254","publisher":"Bob Altemeyer","source":"Zotero","title":"The Authoritarians","URL":"https://theauthoritarians.org/wp-content/uploads/2024/08/TheAuthoritarians.pdf","author":[{"family":"Altemeyer","given":"Bob"}],"issued":{"date-parts":[["2006"]]}},"locator":"11-12","label":"page"}],"schema":"https://github.com/citation-style-language/schema/raw/master/csl-citation.json"} </w:instrText>
      </w:r>
      <w:r w:rsidR="00051E17" w:rsidRPr="0051206B">
        <w:rPr>
          <w:sz w:val="16"/>
          <w:szCs w:val="16"/>
          <w:lang w:val="en-US"/>
        </w:rPr>
        <w:fldChar w:fldCharType="separate"/>
      </w:r>
      <w:proofErr w:type="spellStart"/>
      <w:r w:rsidR="00051E17" w:rsidRPr="0051206B">
        <w:rPr>
          <w:i/>
          <w:iCs/>
          <w:sz w:val="16"/>
          <w:szCs w:val="16"/>
        </w:rPr>
        <w:t>Altemeyer</w:t>
      </w:r>
      <w:proofErr w:type="spellEnd"/>
      <w:r w:rsidR="00051E17" w:rsidRPr="0051206B">
        <w:rPr>
          <w:sz w:val="16"/>
          <w:szCs w:val="16"/>
        </w:rPr>
        <w:t xml:space="preserve"> </w:t>
      </w:r>
      <w:r w:rsidR="00051E17" w:rsidRPr="0051206B">
        <w:rPr>
          <w:sz w:val="16"/>
          <w:szCs w:val="16"/>
        </w:rPr>
        <w:t>(</w:t>
      </w:r>
      <w:r w:rsidR="00051E17" w:rsidRPr="0051206B">
        <w:rPr>
          <w:sz w:val="16"/>
          <w:szCs w:val="16"/>
        </w:rPr>
        <w:t>2006, pp. 11–12)</w:t>
      </w:r>
      <w:r w:rsidR="00051E17" w:rsidRPr="0051206B">
        <w:rPr>
          <w:sz w:val="16"/>
          <w:szCs w:val="16"/>
          <w:lang w:val="en-US"/>
        </w:rPr>
        <w:fldChar w:fldCharType="end"/>
      </w:r>
      <w:r w:rsidR="00051E17" w:rsidRPr="0051206B">
        <w:rPr>
          <w:sz w:val="16"/>
          <w:szCs w:val="16"/>
          <w:lang w:val="en-US"/>
        </w:rPr>
        <w:t xml:space="preserve">. </w:t>
      </w:r>
      <w:r w:rsidR="00051E17" w:rsidRPr="0051206B">
        <w:rPr>
          <w:sz w:val="16"/>
          <w:szCs w:val="16"/>
          <w:lang w:val="en-US"/>
        </w:rPr>
        <w:t>Color shading is applied to facilitate pairwise comparisons between raw and CMB-corrected data. All indicators are based on a dataset of 99 complete cases.</w:t>
      </w:r>
    </w:p>
    <w:p w14:paraId="61E69645" w14:textId="7604F9FF" w:rsidR="00051E17" w:rsidRPr="0051206B" w:rsidRDefault="00051E17" w:rsidP="00CC5204">
      <w:pPr>
        <w:jc w:val="both"/>
        <w:rPr>
          <w:sz w:val="16"/>
          <w:szCs w:val="16"/>
          <w:lang w:val="uk-UA"/>
        </w:rPr>
      </w:pPr>
      <w:r w:rsidRPr="0051206B">
        <w:rPr>
          <w:sz w:val="16"/>
          <w:szCs w:val="16"/>
          <w:lang w:val="en-US"/>
        </w:rPr>
        <w:t xml:space="preserve">The item-rest correlation assesses the relationship between each item and the total score of the remaining items, corresponding to the </w:t>
      </w:r>
      <w:proofErr w:type="spellStart"/>
      <w:r w:rsidRPr="0051206B">
        <w:rPr>
          <w:i/>
          <w:iCs/>
          <w:sz w:val="16"/>
          <w:szCs w:val="16"/>
          <w:lang w:val="en-US"/>
        </w:rPr>
        <w:t>r.drop</w:t>
      </w:r>
      <w:proofErr w:type="spellEnd"/>
      <w:r w:rsidRPr="0051206B">
        <w:rPr>
          <w:sz w:val="16"/>
          <w:szCs w:val="16"/>
          <w:lang w:val="en-US"/>
        </w:rPr>
        <w:t xml:space="preserve"> column in the output of the alpha() function from the </w:t>
      </w:r>
      <w:r w:rsidRPr="0051206B">
        <w:rPr>
          <w:i/>
          <w:iCs/>
          <w:sz w:val="16"/>
          <w:szCs w:val="16"/>
          <w:lang w:val="en-US"/>
        </w:rPr>
        <w:t>psych</w:t>
      </w:r>
      <w:r w:rsidRPr="0051206B">
        <w:rPr>
          <w:sz w:val="16"/>
          <w:szCs w:val="16"/>
          <w:lang w:val="en-US"/>
        </w:rPr>
        <w:t xml:space="preserve"> package in </w:t>
      </w:r>
      <w:r w:rsidRPr="0051206B">
        <w:rPr>
          <w:i/>
          <w:iCs/>
          <w:sz w:val="16"/>
          <w:szCs w:val="16"/>
          <w:lang w:val="en-US"/>
        </w:rPr>
        <w:t>R</w:t>
      </w:r>
      <w:r w:rsidRPr="0051206B">
        <w:rPr>
          <w:sz w:val="16"/>
          <w:szCs w:val="16"/>
          <w:lang w:val="en-US"/>
        </w:rPr>
        <w:t xml:space="preserve"> </w:t>
      </w:r>
      <w:r w:rsidRPr="0051206B">
        <w:rPr>
          <w:sz w:val="16"/>
          <w:szCs w:val="16"/>
          <w:lang w:val="en-US"/>
        </w:rPr>
        <w:fldChar w:fldCharType="begin"/>
      </w:r>
      <w:r w:rsidRPr="0051206B">
        <w:rPr>
          <w:sz w:val="16"/>
          <w:szCs w:val="16"/>
          <w:lang w:val="en-US"/>
        </w:rPr>
        <w:instrText xml:space="preserve"> ADDIN ZOTERO_ITEM CSL_CITATION {"citationID":"dWj9d0Po","properties":{"formattedCitation":"(Revelle, 2024)","plainCitation":"(Revelle, 2024)","noteIndex":0},"citationItems":[{"id":491,"uris":["http://zotero.org/users/9667483/items/7L4NG545"],"itemData":{"id":491,"type":"dataset","abstract":"A general purpose toolbox developed originally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Validation and cross validation of scales developed using basic machine learning algorithms are provided, as are functions for simulating and testing particular item and test structures. Several functions  serve as a useful front end for structural equation modeling.  Graphical displays of path diagrams, including mediation models, factor analysis and structural equation models are created using basic graphics. Some of the functions are written to support a book on psychometric theory as well as publications in personality research. For more information, see the &lt;https://personality-project.org/r/&gt; web page.","DOI":"10.32614/CRAN.package.psych","language":"en","note":"Institution: Comprehensive R Archive Network\npage: 2.4.12","source":"DOI.org (Crossref)","title":"psych: Procedures for Psychological, Psychometric, and Personality Research","title-short":"psych","URL":"https://CRAN.R-project.org/package=psych","version":"R package version 2.4.12","author":[{"family":"Revelle","given":"William"}],"accessed":{"date-parts":[["2025",1,2]]},"issued":{"date-parts":[["2024",12,5]]}}}],"schema":"https://github.com/citation-style-language/schema/raw/master/csl-citation.json"} </w:instrText>
      </w:r>
      <w:r w:rsidRPr="0051206B">
        <w:rPr>
          <w:sz w:val="16"/>
          <w:szCs w:val="16"/>
          <w:lang w:val="en-US"/>
        </w:rPr>
        <w:fldChar w:fldCharType="separate"/>
      </w:r>
      <w:r w:rsidRPr="0051206B">
        <w:rPr>
          <w:sz w:val="16"/>
          <w:szCs w:val="16"/>
        </w:rPr>
        <w:t>(</w:t>
      </w:r>
      <w:proofErr w:type="spellStart"/>
      <w:r w:rsidRPr="0051206B">
        <w:rPr>
          <w:sz w:val="16"/>
          <w:szCs w:val="16"/>
        </w:rPr>
        <w:t>Revelle</w:t>
      </w:r>
      <w:proofErr w:type="spellEnd"/>
      <w:r w:rsidRPr="0051206B">
        <w:rPr>
          <w:sz w:val="16"/>
          <w:szCs w:val="16"/>
        </w:rPr>
        <w:t>, 2024)</w:t>
      </w:r>
      <w:r w:rsidRPr="0051206B">
        <w:rPr>
          <w:sz w:val="16"/>
          <w:szCs w:val="16"/>
          <w:lang w:val="en-US"/>
        </w:rPr>
        <w:fldChar w:fldCharType="end"/>
      </w:r>
      <w:r w:rsidRPr="0051206B">
        <w:rPr>
          <w:sz w:val="16"/>
          <w:szCs w:val="16"/>
          <w:lang w:val="en-US"/>
        </w:rPr>
        <w:t xml:space="preserve">. Test-retest reliability is measured using the Intraclass Correlation Coefficient (ICC), calculated based on a two-way random-effects model with absolute agreement and single measures, as implemented in the </w:t>
      </w:r>
      <w:proofErr w:type="spellStart"/>
      <w:r w:rsidRPr="0051206B">
        <w:rPr>
          <w:i/>
          <w:iCs/>
          <w:sz w:val="16"/>
          <w:szCs w:val="16"/>
          <w:lang w:val="en-US"/>
        </w:rPr>
        <w:t>irr</w:t>
      </w:r>
      <w:proofErr w:type="spellEnd"/>
      <w:r w:rsidRPr="0051206B">
        <w:rPr>
          <w:sz w:val="16"/>
          <w:szCs w:val="16"/>
          <w:lang w:val="en-US"/>
        </w:rPr>
        <w:t xml:space="preserve"> package in </w:t>
      </w:r>
      <w:r w:rsidRPr="0051206B">
        <w:rPr>
          <w:i/>
          <w:iCs/>
          <w:sz w:val="16"/>
          <w:szCs w:val="16"/>
          <w:lang w:val="en-US"/>
        </w:rPr>
        <w:t>R</w:t>
      </w:r>
      <w:r w:rsidRPr="0051206B">
        <w:rPr>
          <w:sz w:val="16"/>
          <w:szCs w:val="16"/>
          <w:lang w:val="uk-UA"/>
        </w:rPr>
        <w:t xml:space="preserve"> </w:t>
      </w:r>
      <w:r w:rsidRPr="0051206B">
        <w:rPr>
          <w:sz w:val="16"/>
          <w:szCs w:val="16"/>
          <w:lang w:val="en-US"/>
        </w:rPr>
        <w:fldChar w:fldCharType="begin"/>
      </w:r>
      <w:r w:rsidRPr="0051206B">
        <w:rPr>
          <w:sz w:val="16"/>
          <w:szCs w:val="16"/>
          <w:lang w:val="en-US"/>
        </w:rPr>
        <w:instrText xml:space="preserve"> ADDIN ZOTERO_ITEM CSL_CITATION {"citationID":"hg5q38AT","properties":{"formattedCitation":"(Gamer et al., 2022)","plainCitation":"(Gamer et al., 2022)","noteIndex":0},"citationItems":[{"id":502,"uris":["http://zotero.org/users/9667483/items/2SKQLHDZ"],"itemData":{"id":502,"type":"dataset","abstract":"Coefficients of Interrater Reliability and Agreement for quantitative, ordinal and nominal data: ICC, Finn-Coefficient, Robinson's A, Kendall's W, Cohen's Kappa, ...","DOI":"10.32614/CRAN.package.irr","language":"en","note":"Institution: Comprehensive R Archive Network\npage: 0.84.1","source":"DOI.org (Crossref)","title":"irr: Various Coefficients of Interrater Reliability and Agreement","title-short":"irr","URL":"https://CRAN.R-project.org/package=irr","version":"0.84.1","author":[{"family":"Gamer","given":"Matthias"},{"family":"Lemon","given":"Jim"},{"family":"Fellows","given":"Ian"},{"family":"Singh","given":"Puspendra"}],"accessed":{"date-parts":[["2025",1,20]]},"issued":{"date-parts":[["2022",10,13]]}}}],"schema":"https://github.com/citation-style-language/schema/raw/master/csl-citation.json"} </w:instrText>
      </w:r>
      <w:r w:rsidRPr="0051206B">
        <w:rPr>
          <w:sz w:val="16"/>
          <w:szCs w:val="16"/>
          <w:lang w:val="en-US"/>
        </w:rPr>
        <w:fldChar w:fldCharType="separate"/>
      </w:r>
      <w:r w:rsidRPr="0051206B">
        <w:rPr>
          <w:sz w:val="16"/>
          <w:szCs w:val="16"/>
        </w:rPr>
        <w:t>(Gamer et al., 2022)</w:t>
      </w:r>
      <w:r w:rsidRPr="0051206B">
        <w:rPr>
          <w:sz w:val="16"/>
          <w:szCs w:val="16"/>
          <w:lang w:val="en-US"/>
        </w:rPr>
        <w:fldChar w:fldCharType="end"/>
      </w:r>
      <w:r w:rsidRPr="0051206B">
        <w:rPr>
          <w:sz w:val="16"/>
          <w:szCs w:val="16"/>
          <w:lang w:val="en-US"/>
        </w:rPr>
        <w:t>.</w:t>
      </w:r>
    </w:p>
    <w:p w14:paraId="1033D4F1" w14:textId="4BE844F0" w:rsidR="00051E17" w:rsidRPr="0051206B" w:rsidRDefault="002E666D" w:rsidP="00AF396C">
      <w:pPr>
        <w:jc w:val="both"/>
        <w:rPr>
          <w:sz w:val="16"/>
          <w:szCs w:val="16"/>
          <w:lang w:val="en-US"/>
        </w:rPr>
      </w:pPr>
      <w:r w:rsidRPr="0051206B">
        <w:rPr>
          <w:sz w:val="16"/>
          <w:szCs w:val="16"/>
          <w:lang w:val="en-US"/>
        </w:rPr>
        <w:t>CMB-corrected item scores were computed relative to the full scale (RWA20) and remain unchanged from Appendix A, following the procedure detailed in the article. In contrast, item-total and item-rest correlations are calculated against the abridged scale (RWA13), which explains their differences from the same indicators in Appendix A, where they were computed using the full scale. However, test-retest reliability for each item remains unchanged compared to the full RWA20 (Appendix A).</w:t>
      </w:r>
    </w:p>
    <w:p w14:paraId="63196BF7" w14:textId="230097BF" w:rsidR="00051E17" w:rsidRPr="0051206B" w:rsidRDefault="00F024B5" w:rsidP="00AF396C">
      <w:pPr>
        <w:jc w:val="both"/>
        <w:rPr>
          <w:sz w:val="16"/>
          <w:szCs w:val="16"/>
          <w:lang w:val="en-US"/>
        </w:rPr>
      </w:pPr>
      <w:r w:rsidRPr="0051206B">
        <w:rPr>
          <w:sz w:val="16"/>
          <w:szCs w:val="16"/>
          <w:lang w:val="en-US"/>
        </w:rPr>
        <w:t xml:space="preserve">The last column provides references to other abridged versions of the RWA scale that included these items: </w:t>
      </w:r>
      <w:r w:rsidRPr="0051206B">
        <w:rPr>
          <w:i/>
          <w:iCs/>
          <w:sz w:val="16"/>
          <w:szCs w:val="16"/>
          <w:lang w:val="en-US"/>
        </w:rPr>
        <w:t>Altemeyer-10</w:t>
      </w:r>
      <w:r w:rsidRPr="0051206B">
        <w:rPr>
          <w:sz w:val="16"/>
          <w:szCs w:val="16"/>
          <w:lang w:val="en-US"/>
        </w:rPr>
        <w:t xml:space="preserve"> </w:t>
      </w:r>
      <w:r w:rsidR="00B3165D" w:rsidRPr="0051206B">
        <w:rPr>
          <w:sz w:val="16"/>
          <w:szCs w:val="16"/>
          <w:lang w:val="en-US"/>
        </w:rPr>
        <w:fldChar w:fldCharType="begin"/>
      </w:r>
      <w:r w:rsidR="00B3165D" w:rsidRPr="0051206B">
        <w:rPr>
          <w:sz w:val="16"/>
          <w:szCs w:val="16"/>
          <w:lang w:val="en-US"/>
        </w:rPr>
        <w:instrText xml:space="preserve"> ADDIN ZOTERO_ITEM CSL_CITATION {"citationID":"EogB64GU","properties":{"formattedCitation":"(Altemeyer, 2022)","plainCitation":"(Altemeyer, 2022)","noteIndex":0},"citationItems":[{"id":307,"uris":["http://zotero.org/users/9667483/items/98URU7R6"],"itemData":{"id":307,"type":"post-weblog","title":"A Shorter Version of the RWA Scale","URL":"https://theauthoritarians.org/a-shorter-version-of-the-rwa-scale/","author":[{"family":"Altemeyer","given":"Bob"}],"issued":{"date-parts":[["2022"]]}}}],"schema":"https://github.com/citation-style-language/schema/raw/master/csl-citation.json"} </w:instrText>
      </w:r>
      <w:r w:rsidR="00B3165D" w:rsidRPr="0051206B">
        <w:rPr>
          <w:sz w:val="16"/>
          <w:szCs w:val="16"/>
          <w:lang w:val="en-US"/>
        </w:rPr>
        <w:fldChar w:fldCharType="separate"/>
      </w:r>
      <w:r w:rsidR="00B3165D" w:rsidRPr="0051206B">
        <w:rPr>
          <w:sz w:val="16"/>
          <w:szCs w:val="16"/>
        </w:rPr>
        <w:t>(</w:t>
      </w:r>
      <w:r w:rsidR="00B3165D" w:rsidRPr="0051206B">
        <w:rPr>
          <w:sz w:val="16"/>
          <w:szCs w:val="16"/>
          <w:lang w:val="en-US"/>
        </w:rPr>
        <w:t>Altemeyer’s 10-item short form,</w:t>
      </w:r>
      <w:r w:rsidR="00B3165D" w:rsidRPr="0051206B">
        <w:rPr>
          <w:sz w:val="16"/>
          <w:szCs w:val="16"/>
          <w:lang w:val="uk-UA"/>
        </w:rPr>
        <w:t xml:space="preserve"> </w:t>
      </w:r>
      <w:proofErr w:type="spellStart"/>
      <w:r w:rsidR="00B3165D" w:rsidRPr="0051206B">
        <w:rPr>
          <w:sz w:val="16"/>
          <w:szCs w:val="16"/>
        </w:rPr>
        <w:t>Altemeyer</w:t>
      </w:r>
      <w:proofErr w:type="spellEnd"/>
      <w:r w:rsidR="00B3165D" w:rsidRPr="0051206B">
        <w:rPr>
          <w:sz w:val="16"/>
          <w:szCs w:val="16"/>
        </w:rPr>
        <w:t>, 2022)</w:t>
      </w:r>
      <w:r w:rsidR="00B3165D" w:rsidRPr="0051206B">
        <w:rPr>
          <w:sz w:val="16"/>
          <w:szCs w:val="16"/>
          <w:lang w:val="en-US"/>
        </w:rPr>
        <w:fldChar w:fldCharType="end"/>
      </w:r>
      <w:r w:rsidRPr="0051206B">
        <w:rPr>
          <w:sz w:val="16"/>
          <w:szCs w:val="16"/>
          <w:lang w:val="en-US"/>
        </w:rPr>
        <w:t xml:space="preserve">, </w:t>
      </w:r>
      <w:r w:rsidRPr="0051206B">
        <w:rPr>
          <w:i/>
          <w:iCs/>
          <w:sz w:val="16"/>
          <w:szCs w:val="16"/>
          <w:lang w:val="en-US"/>
        </w:rPr>
        <w:t>Duckitt-20</w:t>
      </w:r>
      <w:r w:rsidRPr="0051206B">
        <w:rPr>
          <w:sz w:val="16"/>
          <w:szCs w:val="16"/>
          <w:lang w:val="en-US"/>
        </w:rPr>
        <w:t xml:space="preserve"> </w:t>
      </w:r>
      <w:r w:rsidR="00B3165D" w:rsidRPr="0051206B">
        <w:rPr>
          <w:sz w:val="16"/>
          <w:szCs w:val="16"/>
          <w:lang w:val="en-US"/>
        </w:rPr>
        <w:fldChar w:fldCharType="begin"/>
      </w:r>
      <w:r w:rsidR="00B3165D" w:rsidRPr="0051206B">
        <w:rPr>
          <w:sz w:val="16"/>
          <w:szCs w:val="16"/>
          <w:lang w:val="en-US"/>
        </w:rPr>
        <w:instrText xml:space="preserve"> ADDIN ZOTERO_ITEM CSL_CITATION {"citationID":"JYBaXpEL","properties":{"formattedCitation":"(Duckitt &amp; Fisher, 2003)","plainCitation":"(Duckitt &amp; Fisher, 2003)","noteIndex":0},"citationItems":[{"id":478,"uris":["http://zotero.org/users/9667483/items/R7BQKBBX"],"itemData":{"id":478,"type":"article-journal","abstract":"Research has shown that social threat correlates with ideological authoritarianism, but the issues of causal direction and speciﬁcity of threat to particular ideological attitudes remain unclear. Here, a theoretical model is proposed in which social threat has an impact on authoritarianism speciﬁcally, with the effect mediated through social worldview. The model was experimentally tested with a sample of undergraduates who responded to one of three hypothetical scenarios describing a future New Zealand that was secure, threatening, or essentially unaltered. Both threat and security inﬂuenced social worldview, but only threat inﬂuenced authoritarianism, with differential effects on two factorially distinct subdimensions (conservative and authoritarian social control attitudes) and with the effects of threat mediated through worldview. There was a weak effect of threat on social dominance that was entirely mediated through authoritarianism. The ﬁndings support the proposed theoretical model of how personal and social contextual factors causally affect people’s social worldviews and ideological attitudes.","container-title":"Political Psychology","DOI":"10.1111/0162-895X.00322","ISSN":"0162-895X, 1467-9221","issue":"1","journalAbbreviation":"Political Psychology","language":"en","page":"199-222","source":"DOI.org (Crossref)","title":"The Impact of Social Threat on Worldview and Ideological Attitudes","volume":"24","author":[{"family":"Duckitt","given":"John"},{"family":"Fisher","given":"Kirstin"}],"issued":{"date-parts":[["2003",3]]}}}],"schema":"https://github.com/citation-style-language/schema/raw/master/csl-citation.json"} </w:instrText>
      </w:r>
      <w:r w:rsidR="00B3165D" w:rsidRPr="0051206B">
        <w:rPr>
          <w:sz w:val="16"/>
          <w:szCs w:val="16"/>
          <w:lang w:val="en-US"/>
        </w:rPr>
        <w:fldChar w:fldCharType="separate"/>
      </w:r>
      <w:r w:rsidR="00B3165D" w:rsidRPr="0051206B">
        <w:rPr>
          <w:sz w:val="16"/>
          <w:szCs w:val="16"/>
        </w:rPr>
        <w:t>(</w:t>
      </w:r>
      <w:proofErr w:type="spellStart"/>
      <w:r w:rsidR="00B3165D" w:rsidRPr="0051206B">
        <w:rPr>
          <w:sz w:val="16"/>
          <w:szCs w:val="16"/>
          <w:lang w:val="en-US"/>
        </w:rPr>
        <w:t>Duckitt</w:t>
      </w:r>
      <w:proofErr w:type="spellEnd"/>
      <w:r w:rsidR="00B3165D" w:rsidRPr="0051206B">
        <w:rPr>
          <w:sz w:val="16"/>
          <w:szCs w:val="16"/>
          <w:lang w:val="en-US"/>
        </w:rPr>
        <w:t xml:space="preserve"> &amp; Fisher’s 20-item version, </w:t>
      </w:r>
      <w:proofErr w:type="spellStart"/>
      <w:r w:rsidR="00B3165D" w:rsidRPr="0051206B">
        <w:rPr>
          <w:sz w:val="16"/>
          <w:szCs w:val="16"/>
        </w:rPr>
        <w:t>Duckitt</w:t>
      </w:r>
      <w:proofErr w:type="spellEnd"/>
      <w:r w:rsidR="00B3165D" w:rsidRPr="0051206B">
        <w:rPr>
          <w:sz w:val="16"/>
          <w:szCs w:val="16"/>
        </w:rPr>
        <w:t xml:space="preserve"> &amp; Fisher, 2003)</w:t>
      </w:r>
      <w:r w:rsidR="00B3165D" w:rsidRPr="0051206B">
        <w:rPr>
          <w:sz w:val="16"/>
          <w:szCs w:val="16"/>
          <w:lang w:val="en-US"/>
        </w:rPr>
        <w:fldChar w:fldCharType="end"/>
      </w:r>
      <w:r w:rsidRPr="0051206B">
        <w:rPr>
          <w:sz w:val="16"/>
          <w:szCs w:val="16"/>
          <w:lang w:val="en-US"/>
        </w:rPr>
        <w:t xml:space="preserve">, </w:t>
      </w:r>
      <w:r w:rsidRPr="0051206B">
        <w:rPr>
          <w:i/>
          <w:iCs/>
          <w:sz w:val="16"/>
          <w:szCs w:val="16"/>
          <w:lang w:val="en-US"/>
        </w:rPr>
        <w:t>Funke-12</w:t>
      </w:r>
      <w:r w:rsidRPr="0051206B">
        <w:rPr>
          <w:sz w:val="16"/>
          <w:szCs w:val="16"/>
          <w:lang w:val="en-US"/>
        </w:rPr>
        <w:t xml:space="preserve"> </w:t>
      </w:r>
      <w:r w:rsidR="00B3165D" w:rsidRPr="0051206B">
        <w:rPr>
          <w:sz w:val="16"/>
          <w:szCs w:val="16"/>
          <w:lang w:val="en-US"/>
        </w:rPr>
        <w:fldChar w:fldCharType="begin"/>
      </w:r>
      <w:r w:rsidR="00B3165D" w:rsidRPr="0051206B">
        <w:rPr>
          <w:sz w:val="16"/>
          <w:szCs w:val="16"/>
          <w:lang w:val="en-US"/>
        </w:rPr>
        <w:instrText xml:space="preserve"> ADDIN ZOTERO_ITEM CSL_CITATION {"citationID":"LQta9Q88","properties":{"formattedCitation":"(Funke, 2005)","plainCitation":"(Funke, 2005)","noteIndex":0},"citationItems":[{"id":309,"uris":["http://zotero.org/users/9667483/items/RVAMKIYU"],"itemData":{"id":309,"type":"article-journal","abstract":"The RWA Scale (\n              Altemeyer, 1981\n              ,\n              1988\n              ,\n              1996\n              ) is commonly regarded as the best measure of right‐wing authoritarianism. The one‐dimensional instrument assesses the covariation of three attitudinal clusters: authoritarian submission, authoritarian aggression, and conventionalism. The incongruence between the implicit conceptual dimensionality on the one hand and methodological operationalization on the other makes room for discussion about whether it would be advantageous to measure the 3 facets of RWA separately. I rely on three arguments: (1) confirmatory factor analyses showing that three‐dimensional scales fit the data better than the conventional one‐dimensional practice; (2) the dimensions showing a considerable interdimension discrepancy in their capability to explain validation criteria; and (3) the dimensions showing an intradimensional discrepancy which is dependent upon the research question. The argumentation is illustrated by empirical evidence from several Web‐based studies among German Internet users.","container-title":"Political Psychology","DOI":"10.1111/j.1467-9221.2005.00415.x","ISSN":"0162-895X, 1467-9221","issue":"2","journalAbbreviation":"Political Psychology","language":"en","page":"195-218","source":"DOI.org (Crossref)","title":"The Dimensionality of Right‐Wing Authoritarianism: Lessons from the Dilemma between Theory and Measurement","title-short":"The Dimensionality of Right‐Wing Authoritarianism","volume":"26","author":[{"family":"Funke","given":"Friedrich"}],"issued":{"date-parts":[["2005",4]]}}}],"schema":"https://github.com/citation-style-language/schema/raw/master/csl-citation.json"} </w:instrText>
      </w:r>
      <w:r w:rsidR="00B3165D" w:rsidRPr="0051206B">
        <w:rPr>
          <w:sz w:val="16"/>
          <w:szCs w:val="16"/>
          <w:lang w:val="en-US"/>
        </w:rPr>
        <w:fldChar w:fldCharType="separate"/>
      </w:r>
      <w:r w:rsidR="00B3165D" w:rsidRPr="0051206B">
        <w:rPr>
          <w:sz w:val="16"/>
          <w:szCs w:val="16"/>
        </w:rPr>
        <w:t>(</w:t>
      </w:r>
      <w:r w:rsidR="00B3165D" w:rsidRPr="0051206B">
        <w:rPr>
          <w:sz w:val="16"/>
          <w:szCs w:val="16"/>
          <w:lang w:val="en-US"/>
        </w:rPr>
        <w:t>Funke’s 12-item German adaptation</w:t>
      </w:r>
      <w:r w:rsidR="00B3165D" w:rsidRPr="0051206B">
        <w:rPr>
          <w:sz w:val="16"/>
          <w:szCs w:val="16"/>
          <w:lang w:val="en-US"/>
        </w:rPr>
        <w:t>,</w:t>
      </w:r>
      <w:r w:rsidR="00B3165D" w:rsidRPr="0051206B">
        <w:rPr>
          <w:sz w:val="16"/>
          <w:szCs w:val="16"/>
        </w:rPr>
        <w:t xml:space="preserve"> </w:t>
      </w:r>
      <w:r w:rsidR="00B3165D" w:rsidRPr="0051206B">
        <w:rPr>
          <w:sz w:val="16"/>
          <w:szCs w:val="16"/>
        </w:rPr>
        <w:t>Funke, 2005)</w:t>
      </w:r>
      <w:r w:rsidR="00B3165D" w:rsidRPr="0051206B">
        <w:rPr>
          <w:sz w:val="16"/>
          <w:szCs w:val="16"/>
          <w:lang w:val="en-US"/>
        </w:rPr>
        <w:fldChar w:fldCharType="end"/>
      </w:r>
      <w:r w:rsidRPr="0051206B">
        <w:rPr>
          <w:sz w:val="16"/>
          <w:szCs w:val="16"/>
          <w:lang w:val="en-US"/>
        </w:rPr>
        <w:t xml:space="preserve">, </w:t>
      </w:r>
      <w:r w:rsidRPr="0051206B">
        <w:rPr>
          <w:i/>
          <w:iCs/>
          <w:sz w:val="16"/>
          <w:szCs w:val="16"/>
          <w:lang w:val="en-US"/>
        </w:rPr>
        <w:t>Mavor-14</w:t>
      </w:r>
      <w:r w:rsidRPr="0051206B">
        <w:rPr>
          <w:sz w:val="16"/>
          <w:szCs w:val="16"/>
          <w:lang w:val="en-US"/>
        </w:rPr>
        <w:t xml:space="preserve"> </w:t>
      </w:r>
      <w:r w:rsidR="00397CFB" w:rsidRPr="0051206B">
        <w:rPr>
          <w:sz w:val="16"/>
          <w:szCs w:val="16"/>
          <w:lang w:val="en-US"/>
        </w:rPr>
        <w:fldChar w:fldCharType="begin"/>
      </w:r>
      <w:r w:rsidR="00397CFB" w:rsidRPr="0051206B">
        <w:rPr>
          <w:sz w:val="16"/>
          <w:szCs w:val="16"/>
          <w:lang w:val="en-US"/>
        </w:rPr>
        <w:instrText xml:space="preserve"> ADDIN ZOTERO_ITEM CSL_CITATION {"citationID":"5IUthRWy","properties":{"formattedCitation":"(Mavor, 2012)","plainCitation":"(Mavor, 2012)","noteIndex":0},"citationItems":[{"id":495,"uris":["http://zotero.org/users/9667483/items/UJHV758N"],"itemData":{"id":495,"type":"post-weblog","language":"en","title":"The 14 item RWA:ACS scale","URL":"https://mavorlab.wp.st-andrews.ac.uk/files/2013/06/The-14-item-RWA-ACS-scale.pdf","author":[{"family":"Mavor","given":"Ken"}],"issued":{"date-parts":[["2012"]]}}}],"schema":"https://github.com/citation-style-language/schema/raw/master/csl-citation.json"} </w:instrText>
      </w:r>
      <w:r w:rsidR="00397CFB" w:rsidRPr="0051206B">
        <w:rPr>
          <w:sz w:val="16"/>
          <w:szCs w:val="16"/>
          <w:lang w:val="en-US"/>
        </w:rPr>
        <w:fldChar w:fldCharType="separate"/>
      </w:r>
      <w:r w:rsidR="00397CFB" w:rsidRPr="0051206B">
        <w:rPr>
          <w:sz w:val="16"/>
          <w:szCs w:val="16"/>
        </w:rPr>
        <w:t>(</w:t>
      </w:r>
      <w:r w:rsidR="00397CFB" w:rsidRPr="0051206B">
        <w:rPr>
          <w:sz w:val="16"/>
          <w:szCs w:val="16"/>
          <w:lang w:val="en-US"/>
        </w:rPr>
        <w:t xml:space="preserve">Mavor’s 14-item abridgment, </w:t>
      </w:r>
      <w:proofErr w:type="spellStart"/>
      <w:r w:rsidR="00397CFB" w:rsidRPr="0051206B">
        <w:rPr>
          <w:sz w:val="16"/>
          <w:szCs w:val="16"/>
        </w:rPr>
        <w:t>Mavor</w:t>
      </w:r>
      <w:proofErr w:type="spellEnd"/>
      <w:r w:rsidR="00397CFB" w:rsidRPr="0051206B">
        <w:rPr>
          <w:sz w:val="16"/>
          <w:szCs w:val="16"/>
        </w:rPr>
        <w:t>, 2012)</w:t>
      </w:r>
      <w:r w:rsidR="00397CFB" w:rsidRPr="0051206B">
        <w:rPr>
          <w:sz w:val="16"/>
          <w:szCs w:val="16"/>
          <w:lang w:val="en-US"/>
        </w:rPr>
        <w:fldChar w:fldCharType="end"/>
      </w:r>
      <w:r w:rsidRPr="0051206B">
        <w:rPr>
          <w:sz w:val="16"/>
          <w:szCs w:val="16"/>
          <w:lang w:val="en-US"/>
        </w:rPr>
        <w:t xml:space="preserve">, </w:t>
      </w:r>
      <w:r w:rsidRPr="0051206B">
        <w:rPr>
          <w:i/>
          <w:iCs/>
          <w:sz w:val="16"/>
          <w:szCs w:val="16"/>
          <w:lang w:val="en-US"/>
        </w:rPr>
        <w:t>Rattazzi-14</w:t>
      </w:r>
      <w:r w:rsidRPr="0051206B">
        <w:rPr>
          <w:sz w:val="16"/>
          <w:szCs w:val="16"/>
          <w:lang w:val="en-US"/>
        </w:rPr>
        <w:t xml:space="preserve"> </w:t>
      </w:r>
      <w:r w:rsidR="00BF3CD5" w:rsidRPr="0051206B">
        <w:rPr>
          <w:sz w:val="16"/>
          <w:szCs w:val="16"/>
          <w:lang w:val="en-US"/>
        </w:rPr>
        <w:fldChar w:fldCharType="begin"/>
      </w:r>
      <w:r w:rsidR="00BF3CD5" w:rsidRPr="0051206B">
        <w:rPr>
          <w:sz w:val="16"/>
          <w:szCs w:val="16"/>
          <w:lang w:val="en-US"/>
        </w:rPr>
        <w:instrText xml:space="preserve"> ADDIN ZOTERO_ITEM CSL_CITATION {"citationID":"pASk0hsH","properties":{"formattedCitation":"(Rattazzi et al., 2007)","plainCitation":"(Rattazzi et al., 2007)","noteIndex":0},"citationItems":[{"id":335,"uris":["http://zotero.org/users/9667483/items/STCU4XI3"],"itemData":{"id":335,"type":"article-journal","abstract":"The paper presents a short version of the Right-Wing Authoritarianism (RWA) Scale. The results of two studies are described. In the ﬁrst one, conducted on a sample of 363 university students, the short version is developed by means of exploratory and conﬁrmatory factor analyses, which supported a two dimensions solution. The two dimensions have been labelled as ‘‘authoritarian aggression and submission’’ and ‘‘conservatism’’. Diﬀerent issues concerning the factorial structure are tested and discussed. Subsequently, the relationships between authoritarianism, subtle and blatant prejudice towards Islamic immigrants in Italy, and participants’ political orientation are examined. Compared to conservatism the authoritarian aggression and submission dimension is more strongly associated to prejudice and right-wing political orientation. In the second study, carried out on a sample of 201 adults, the validity of the short version is successfully supported. Diﬀerences due to gender, age, and level of education are also examined.","container-title":"Personality and Individual Differences","DOI":"10.1016/j.paid.2007.03.013","ISSN":"01918869","issue":"5","journalAbbreviation":"Personality and Individual Differences","language":"en","license":"https://www.elsevier.com/tdm/userlicense/1.0/","page":"1223-1234","source":"DOI.org (Crossref)","title":"A short version of the Right-Wing Authoritarianism (RWA) Scale","volume":"43","author":[{"family":"Rattazzi","given":"Anna Maria Manganelli"},{"family":"Bobbio","given":"Andrea"},{"family":"Canova","given":"Luigina"}],"issued":{"date-parts":[["2007",10]]}}}],"schema":"https://github.com/citation-style-language/schema/raw/master/csl-citation.json"} </w:instrText>
      </w:r>
      <w:r w:rsidR="00BF3CD5" w:rsidRPr="0051206B">
        <w:rPr>
          <w:sz w:val="16"/>
          <w:szCs w:val="16"/>
          <w:lang w:val="en-US"/>
        </w:rPr>
        <w:fldChar w:fldCharType="separate"/>
      </w:r>
      <w:r w:rsidR="00BF3CD5" w:rsidRPr="0051206B">
        <w:rPr>
          <w:sz w:val="16"/>
          <w:szCs w:val="16"/>
        </w:rPr>
        <w:t>(</w:t>
      </w:r>
      <w:r w:rsidR="00BF3CD5" w:rsidRPr="0051206B">
        <w:rPr>
          <w:sz w:val="16"/>
          <w:szCs w:val="16"/>
          <w:lang w:val="en-US"/>
        </w:rPr>
        <w:t xml:space="preserve">Rattazzi et al.’s 14-item Italian version, </w:t>
      </w:r>
      <w:proofErr w:type="spellStart"/>
      <w:r w:rsidR="00BF3CD5" w:rsidRPr="0051206B">
        <w:rPr>
          <w:sz w:val="16"/>
          <w:szCs w:val="16"/>
        </w:rPr>
        <w:t>Rattazzi</w:t>
      </w:r>
      <w:proofErr w:type="spellEnd"/>
      <w:r w:rsidR="00BF3CD5" w:rsidRPr="0051206B">
        <w:rPr>
          <w:sz w:val="16"/>
          <w:szCs w:val="16"/>
        </w:rPr>
        <w:t xml:space="preserve"> et al., 2007)</w:t>
      </w:r>
      <w:r w:rsidR="00BF3CD5" w:rsidRPr="0051206B">
        <w:rPr>
          <w:sz w:val="16"/>
          <w:szCs w:val="16"/>
          <w:lang w:val="en-US"/>
        </w:rPr>
        <w:fldChar w:fldCharType="end"/>
      </w:r>
      <w:r w:rsidRPr="0051206B">
        <w:rPr>
          <w:sz w:val="16"/>
          <w:szCs w:val="16"/>
          <w:lang w:val="en-US"/>
        </w:rPr>
        <w:t xml:space="preserve">, and </w:t>
      </w:r>
      <w:r w:rsidRPr="0051206B">
        <w:rPr>
          <w:i/>
          <w:iCs/>
          <w:sz w:val="16"/>
          <w:szCs w:val="16"/>
          <w:lang w:val="en-US"/>
        </w:rPr>
        <w:t>Zakrisson-15</w:t>
      </w:r>
      <w:r w:rsidRPr="0051206B">
        <w:rPr>
          <w:sz w:val="16"/>
          <w:szCs w:val="16"/>
          <w:lang w:val="en-US"/>
        </w:rPr>
        <w:t xml:space="preserve"> </w:t>
      </w:r>
      <w:r w:rsidR="00293FEA" w:rsidRPr="0051206B">
        <w:rPr>
          <w:sz w:val="16"/>
          <w:szCs w:val="16"/>
          <w:lang w:val="en-US"/>
        </w:rPr>
        <w:fldChar w:fldCharType="begin"/>
      </w:r>
      <w:r w:rsidR="00293FEA" w:rsidRPr="0051206B">
        <w:rPr>
          <w:sz w:val="16"/>
          <w:szCs w:val="16"/>
          <w:lang w:val="en-US"/>
        </w:rPr>
        <w:instrText xml:space="preserve"> ADDIN ZOTERO_ITEM CSL_CITATION {"citationID":"HsPVBIlS","properties":{"formattedCitation":"(Zakrisson, 2005)","plainCitation":"(Zakrisson, 2005)","noteIndex":0},"citationItems":[{"id":331,"uris":["http://zotero.org/users/9667483/items/UDJG5QN6"],"itemData":{"id":331,"type":"article-journal","abstract":"This study presents an attempt to develop a short (15 item) version of the Right-Wing Authoritarianism (RWA) scale (Altemeyer, 1998). Participants were three samples of high school and university students (17–50 years old). The scale developed had items that were shorter, with less extreme wording, and less reference to speciﬁc groups (e.g., women, homosexuals), i.e., relating to attitudes to be predicted from RWA, rather than being part of the RWA concept itself. The scale displayed reliabilities (CronbachÕs alpha) varying between 0.72 and 0.80 in the three samples. Multiple regression analyses revealed that the short RWA scale substantially contributed to the variance in ethnic tolerance, racism, and sexism (when controlling for social dominance orientation). It was discussed that this version of the RWA scale presumably taps a somewhat narrower authoritarianism concept, but still functions as predicted from theory and earlier research.","container-title":"Personality and Individual Differences","DOI":"10.1016/j.paid.2005.02.026","ISSN":"01918869","issue":"5","journalAbbreviation":"Personality and Individual Differences","language":"en","license":"https://www.elsevier.com/tdm/userlicense/1.0/","page":"863-872","source":"DOI.org (Crossref)","title":"Construction of a short version of the Right-Wing Authoritarianism (RWA) scale","volume":"39","author":[{"family":"Zakrisson","given":"Ingrid"}],"issued":{"date-parts":[["2005",10]]}}}],"schema":"https://github.com/citation-style-language/schema/raw/master/csl-citation.json"} </w:instrText>
      </w:r>
      <w:r w:rsidR="00293FEA" w:rsidRPr="0051206B">
        <w:rPr>
          <w:sz w:val="16"/>
          <w:szCs w:val="16"/>
          <w:lang w:val="en-US"/>
        </w:rPr>
        <w:fldChar w:fldCharType="separate"/>
      </w:r>
      <w:r w:rsidR="00293FEA" w:rsidRPr="0051206B">
        <w:rPr>
          <w:sz w:val="16"/>
          <w:szCs w:val="16"/>
        </w:rPr>
        <w:t>(</w:t>
      </w:r>
      <w:r w:rsidR="00293FEA" w:rsidRPr="0051206B">
        <w:rPr>
          <w:sz w:val="16"/>
          <w:szCs w:val="16"/>
          <w:lang w:val="en-US"/>
        </w:rPr>
        <w:t xml:space="preserve">Zakrisson’s 15-item Swedish version, </w:t>
      </w:r>
      <w:proofErr w:type="spellStart"/>
      <w:r w:rsidR="00293FEA" w:rsidRPr="0051206B">
        <w:rPr>
          <w:sz w:val="16"/>
          <w:szCs w:val="16"/>
        </w:rPr>
        <w:t>Zakrisson</w:t>
      </w:r>
      <w:proofErr w:type="spellEnd"/>
      <w:r w:rsidR="00293FEA" w:rsidRPr="0051206B">
        <w:rPr>
          <w:sz w:val="16"/>
          <w:szCs w:val="16"/>
        </w:rPr>
        <w:t>, 2005)</w:t>
      </w:r>
      <w:r w:rsidR="00293FEA" w:rsidRPr="0051206B">
        <w:rPr>
          <w:sz w:val="16"/>
          <w:szCs w:val="16"/>
          <w:lang w:val="en-US"/>
        </w:rPr>
        <w:fldChar w:fldCharType="end"/>
      </w:r>
      <w:r w:rsidRPr="0051206B">
        <w:rPr>
          <w:sz w:val="16"/>
          <w:szCs w:val="16"/>
          <w:lang w:val="en-US"/>
        </w:rPr>
        <w:t>.</w:t>
      </w:r>
    </w:p>
    <w:p w14:paraId="21ECF2E4" w14:textId="77777777" w:rsidR="002E666D" w:rsidRPr="00F024B5" w:rsidRDefault="002E666D" w:rsidP="00AF396C">
      <w:pPr>
        <w:jc w:val="both"/>
        <w:rPr>
          <w:sz w:val="16"/>
          <w:szCs w:val="16"/>
          <w:lang w:val="uk-UA"/>
        </w:rPr>
      </w:pPr>
    </w:p>
    <w:sectPr w:rsidR="002E666D" w:rsidRPr="00F024B5" w:rsidSect="00270D6E">
      <w:pgSz w:w="11906" w:h="16838" w:code="9"/>
      <w:pgMar w:top="850" w:right="850"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DB"/>
    <w:rsid w:val="000243E3"/>
    <w:rsid w:val="000442A4"/>
    <w:rsid w:val="00051E17"/>
    <w:rsid w:val="00094993"/>
    <w:rsid w:val="000A16FF"/>
    <w:rsid w:val="000B6807"/>
    <w:rsid w:val="000E760C"/>
    <w:rsid w:val="000E7E5C"/>
    <w:rsid w:val="000F4340"/>
    <w:rsid w:val="00147E24"/>
    <w:rsid w:val="001575F1"/>
    <w:rsid w:val="00163D55"/>
    <w:rsid w:val="00176204"/>
    <w:rsid w:val="00186726"/>
    <w:rsid w:val="001A002E"/>
    <w:rsid w:val="001A6169"/>
    <w:rsid w:val="001D55E4"/>
    <w:rsid w:val="001E1033"/>
    <w:rsid w:val="0021692B"/>
    <w:rsid w:val="00224E40"/>
    <w:rsid w:val="00237A65"/>
    <w:rsid w:val="00253EF8"/>
    <w:rsid w:val="00270D6E"/>
    <w:rsid w:val="00293FEA"/>
    <w:rsid w:val="00297639"/>
    <w:rsid w:val="002A6D94"/>
    <w:rsid w:val="002B01E8"/>
    <w:rsid w:val="002E52C5"/>
    <w:rsid w:val="002E666D"/>
    <w:rsid w:val="00304AF9"/>
    <w:rsid w:val="00315A2A"/>
    <w:rsid w:val="0033185E"/>
    <w:rsid w:val="003341B1"/>
    <w:rsid w:val="0035235E"/>
    <w:rsid w:val="00384885"/>
    <w:rsid w:val="00385408"/>
    <w:rsid w:val="00397CFB"/>
    <w:rsid w:val="003A4A17"/>
    <w:rsid w:val="003B529B"/>
    <w:rsid w:val="003C17AB"/>
    <w:rsid w:val="003C76CC"/>
    <w:rsid w:val="003D6558"/>
    <w:rsid w:val="003F592E"/>
    <w:rsid w:val="00464431"/>
    <w:rsid w:val="00474085"/>
    <w:rsid w:val="00484FB0"/>
    <w:rsid w:val="004B49E8"/>
    <w:rsid w:val="004F0D61"/>
    <w:rsid w:val="004F6F54"/>
    <w:rsid w:val="0051206B"/>
    <w:rsid w:val="00512230"/>
    <w:rsid w:val="005171F8"/>
    <w:rsid w:val="0053082C"/>
    <w:rsid w:val="005868E0"/>
    <w:rsid w:val="005C5510"/>
    <w:rsid w:val="005D2336"/>
    <w:rsid w:val="005E2F4D"/>
    <w:rsid w:val="005E7A6D"/>
    <w:rsid w:val="005F135A"/>
    <w:rsid w:val="00614CF7"/>
    <w:rsid w:val="00662BFB"/>
    <w:rsid w:val="00672366"/>
    <w:rsid w:val="00674707"/>
    <w:rsid w:val="0067638A"/>
    <w:rsid w:val="00695E3B"/>
    <w:rsid w:val="006C31C3"/>
    <w:rsid w:val="006E08A3"/>
    <w:rsid w:val="007107CE"/>
    <w:rsid w:val="007326E3"/>
    <w:rsid w:val="00734F04"/>
    <w:rsid w:val="00741D20"/>
    <w:rsid w:val="007815CC"/>
    <w:rsid w:val="00784141"/>
    <w:rsid w:val="00794F67"/>
    <w:rsid w:val="007A322C"/>
    <w:rsid w:val="007D0983"/>
    <w:rsid w:val="007E1ECF"/>
    <w:rsid w:val="007E7F39"/>
    <w:rsid w:val="008020D6"/>
    <w:rsid w:val="00814BE5"/>
    <w:rsid w:val="008348AE"/>
    <w:rsid w:val="00856E7C"/>
    <w:rsid w:val="00866AC4"/>
    <w:rsid w:val="008A1112"/>
    <w:rsid w:val="008A419D"/>
    <w:rsid w:val="008B651E"/>
    <w:rsid w:val="008B6DC8"/>
    <w:rsid w:val="008D03DC"/>
    <w:rsid w:val="008D3ACB"/>
    <w:rsid w:val="008F7C9C"/>
    <w:rsid w:val="00922E3D"/>
    <w:rsid w:val="00927861"/>
    <w:rsid w:val="00954BEA"/>
    <w:rsid w:val="00957953"/>
    <w:rsid w:val="00963847"/>
    <w:rsid w:val="00974257"/>
    <w:rsid w:val="00991EC7"/>
    <w:rsid w:val="009B0486"/>
    <w:rsid w:val="009C0F2E"/>
    <w:rsid w:val="009D17EF"/>
    <w:rsid w:val="00A05A67"/>
    <w:rsid w:val="00A24693"/>
    <w:rsid w:val="00A25056"/>
    <w:rsid w:val="00A251DD"/>
    <w:rsid w:val="00A52383"/>
    <w:rsid w:val="00AA1AF7"/>
    <w:rsid w:val="00AB55AC"/>
    <w:rsid w:val="00AB6D26"/>
    <w:rsid w:val="00AD2F24"/>
    <w:rsid w:val="00AE37C5"/>
    <w:rsid w:val="00AE455C"/>
    <w:rsid w:val="00AF396C"/>
    <w:rsid w:val="00AF6426"/>
    <w:rsid w:val="00B15BEF"/>
    <w:rsid w:val="00B27202"/>
    <w:rsid w:val="00B3165D"/>
    <w:rsid w:val="00B64173"/>
    <w:rsid w:val="00B9115F"/>
    <w:rsid w:val="00BA14A1"/>
    <w:rsid w:val="00BB1EA0"/>
    <w:rsid w:val="00BB7C9E"/>
    <w:rsid w:val="00BD0CAD"/>
    <w:rsid w:val="00BD5BD0"/>
    <w:rsid w:val="00BF3CD5"/>
    <w:rsid w:val="00BF4B8B"/>
    <w:rsid w:val="00C04DF1"/>
    <w:rsid w:val="00C16156"/>
    <w:rsid w:val="00CA4FF9"/>
    <w:rsid w:val="00CB2DC8"/>
    <w:rsid w:val="00CC2C95"/>
    <w:rsid w:val="00CC5204"/>
    <w:rsid w:val="00CD4C8B"/>
    <w:rsid w:val="00CD6991"/>
    <w:rsid w:val="00CE73DB"/>
    <w:rsid w:val="00CF77AF"/>
    <w:rsid w:val="00D01040"/>
    <w:rsid w:val="00D143CF"/>
    <w:rsid w:val="00D34E88"/>
    <w:rsid w:val="00D37E63"/>
    <w:rsid w:val="00D558FC"/>
    <w:rsid w:val="00DB0A3E"/>
    <w:rsid w:val="00DB22B8"/>
    <w:rsid w:val="00DB3F7F"/>
    <w:rsid w:val="00DE27CF"/>
    <w:rsid w:val="00E37370"/>
    <w:rsid w:val="00E412CF"/>
    <w:rsid w:val="00E53EF7"/>
    <w:rsid w:val="00E731F6"/>
    <w:rsid w:val="00EB2E78"/>
    <w:rsid w:val="00EC00A7"/>
    <w:rsid w:val="00ED5750"/>
    <w:rsid w:val="00EE19B5"/>
    <w:rsid w:val="00EE531B"/>
    <w:rsid w:val="00F00680"/>
    <w:rsid w:val="00F00A4B"/>
    <w:rsid w:val="00F024B5"/>
    <w:rsid w:val="00F0321D"/>
    <w:rsid w:val="00F22E5F"/>
    <w:rsid w:val="00F655C6"/>
    <w:rsid w:val="00F72890"/>
    <w:rsid w:val="00F74AE0"/>
    <w:rsid w:val="00FB1838"/>
    <w:rsid w:val="00FC6959"/>
    <w:rsid w:val="00FE345C"/>
    <w:rsid w:val="00FE4561"/>
    <w:rsid w:val="00FF54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A1AF"/>
  <w15:chartTrackingRefBased/>
  <w15:docId w15:val="{21A43F71-44BC-4C05-9F86-32CE6D7B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3DB"/>
    <w:pPr>
      <w:spacing w:after="0" w:line="240" w:lineRule="auto"/>
    </w:pPr>
    <w:rPr>
      <w:rFonts w:ascii="Times New Roman" w:eastAsia="Times New Roman" w:hAnsi="Times New Roman" w:cs="Times New Roman"/>
      <w:kern w:val="0"/>
      <w:sz w:val="24"/>
      <w:szCs w:val="24"/>
      <w:lang w:val="de-DE" w:eastAsia="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73DB"/>
    <w:pPr>
      <w:spacing w:before="100" w:beforeAutospacing="1" w:after="100" w:afterAutospacing="1"/>
    </w:pPr>
    <w:rPr>
      <w:lang w:eastAsia="de-DE"/>
    </w:rPr>
  </w:style>
  <w:style w:type="table" w:styleId="a4">
    <w:name w:val="Table Grid"/>
    <w:basedOn w:val="a1"/>
    <w:uiPriority w:val="39"/>
    <w:rsid w:val="00186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B2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5856">
      <w:bodyDiv w:val="1"/>
      <w:marLeft w:val="0"/>
      <w:marRight w:val="0"/>
      <w:marTop w:val="0"/>
      <w:marBottom w:val="0"/>
      <w:divBdr>
        <w:top w:val="none" w:sz="0" w:space="0" w:color="auto"/>
        <w:left w:val="none" w:sz="0" w:space="0" w:color="auto"/>
        <w:bottom w:val="none" w:sz="0" w:space="0" w:color="auto"/>
        <w:right w:val="none" w:sz="0" w:space="0" w:color="auto"/>
      </w:divBdr>
    </w:div>
    <w:div w:id="38945030">
      <w:bodyDiv w:val="1"/>
      <w:marLeft w:val="0"/>
      <w:marRight w:val="0"/>
      <w:marTop w:val="0"/>
      <w:marBottom w:val="0"/>
      <w:divBdr>
        <w:top w:val="none" w:sz="0" w:space="0" w:color="auto"/>
        <w:left w:val="none" w:sz="0" w:space="0" w:color="auto"/>
        <w:bottom w:val="none" w:sz="0" w:space="0" w:color="auto"/>
        <w:right w:val="none" w:sz="0" w:space="0" w:color="auto"/>
      </w:divBdr>
    </w:div>
    <w:div w:id="118227590">
      <w:bodyDiv w:val="1"/>
      <w:marLeft w:val="0"/>
      <w:marRight w:val="0"/>
      <w:marTop w:val="0"/>
      <w:marBottom w:val="0"/>
      <w:divBdr>
        <w:top w:val="none" w:sz="0" w:space="0" w:color="auto"/>
        <w:left w:val="none" w:sz="0" w:space="0" w:color="auto"/>
        <w:bottom w:val="none" w:sz="0" w:space="0" w:color="auto"/>
        <w:right w:val="none" w:sz="0" w:space="0" w:color="auto"/>
      </w:divBdr>
    </w:div>
    <w:div w:id="256836938">
      <w:bodyDiv w:val="1"/>
      <w:marLeft w:val="0"/>
      <w:marRight w:val="0"/>
      <w:marTop w:val="0"/>
      <w:marBottom w:val="0"/>
      <w:divBdr>
        <w:top w:val="none" w:sz="0" w:space="0" w:color="auto"/>
        <w:left w:val="none" w:sz="0" w:space="0" w:color="auto"/>
        <w:bottom w:val="none" w:sz="0" w:space="0" w:color="auto"/>
        <w:right w:val="none" w:sz="0" w:space="0" w:color="auto"/>
      </w:divBdr>
    </w:div>
    <w:div w:id="283082555">
      <w:bodyDiv w:val="1"/>
      <w:marLeft w:val="0"/>
      <w:marRight w:val="0"/>
      <w:marTop w:val="0"/>
      <w:marBottom w:val="0"/>
      <w:divBdr>
        <w:top w:val="none" w:sz="0" w:space="0" w:color="auto"/>
        <w:left w:val="none" w:sz="0" w:space="0" w:color="auto"/>
        <w:bottom w:val="none" w:sz="0" w:space="0" w:color="auto"/>
        <w:right w:val="none" w:sz="0" w:space="0" w:color="auto"/>
      </w:divBdr>
    </w:div>
    <w:div w:id="317265482">
      <w:bodyDiv w:val="1"/>
      <w:marLeft w:val="0"/>
      <w:marRight w:val="0"/>
      <w:marTop w:val="0"/>
      <w:marBottom w:val="0"/>
      <w:divBdr>
        <w:top w:val="none" w:sz="0" w:space="0" w:color="auto"/>
        <w:left w:val="none" w:sz="0" w:space="0" w:color="auto"/>
        <w:bottom w:val="none" w:sz="0" w:space="0" w:color="auto"/>
        <w:right w:val="none" w:sz="0" w:space="0" w:color="auto"/>
      </w:divBdr>
    </w:div>
    <w:div w:id="351037024">
      <w:bodyDiv w:val="1"/>
      <w:marLeft w:val="0"/>
      <w:marRight w:val="0"/>
      <w:marTop w:val="0"/>
      <w:marBottom w:val="0"/>
      <w:divBdr>
        <w:top w:val="none" w:sz="0" w:space="0" w:color="auto"/>
        <w:left w:val="none" w:sz="0" w:space="0" w:color="auto"/>
        <w:bottom w:val="none" w:sz="0" w:space="0" w:color="auto"/>
        <w:right w:val="none" w:sz="0" w:space="0" w:color="auto"/>
      </w:divBdr>
    </w:div>
    <w:div w:id="357320123">
      <w:bodyDiv w:val="1"/>
      <w:marLeft w:val="0"/>
      <w:marRight w:val="0"/>
      <w:marTop w:val="0"/>
      <w:marBottom w:val="0"/>
      <w:divBdr>
        <w:top w:val="none" w:sz="0" w:space="0" w:color="auto"/>
        <w:left w:val="none" w:sz="0" w:space="0" w:color="auto"/>
        <w:bottom w:val="none" w:sz="0" w:space="0" w:color="auto"/>
        <w:right w:val="none" w:sz="0" w:space="0" w:color="auto"/>
      </w:divBdr>
    </w:div>
    <w:div w:id="375085660">
      <w:bodyDiv w:val="1"/>
      <w:marLeft w:val="0"/>
      <w:marRight w:val="0"/>
      <w:marTop w:val="0"/>
      <w:marBottom w:val="0"/>
      <w:divBdr>
        <w:top w:val="none" w:sz="0" w:space="0" w:color="auto"/>
        <w:left w:val="none" w:sz="0" w:space="0" w:color="auto"/>
        <w:bottom w:val="none" w:sz="0" w:space="0" w:color="auto"/>
        <w:right w:val="none" w:sz="0" w:space="0" w:color="auto"/>
      </w:divBdr>
    </w:div>
    <w:div w:id="437870809">
      <w:bodyDiv w:val="1"/>
      <w:marLeft w:val="0"/>
      <w:marRight w:val="0"/>
      <w:marTop w:val="0"/>
      <w:marBottom w:val="0"/>
      <w:divBdr>
        <w:top w:val="none" w:sz="0" w:space="0" w:color="auto"/>
        <w:left w:val="none" w:sz="0" w:space="0" w:color="auto"/>
        <w:bottom w:val="none" w:sz="0" w:space="0" w:color="auto"/>
        <w:right w:val="none" w:sz="0" w:space="0" w:color="auto"/>
      </w:divBdr>
    </w:div>
    <w:div w:id="445737170">
      <w:bodyDiv w:val="1"/>
      <w:marLeft w:val="0"/>
      <w:marRight w:val="0"/>
      <w:marTop w:val="0"/>
      <w:marBottom w:val="0"/>
      <w:divBdr>
        <w:top w:val="none" w:sz="0" w:space="0" w:color="auto"/>
        <w:left w:val="none" w:sz="0" w:space="0" w:color="auto"/>
        <w:bottom w:val="none" w:sz="0" w:space="0" w:color="auto"/>
        <w:right w:val="none" w:sz="0" w:space="0" w:color="auto"/>
      </w:divBdr>
    </w:div>
    <w:div w:id="447430356">
      <w:bodyDiv w:val="1"/>
      <w:marLeft w:val="0"/>
      <w:marRight w:val="0"/>
      <w:marTop w:val="0"/>
      <w:marBottom w:val="0"/>
      <w:divBdr>
        <w:top w:val="none" w:sz="0" w:space="0" w:color="auto"/>
        <w:left w:val="none" w:sz="0" w:space="0" w:color="auto"/>
        <w:bottom w:val="none" w:sz="0" w:space="0" w:color="auto"/>
        <w:right w:val="none" w:sz="0" w:space="0" w:color="auto"/>
      </w:divBdr>
    </w:div>
    <w:div w:id="457530142">
      <w:bodyDiv w:val="1"/>
      <w:marLeft w:val="0"/>
      <w:marRight w:val="0"/>
      <w:marTop w:val="0"/>
      <w:marBottom w:val="0"/>
      <w:divBdr>
        <w:top w:val="none" w:sz="0" w:space="0" w:color="auto"/>
        <w:left w:val="none" w:sz="0" w:space="0" w:color="auto"/>
        <w:bottom w:val="none" w:sz="0" w:space="0" w:color="auto"/>
        <w:right w:val="none" w:sz="0" w:space="0" w:color="auto"/>
      </w:divBdr>
    </w:div>
    <w:div w:id="477042645">
      <w:bodyDiv w:val="1"/>
      <w:marLeft w:val="0"/>
      <w:marRight w:val="0"/>
      <w:marTop w:val="0"/>
      <w:marBottom w:val="0"/>
      <w:divBdr>
        <w:top w:val="none" w:sz="0" w:space="0" w:color="auto"/>
        <w:left w:val="none" w:sz="0" w:space="0" w:color="auto"/>
        <w:bottom w:val="none" w:sz="0" w:space="0" w:color="auto"/>
        <w:right w:val="none" w:sz="0" w:space="0" w:color="auto"/>
      </w:divBdr>
    </w:div>
    <w:div w:id="513737806">
      <w:bodyDiv w:val="1"/>
      <w:marLeft w:val="0"/>
      <w:marRight w:val="0"/>
      <w:marTop w:val="0"/>
      <w:marBottom w:val="0"/>
      <w:divBdr>
        <w:top w:val="none" w:sz="0" w:space="0" w:color="auto"/>
        <w:left w:val="none" w:sz="0" w:space="0" w:color="auto"/>
        <w:bottom w:val="none" w:sz="0" w:space="0" w:color="auto"/>
        <w:right w:val="none" w:sz="0" w:space="0" w:color="auto"/>
      </w:divBdr>
    </w:div>
    <w:div w:id="550769670">
      <w:bodyDiv w:val="1"/>
      <w:marLeft w:val="0"/>
      <w:marRight w:val="0"/>
      <w:marTop w:val="0"/>
      <w:marBottom w:val="0"/>
      <w:divBdr>
        <w:top w:val="none" w:sz="0" w:space="0" w:color="auto"/>
        <w:left w:val="none" w:sz="0" w:space="0" w:color="auto"/>
        <w:bottom w:val="none" w:sz="0" w:space="0" w:color="auto"/>
        <w:right w:val="none" w:sz="0" w:space="0" w:color="auto"/>
      </w:divBdr>
    </w:div>
    <w:div w:id="577374102">
      <w:bodyDiv w:val="1"/>
      <w:marLeft w:val="0"/>
      <w:marRight w:val="0"/>
      <w:marTop w:val="0"/>
      <w:marBottom w:val="0"/>
      <w:divBdr>
        <w:top w:val="none" w:sz="0" w:space="0" w:color="auto"/>
        <w:left w:val="none" w:sz="0" w:space="0" w:color="auto"/>
        <w:bottom w:val="none" w:sz="0" w:space="0" w:color="auto"/>
        <w:right w:val="none" w:sz="0" w:space="0" w:color="auto"/>
      </w:divBdr>
    </w:div>
    <w:div w:id="582682555">
      <w:bodyDiv w:val="1"/>
      <w:marLeft w:val="0"/>
      <w:marRight w:val="0"/>
      <w:marTop w:val="0"/>
      <w:marBottom w:val="0"/>
      <w:divBdr>
        <w:top w:val="none" w:sz="0" w:space="0" w:color="auto"/>
        <w:left w:val="none" w:sz="0" w:space="0" w:color="auto"/>
        <w:bottom w:val="none" w:sz="0" w:space="0" w:color="auto"/>
        <w:right w:val="none" w:sz="0" w:space="0" w:color="auto"/>
      </w:divBdr>
    </w:div>
    <w:div w:id="587007074">
      <w:bodyDiv w:val="1"/>
      <w:marLeft w:val="0"/>
      <w:marRight w:val="0"/>
      <w:marTop w:val="0"/>
      <w:marBottom w:val="0"/>
      <w:divBdr>
        <w:top w:val="none" w:sz="0" w:space="0" w:color="auto"/>
        <w:left w:val="none" w:sz="0" w:space="0" w:color="auto"/>
        <w:bottom w:val="none" w:sz="0" w:space="0" w:color="auto"/>
        <w:right w:val="none" w:sz="0" w:space="0" w:color="auto"/>
      </w:divBdr>
    </w:div>
    <w:div w:id="593172920">
      <w:bodyDiv w:val="1"/>
      <w:marLeft w:val="0"/>
      <w:marRight w:val="0"/>
      <w:marTop w:val="0"/>
      <w:marBottom w:val="0"/>
      <w:divBdr>
        <w:top w:val="none" w:sz="0" w:space="0" w:color="auto"/>
        <w:left w:val="none" w:sz="0" w:space="0" w:color="auto"/>
        <w:bottom w:val="none" w:sz="0" w:space="0" w:color="auto"/>
        <w:right w:val="none" w:sz="0" w:space="0" w:color="auto"/>
      </w:divBdr>
    </w:div>
    <w:div w:id="638613195">
      <w:bodyDiv w:val="1"/>
      <w:marLeft w:val="0"/>
      <w:marRight w:val="0"/>
      <w:marTop w:val="0"/>
      <w:marBottom w:val="0"/>
      <w:divBdr>
        <w:top w:val="none" w:sz="0" w:space="0" w:color="auto"/>
        <w:left w:val="none" w:sz="0" w:space="0" w:color="auto"/>
        <w:bottom w:val="none" w:sz="0" w:space="0" w:color="auto"/>
        <w:right w:val="none" w:sz="0" w:space="0" w:color="auto"/>
      </w:divBdr>
    </w:div>
    <w:div w:id="683174003">
      <w:bodyDiv w:val="1"/>
      <w:marLeft w:val="0"/>
      <w:marRight w:val="0"/>
      <w:marTop w:val="0"/>
      <w:marBottom w:val="0"/>
      <w:divBdr>
        <w:top w:val="none" w:sz="0" w:space="0" w:color="auto"/>
        <w:left w:val="none" w:sz="0" w:space="0" w:color="auto"/>
        <w:bottom w:val="none" w:sz="0" w:space="0" w:color="auto"/>
        <w:right w:val="none" w:sz="0" w:space="0" w:color="auto"/>
      </w:divBdr>
    </w:div>
    <w:div w:id="732460747">
      <w:bodyDiv w:val="1"/>
      <w:marLeft w:val="0"/>
      <w:marRight w:val="0"/>
      <w:marTop w:val="0"/>
      <w:marBottom w:val="0"/>
      <w:divBdr>
        <w:top w:val="none" w:sz="0" w:space="0" w:color="auto"/>
        <w:left w:val="none" w:sz="0" w:space="0" w:color="auto"/>
        <w:bottom w:val="none" w:sz="0" w:space="0" w:color="auto"/>
        <w:right w:val="none" w:sz="0" w:space="0" w:color="auto"/>
      </w:divBdr>
    </w:div>
    <w:div w:id="745424033">
      <w:bodyDiv w:val="1"/>
      <w:marLeft w:val="0"/>
      <w:marRight w:val="0"/>
      <w:marTop w:val="0"/>
      <w:marBottom w:val="0"/>
      <w:divBdr>
        <w:top w:val="none" w:sz="0" w:space="0" w:color="auto"/>
        <w:left w:val="none" w:sz="0" w:space="0" w:color="auto"/>
        <w:bottom w:val="none" w:sz="0" w:space="0" w:color="auto"/>
        <w:right w:val="none" w:sz="0" w:space="0" w:color="auto"/>
      </w:divBdr>
    </w:div>
    <w:div w:id="749273233">
      <w:bodyDiv w:val="1"/>
      <w:marLeft w:val="0"/>
      <w:marRight w:val="0"/>
      <w:marTop w:val="0"/>
      <w:marBottom w:val="0"/>
      <w:divBdr>
        <w:top w:val="none" w:sz="0" w:space="0" w:color="auto"/>
        <w:left w:val="none" w:sz="0" w:space="0" w:color="auto"/>
        <w:bottom w:val="none" w:sz="0" w:space="0" w:color="auto"/>
        <w:right w:val="none" w:sz="0" w:space="0" w:color="auto"/>
      </w:divBdr>
    </w:div>
    <w:div w:id="774207325">
      <w:bodyDiv w:val="1"/>
      <w:marLeft w:val="0"/>
      <w:marRight w:val="0"/>
      <w:marTop w:val="0"/>
      <w:marBottom w:val="0"/>
      <w:divBdr>
        <w:top w:val="none" w:sz="0" w:space="0" w:color="auto"/>
        <w:left w:val="none" w:sz="0" w:space="0" w:color="auto"/>
        <w:bottom w:val="none" w:sz="0" w:space="0" w:color="auto"/>
        <w:right w:val="none" w:sz="0" w:space="0" w:color="auto"/>
      </w:divBdr>
    </w:div>
    <w:div w:id="865828672">
      <w:bodyDiv w:val="1"/>
      <w:marLeft w:val="0"/>
      <w:marRight w:val="0"/>
      <w:marTop w:val="0"/>
      <w:marBottom w:val="0"/>
      <w:divBdr>
        <w:top w:val="none" w:sz="0" w:space="0" w:color="auto"/>
        <w:left w:val="none" w:sz="0" w:space="0" w:color="auto"/>
        <w:bottom w:val="none" w:sz="0" w:space="0" w:color="auto"/>
        <w:right w:val="none" w:sz="0" w:space="0" w:color="auto"/>
      </w:divBdr>
    </w:div>
    <w:div w:id="886838183">
      <w:bodyDiv w:val="1"/>
      <w:marLeft w:val="0"/>
      <w:marRight w:val="0"/>
      <w:marTop w:val="0"/>
      <w:marBottom w:val="0"/>
      <w:divBdr>
        <w:top w:val="none" w:sz="0" w:space="0" w:color="auto"/>
        <w:left w:val="none" w:sz="0" w:space="0" w:color="auto"/>
        <w:bottom w:val="none" w:sz="0" w:space="0" w:color="auto"/>
        <w:right w:val="none" w:sz="0" w:space="0" w:color="auto"/>
      </w:divBdr>
    </w:div>
    <w:div w:id="948463525">
      <w:bodyDiv w:val="1"/>
      <w:marLeft w:val="0"/>
      <w:marRight w:val="0"/>
      <w:marTop w:val="0"/>
      <w:marBottom w:val="0"/>
      <w:divBdr>
        <w:top w:val="none" w:sz="0" w:space="0" w:color="auto"/>
        <w:left w:val="none" w:sz="0" w:space="0" w:color="auto"/>
        <w:bottom w:val="none" w:sz="0" w:space="0" w:color="auto"/>
        <w:right w:val="none" w:sz="0" w:space="0" w:color="auto"/>
      </w:divBdr>
    </w:div>
    <w:div w:id="954022078">
      <w:bodyDiv w:val="1"/>
      <w:marLeft w:val="0"/>
      <w:marRight w:val="0"/>
      <w:marTop w:val="0"/>
      <w:marBottom w:val="0"/>
      <w:divBdr>
        <w:top w:val="none" w:sz="0" w:space="0" w:color="auto"/>
        <w:left w:val="none" w:sz="0" w:space="0" w:color="auto"/>
        <w:bottom w:val="none" w:sz="0" w:space="0" w:color="auto"/>
        <w:right w:val="none" w:sz="0" w:space="0" w:color="auto"/>
      </w:divBdr>
    </w:div>
    <w:div w:id="964115845">
      <w:bodyDiv w:val="1"/>
      <w:marLeft w:val="0"/>
      <w:marRight w:val="0"/>
      <w:marTop w:val="0"/>
      <w:marBottom w:val="0"/>
      <w:divBdr>
        <w:top w:val="none" w:sz="0" w:space="0" w:color="auto"/>
        <w:left w:val="none" w:sz="0" w:space="0" w:color="auto"/>
        <w:bottom w:val="none" w:sz="0" w:space="0" w:color="auto"/>
        <w:right w:val="none" w:sz="0" w:space="0" w:color="auto"/>
      </w:divBdr>
    </w:div>
    <w:div w:id="976839049">
      <w:bodyDiv w:val="1"/>
      <w:marLeft w:val="0"/>
      <w:marRight w:val="0"/>
      <w:marTop w:val="0"/>
      <w:marBottom w:val="0"/>
      <w:divBdr>
        <w:top w:val="none" w:sz="0" w:space="0" w:color="auto"/>
        <w:left w:val="none" w:sz="0" w:space="0" w:color="auto"/>
        <w:bottom w:val="none" w:sz="0" w:space="0" w:color="auto"/>
        <w:right w:val="none" w:sz="0" w:space="0" w:color="auto"/>
      </w:divBdr>
    </w:div>
    <w:div w:id="1048843840">
      <w:bodyDiv w:val="1"/>
      <w:marLeft w:val="0"/>
      <w:marRight w:val="0"/>
      <w:marTop w:val="0"/>
      <w:marBottom w:val="0"/>
      <w:divBdr>
        <w:top w:val="none" w:sz="0" w:space="0" w:color="auto"/>
        <w:left w:val="none" w:sz="0" w:space="0" w:color="auto"/>
        <w:bottom w:val="none" w:sz="0" w:space="0" w:color="auto"/>
        <w:right w:val="none" w:sz="0" w:space="0" w:color="auto"/>
      </w:divBdr>
    </w:div>
    <w:div w:id="1075516464">
      <w:bodyDiv w:val="1"/>
      <w:marLeft w:val="0"/>
      <w:marRight w:val="0"/>
      <w:marTop w:val="0"/>
      <w:marBottom w:val="0"/>
      <w:divBdr>
        <w:top w:val="none" w:sz="0" w:space="0" w:color="auto"/>
        <w:left w:val="none" w:sz="0" w:space="0" w:color="auto"/>
        <w:bottom w:val="none" w:sz="0" w:space="0" w:color="auto"/>
        <w:right w:val="none" w:sz="0" w:space="0" w:color="auto"/>
      </w:divBdr>
    </w:div>
    <w:div w:id="1083843158">
      <w:bodyDiv w:val="1"/>
      <w:marLeft w:val="0"/>
      <w:marRight w:val="0"/>
      <w:marTop w:val="0"/>
      <w:marBottom w:val="0"/>
      <w:divBdr>
        <w:top w:val="none" w:sz="0" w:space="0" w:color="auto"/>
        <w:left w:val="none" w:sz="0" w:space="0" w:color="auto"/>
        <w:bottom w:val="none" w:sz="0" w:space="0" w:color="auto"/>
        <w:right w:val="none" w:sz="0" w:space="0" w:color="auto"/>
      </w:divBdr>
    </w:div>
    <w:div w:id="1133988755">
      <w:bodyDiv w:val="1"/>
      <w:marLeft w:val="0"/>
      <w:marRight w:val="0"/>
      <w:marTop w:val="0"/>
      <w:marBottom w:val="0"/>
      <w:divBdr>
        <w:top w:val="none" w:sz="0" w:space="0" w:color="auto"/>
        <w:left w:val="none" w:sz="0" w:space="0" w:color="auto"/>
        <w:bottom w:val="none" w:sz="0" w:space="0" w:color="auto"/>
        <w:right w:val="none" w:sz="0" w:space="0" w:color="auto"/>
      </w:divBdr>
    </w:div>
    <w:div w:id="1162894008">
      <w:bodyDiv w:val="1"/>
      <w:marLeft w:val="0"/>
      <w:marRight w:val="0"/>
      <w:marTop w:val="0"/>
      <w:marBottom w:val="0"/>
      <w:divBdr>
        <w:top w:val="none" w:sz="0" w:space="0" w:color="auto"/>
        <w:left w:val="none" w:sz="0" w:space="0" w:color="auto"/>
        <w:bottom w:val="none" w:sz="0" w:space="0" w:color="auto"/>
        <w:right w:val="none" w:sz="0" w:space="0" w:color="auto"/>
      </w:divBdr>
    </w:div>
    <w:div w:id="1180311585">
      <w:bodyDiv w:val="1"/>
      <w:marLeft w:val="0"/>
      <w:marRight w:val="0"/>
      <w:marTop w:val="0"/>
      <w:marBottom w:val="0"/>
      <w:divBdr>
        <w:top w:val="none" w:sz="0" w:space="0" w:color="auto"/>
        <w:left w:val="none" w:sz="0" w:space="0" w:color="auto"/>
        <w:bottom w:val="none" w:sz="0" w:space="0" w:color="auto"/>
        <w:right w:val="none" w:sz="0" w:space="0" w:color="auto"/>
      </w:divBdr>
    </w:div>
    <w:div w:id="1195118462">
      <w:bodyDiv w:val="1"/>
      <w:marLeft w:val="0"/>
      <w:marRight w:val="0"/>
      <w:marTop w:val="0"/>
      <w:marBottom w:val="0"/>
      <w:divBdr>
        <w:top w:val="none" w:sz="0" w:space="0" w:color="auto"/>
        <w:left w:val="none" w:sz="0" w:space="0" w:color="auto"/>
        <w:bottom w:val="none" w:sz="0" w:space="0" w:color="auto"/>
        <w:right w:val="none" w:sz="0" w:space="0" w:color="auto"/>
      </w:divBdr>
    </w:div>
    <w:div w:id="1201241444">
      <w:bodyDiv w:val="1"/>
      <w:marLeft w:val="0"/>
      <w:marRight w:val="0"/>
      <w:marTop w:val="0"/>
      <w:marBottom w:val="0"/>
      <w:divBdr>
        <w:top w:val="none" w:sz="0" w:space="0" w:color="auto"/>
        <w:left w:val="none" w:sz="0" w:space="0" w:color="auto"/>
        <w:bottom w:val="none" w:sz="0" w:space="0" w:color="auto"/>
        <w:right w:val="none" w:sz="0" w:space="0" w:color="auto"/>
      </w:divBdr>
    </w:div>
    <w:div w:id="1267811199">
      <w:bodyDiv w:val="1"/>
      <w:marLeft w:val="0"/>
      <w:marRight w:val="0"/>
      <w:marTop w:val="0"/>
      <w:marBottom w:val="0"/>
      <w:divBdr>
        <w:top w:val="none" w:sz="0" w:space="0" w:color="auto"/>
        <w:left w:val="none" w:sz="0" w:space="0" w:color="auto"/>
        <w:bottom w:val="none" w:sz="0" w:space="0" w:color="auto"/>
        <w:right w:val="none" w:sz="0" w:space="0" w:color="auto"/>
      </w:divBdr>
    </w:div>
    <w:div w:id="1426612864">
      <w:bodyDiv w:val="1"/>
      <w:marLeft w:val="0"/>
      <w:marRight w:val="0"/>
      <w:marTop w:val="0"/>
      <w:marBottom w:val="0"/>
      <w:divBdr>
        <w:top w:val="none" w:sz="0" w:space="0" w:color="auto"/>
        <w:left w:val="none" w:sz="0" w:space="0" w:color="auto"/>
        <w:bottom w:val="none" w:sz="0" w:space="0" w:color="auto"/>
        <w:right w:val="none" w:sz="0" w:space="0" w:color="auto"/>
      </w:divBdr>
    </w:div>
    <w:div w:id="1468428975">
      <w:bodyDiv w:val="1"/>
      <w:marLeft w:val="0"/>
      <w:marRight w:val="0"/>
      <w:marTop w:val="0"/>
      <w:marBottom w:val="0"/>
      <w:divBdr>
        <w:top w:val="none" w:sz="0" w:space="0" w:color="auto"/>
        <w:left w:val="none" w:sz="0" w:space="0" w:color="auto"/>
        <w:bottom w:val="none" w:sz="0" w:space="0" w:color="auto"/>
        <w:right w:val="none" w:sz="0" w:space="0" w:color="auto"/>
      </w:divBdr>
    </w:div>
    <w:div w:id="1473600196">
      <w:bodyDiv w:val="1"/>
      <w:marLeft w:val="0"/>
      <w:marRight w:val="0"/>
      <w:marTop w:val="0"/>
      <w:marBottom w:val="0"/>
      <w:divBdr>
        <w:top w:val="none" w:sz="0" w:space="0" w:color="auto"/>
        <w:left w:val="none" w:sz="0" w:space="0" w:color="auto"/>
        <w:bottom w:val="none" w:sz="0" w:space="0" w:color="auto"/>
        <w:right w:val="none" w:sz="0" w:space="0" w:color="auto"/>
      </w:divBdr>
    </w:div>
    <w:div w:id="1484084545">
      <w:bodyDiv w:val="1"/>
      <w:marLeft w:val="0"/>
      <w:marRight w:val="0"/>
      <w:marTop w:val="0"/>
      <w:marBottom w:val="0"/>
      <w:divBdr>
        <w:top w:val="none" w:sz="0" w:space="0" w:color="auto"/>
        <w:left w:val="none" w:sz="0" w:space="0" w:color="auto"/>
        <w:bottom w:val="none" w:sz="0" w:space="0" w:color="auto"/>
        <w:right w:val="none" w:sz="0" w:space="0" w:color="auto"/>
      </w:divBdr>
    </w:div>
    <w:div w:id="1505587039">
      <w:bodyDiv w:val="1"/>
      <w:marLeft w:val="0"/>
      <w:marRight w:val="0"/>
      <w:marTop w:val="0"/>
      <w:marBottom w:val="0"/>
      <w:divBdr>
        <w:top w:val="none" w:sz="0" w:space="0" w:color="auto"/>
        <w:left w:val="none" w:sz="0" w:space="0" w:color="auto"/>
        <w:bottom w:val="none" w:sz="0" w:space="0" w:color="auto"/>
        <w:right w:val="none" w:sz="0" w:space="0" w:color="auto"/>
      </w:divBdr>
    </w:div>
    <w:div w:id="1550533239">
      <w:bodyDiv w:val="1"/>
      <w:marLeft w:val="0"/>
      <w:marRight w:val="0"/>
      <w:marTop w:val="0"/>
      <w:marBottom w:val="0"/>
      <w:divBdr>
        <w:top w:val="none" w:sz="0" w:space="0" w:color="auto"/>
        <w:left w:val="none" w:sz="0" w:space="0" w:color="auto"/>
        <w:bottom w:val="none" w:sz="0" w:space="0" w:color="auto"/>
        <w:right w:val="none" w:sz="0" w:space="0" w:color="auto"/>
      </w:divBdr>
    </w:div>
    <w:div w:id="1553275528">
      <w:bodyDiv w:val="1"/>
      <w:marLeft w:val="0"/>
      <w:marRight w:val="0"/>
      <w:marTop w:val="0"/>
      <w:marBottom w:val="0"/>
      <w:divBdr>
        <w:top w:val="none" w:sz="0" w:space="0" w:color="auto"/>
        <w:left w:val="none" w:sz="0" w:space="0" w:color="auto"/>
        <w:bottom w:val="none" w:sz="0" w:space="0" w:color="auto"/>
        <w:right w:val="none" w:sz="0" w:space="0" w:color="auto"/>
      </w:divBdr>
    </w:div>
    <w:div w:id="1577861157">
      <w:bodyDiv w:val="1"/>
      <w:marLeft w:val="0"/>
      <w:marRight w:val="0"/>
      <w:marTop w:val="0"/>
      <w:marBottom w:val="0"/>
      <w:divBdr>
        <w:top w:val="none" w:sz="0" w:space="0" w:color="auto"/>
        <w:left w:val="none" w:sz="0" w:space="0" w:color="auto"/>
        <w:bottom w:val="none" w:sz="0" w:space="0" w:color="auto"/>
        <w:right w:val="none" w:sz="0" w:space="0" w:color="auto"/>
      </w:divBdr>
    </w:div>
    <w:div w:id="1613319798">
      <w:bodyDiv w:val="1"/>
      <w:marLeft w:val="0"/>
      <w:marRight w:val="0"/>
      <w:marTop w:val="0"/>
      <w:marBottom w:val="0"/>
      <w:divBdr>
        <w:top w:val="none" w:sz="0" w:space="0" w:color="auto"/>
        <w:left w:val="none" w:sz="0" w:space="0" w:color="auto"/>
        <w:bottom w:val="none" w:sz="0" w:space="0" w:color="auto"/>
        <w:right w:val="none" w:sz="0" w:space="0" w:color="auto"/>
      </w:divBdr>
    </w:div>
    <w:div w:id="1733967968">
      <w:bodyDiv w:val="1"/>
      <w:marLeft w:val="0"/>
      <w:marRight w:val="0"/>
      <w:marTop w:val="0"/>
      <w:marBottom w:val="0"/>
      <w:divBdr>
        <w:top w:val="none" w:sz="0" w:space="0" w:color="auto"/>
        <w:left w:val="none" w:sz="0" w:space="0" w:color="auto"/>
        <w:bottom w:val="none" w:sz="0" w:space="0" w:color="auto"/>
        <w:right w:val="none" w:sz="0" w:space="0" w:color="auto"/>
      </w:divBdr>
    </w:div>
    <w:div w:id="1909025838">
      <w:bodyDiv w:val="1"/>
      <w:marLeft w:val="0"/>
      <w:marRight w:val="0"/>
      <w:marTop w:val="0"/>
      <w:marBottom w:val="0"/>
      <w:divBdr>
        <w:top w:val="none" w:sz="0" w:space="0" w:color="auto"/>
        <w:left w:val="none" w:sz="0" w:space="0" w:color="auto"/>
        <w:bottom w:val="none" w:sz="0" w:space="0" w:color="auto"/>
        <w:right w:val="none" w:sz="0" w:space="0" w:color="auto"/>
      </w:divBdr>
    </w:div>
    <w:div w:id="1919288300">
      <w:bodyDiv w:val="1"/>
      <w:marLeft w:val="0"/>
      <w:marRight w:val="0"/>
      <w:marTop w:val="0"/>
      <w:marBottom w:val="0"/>
      <w:divBdr>
        <w:top w:val="none" w:sz="0" w:space="0" w:color="auto"/>
        <w:left w:val="none" w:sz="0" w:space="0" w:color="auto"/>
        <w:bottom w:val="none" w:sz="0" w:space="0" w:color="auto"/>
        <w:right w:val="none" w:sz="0" w:space="0" w:color="auto"/>
      </w:divBdr>
    </w:div>
    <w:div w:id="2055811363">
      <w:bodyDiv w:val="1"/>
      <w:marLeft w:val="0"/>
      <w:marRight w:val="0"/>
      <w:marTop w:val="0"/>
      <w:marBottom w:val="0"/>
      <w:divBdr>
        <w:top w:val="none" w:sz="0" w:space="0" w:color="auto"/>
        <w:left w:val="none" w:sz="0" w:space="0" w:color="auto"/>
        <w:bottom w:val="none" w:sz="0" w:space="0" w:color="auto"/>
        <w:right w:val="none" w:sz="0" w:space="0" w:color="auto"/>
      </w:divBdr>
    </w:div>
    <w:div w:id="2088961188">
      <w:bodyDiv w:val="1"/>
      <w:marLeft w:val="0"/>
      <w:marRight w:val="0"/>
      <w:marTop w:val="0"/>
      <w:marBottom w:val="0"/>
      <w:divBdr>
        <w:top w:val="none" w:sz="0" w:space="0" w:color="auto"/>
        <w:left w:val="none" w:sz="0" w:space="0" w:color="auto"/>
        <w:bottom w:val="none" w:sz="0" w:space="0" w:color="auto"/>
        <w:right w:val="none" w:sz="0" w:space="0" w:color="auto"/>
      </w:divBdr>
    </w:div>
    <w:div w:id="212219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11665</Words>
  <Characters>6650</Characters>
  <Application>Microsoft Office Word</Application>
  <DocSecurity>0</DocSecurity>
  <Lines>55</Lines>
  <Paragraphs>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Tsymbal</dc:creator>
  <cp:keywords/>
  <dc:description/>
  <cp:lastModifiedBy>Taras Tsymbal</cp:lastModifiedBy>
  <cp:revision>54</cp:revision>
  <dcterms:created xsi:type="dcterms:W3CDTF">2025-01-30T23:25:00Z</dcterms:created>
  <dcterms:modified xsi:type="dcterms:W3CDTF">2025-02-20T22:03:00Z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id="FuhwlSbw"/&gt;&lt;style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