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01.png" ContentType="image/png"/>
  <Override PartName="/word/media/rId70.png" ContentType="image/png"/>
  <Override PartName="/word/media/rId83.png" ContentType="image/png"/>
  <Override PartName="/word/media/rId89.png" ContentType="image/png"/>
  <Override PartName="/word/media/rId80.png" ContentType="image/png"/>
  <Override PartName="/word/media/rId40.png" ContentType="image/png"/>
  <Override PartName="/word/media/rId31.png" ContentType="image/png"/>
  <Override PartName="/word/media/rId63.png" ContentType="image/png"/>
  <Override PartName="/word/media/rId98.png" ContentType="image/png"/>
  <Override PartName="/word/media/rId92.png" ContentType="image/png"/>
  <Override PartName="/word/media/rId28.png" ContentType="image/png"/>
  <Override PartName="/word/media/rId37.png" ContentType="image/png"/>
  <Override PartName="/word/media/rId95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Field</w:t>
      </w:r>
      <w:r>
        <w:rPr>
          <w:bCs/>
          <w:b/>
        </w:rPr>
        <w:t xml:space="preserve"> </w:t>
      </w:r>
      <w:r>
        <w:rPr>
          <w:bCs/>
          <w:b/>
        </w:rPr>
        <w:t xml:space="preserve">Dynamics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Environment</w:t>
      </w:r>
      <w:r>
        <w:rPr>
          <w:bCs/>
          <w:b/>
        </w:rPr>
        <w:t xml:space="preserve"> </w:t>
      </w:r>
      <w:r>
        <w:rPr>
          <w:bCs/>
          <w:b/>
        </w:rPr>
        <w:t xml:space="preserve">Modeling</w:t>
      </w:r>
      <w:r>
        <w:br/>
      </w:r>
      <w:r>
        <w:t xml:space="preserve">Standalone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MSc</w:t>
      </w:r>
      <w:r>
        <w:t xml:space="preserve"> </w:t>
      </w:r>
      <w:r>
        <w:t xml:space="preserve">Thesis:</w:t>
      </w:r>
      <w:r>
        <w:br/>
      </w:r>
      <w:r>
        <w:t xml:space="preserve">“</w:t>
      </w:r>
      <w:r>
        <w:t xml:space="preserve">Modern</w:t>
      </w:r>
      <w:r>
        <w:t xml:space="preserve"> </w:t>
      </w:r>
      <w:r>
        <w:t xml:space="preserve">Control</w:t>
      </w:r>
      <w:r>
        <w:t xml:space="preserve"> </w:t>
      </w:r>
      <w:r>
        <w:t xml:space="preserve">Methods</w:t>
      </w:r>
      <w:r>
        <w:t xml:space="preserve"> </w:t>
      </w:r>
      <w:r>
        <w:t xml:space="preserve">for</w:t>
      </w:r>
      <w:r>
        <w:t xml:space="preserve"> </w:t>
      </w:r>
      <w:r>
        <w:t xml:space="preserve">Agricultural</w:t>
      </w:r>
      <w:r>
        <w:t xml:space="preserve"> </w:t>
      </w:r>
      <w:r>
        <w:t xml:space="preserve">Irrigation</w:t>
      </w:r>
      <w:r>
        <w:t xml:space="preserve">”</w:t>
      </w:r>
    </w:p>
    <w:p>
      <w:pPr>
        <w:pStyle w:val="Author"/>
      </w:pPr>
      <w:r>
        <w:t xml:space="preserve">Tara</w:t>
      </w:r>
      <w:r>
        <w:t xml:space="preserve"> </w:t>
      </w:r>
      <w:r>
        <w:t xml:space="preserve">Torbati</w:t>
      </w:r>
      <w:r>
        <w:br/>
      </w:r>
      <w:r>
        <w:t xml:space="preserve">ITMO</w:t>
      </w:r>
      <w:r>
        <w:t xml:space="preserve"> </w:t>
      </w:r>
      <w:r>
        <w:t xml:space="preserve">University,</w:t>
      </w:r>
      <w:r>
        <w:t xml:space="preserve"> </w:t>
      </w:r>
      <w:r>
        <w:t xml:space="preserve">Saint</w:t>
      </w:r>
      <w:r>
        <w:t xml:space="preserve"> </w:t>
      </w:r>
      <w:r>
        <w:t xml:space="preserve">Petersburg,</w:t>
      </w:r>
      <w:r>
        <w:t xml:space="preserve"> </w:t>
      </w:r>
      <w:r>
        <w:t xml:space="preserve">Russia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bookmarkStart w:id="21" w:name="study-site-description"/>
    <w:p>
      <w:pPr>
        <w:pStyle w:val="Heading1"/>
      </w:pPr>
      <w:r>
        <w:t xml:space="preserve">Study Site Description</w:t>
      </w:r>
    </w:p>
    <w:p>
      <w:pPr>
        <w:pStyle w:val="FirstParagraph"/>
      </w:pPr>
      <w:r>
        <w:t xml:space="preserve">The study site is a 6-hectare agricultural field located in Gilan Province, Iran (38.298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N, 48.847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E), in the humid subtropical coastal zone south of the Caspian Sea. Gilan is Iran’s primary rice-producing province, accounting for over 238,000 hectares of paddy fields [1]. The field exhibits a bowl-shaped topography with elevations ranging from 74 m to 181 m above sea level. A digital elevation model (DEM) was obtained from USGS Earth Explorer and processed in QGIS to extract 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13</m:t>
        </m:r>
      </m:oMath>
      <w:r>
        <w:t xml:space="preserve"> </w:t>
      </w:r>
      <w:r>
        <w:t xml:space="preserve">grid of 130 computational agents, each representing approximately 462 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0" w:name="topological-graph-construction"/>
    <w:p>
      <w:pPr>
        <w:pStyle w:val="Heading2"/>
      </w:pPr>
      <w:r>
        <w:t xml:space="preserve">Topological Graph Construction</w:t>
      </w:r>
    </w:p>
    <w:p>
      <w:pPr>
        <w:pStyle w:val="FirstParagraph"/>
      </w:pPr>
      <w:r>
        <w:t xml:space="preserve">The DEM was used to construct a directed graph encoding water flow topology. For each agent </w:t>
      </w:r>
      <m:oMath>
        <m:r>
          <m:t>n</m:t>
        </m:r>
      </m:oMath>
      <w:r>
        <w:t xml:space="preserve">, the normalized elevation was computed as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. Each agent sends lateral water flow to all eight-connected neighbors with strictly lower normalized elevation. The number of lower neighbors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determines the agent’s drainage capacity. Agents with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classified as</w:t>
      </w:r>
      <w:r>
        <w:t xml:space="preserve"> </w:t>
      </w:r>
      <w:r>
        <w:rPr>
          <w:iCs/>
          <w:i/>
        </w:rPr>
        <w:t xml:space="preserve">sink agents</w:t>
      </w:r>
      <w:r>
        <w:t xml:space="preserve">—local minima where water accumulates. On this bowl-shaped field, sink agents are concentrated near the center and represent areas at risk of waterlogging.</w:t>
      </w:r>
    </w:p>
    <w:bookmarkEnd w:id="20"/>
    <w:bookmarkEnd w:id="21"/>
    <w:bookmarkStart w:id="35" w:name="climate-data"/>
    <w:p>
      <w:pPr>
        <w:pStyle w:val="Heading1"/>
      </w:pPr>
      <w:r>
        <w:t xml:space="preserve">Climate Data</w:t>
      </w:r>
    </w:p>
    <w:bookmarkStart w:id="22" w:name="data-source-and-period"/>
    <w:p>
      <w:pPr>
        <w:pStyle w:val="Heading2"/>
      </w:pPr>
      <w:r>
        <w:t xml:space="preserve">Data Source and Period</w:t>
      </w:r>
    </w:p>
    <w:p>
      <w:pPr>
        <w:pStyle w:val="FirstParagraph"/>
      </w:pPr>
      <w:r>
        <w:t xml:space="preserve">Daily meteorological data were obtained from the NASA POWER database for 2000–2025 at coordinates (38.30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N, 48.85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E), providing satellite-derived and reanalysis-based parameters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</w:t>
      </w:r>
      <m:oMath>
        <m:r>
          <m:rPr>
            <m:sty m:val="p"/>
          </m:rPr>
          <m:t>×</m:t>
        </m:r>
      </m:oMath>
      <w:r>
        <w:t xml:space="preserve">60 km resolution. Thirteen variables were extracted: T2M, T2M_MAX, T2M_MIN, PRECTOTCORR, RH2M, WS2M, PS, T2MDEW, ALLSKY_SFC_SW_DWN, GWETROOT, and GWETTOP.</w:t>
      </w:r>
    </w:p>
    <w:bookmarkEnd w:id="22"/>
    <w:bookmarkStart w:id="23" w:name="preprocessing"/>
    <w:p>
      <w:pPr>
        <w:pStyle w:val="Heading2"/>
      </w:pPr>
      <w:r>
        <w:t xml:space="preserve">Preprocessing</w:t>
      </w:r>
    </w:p>
    <w:p>
      <w:pPr>
        <w:pStyle w:val="FirstParagraph"/>
      </w:pPr>
      <w:r>
        <w:t xml:space="preserve">The dataset was filtered to April–October for each year, yielding 5,564 daily records. No missing values were found. One rainfall anomaly was identified (April 7, 2022: 375 mm) and replaced with the calendar-day average (1.2 mm). Two reference evapotranspiration values were computed for each day (Section </w:t>
      </w:r>
      <w:hyperlink w:anchor="sec:et0">
        <w:r>
          <w:rPr>
            <w:rStyle w:val="Hyperlink"/>
          </w:rPr>
          <w:t xml:space="preserve">2.3</w:t>
        </w:r>
      </w:hyperlink>
      <w:r>
        <w:t xml:space="preserve">).</w:t>
      </w:r>
    </w:p>
    <w:bookmarkEnd w:id="23"/>
    <w:bookmarkStart w:id="27" w:name="sec:et0"/>
    <w:p>
      <w:pPr>
        <w:pStyle w:val="Heading2"/>
      </w:pPr>
      <w:r>
        <w:t xml:space="preserve">Reference Evapotranspiration</w:t>
      </w:r>
    </w:p>
    <w:p>
      <w:pPr>
        <w:pStyle w:val="FirstParagraph"/>
      </w:pPr>
      <w:r>
        <w:t xml:space="preserve">Two methods were compared:</w:t>
      </w:r>
    </w:p>
    <w:p>
      <w:pPr>
        <w:pStyle w:val="BodyText"/>
      </w:pPr>
      <w:r>
        <w:rPr>
          <w:bCs/>
          <w:b/>
        </w:rPr>
        <w:t xml:space="preserve">Hargreaves equation</w:t>
      </w:r>
      <w:r>
        <w:t xml:space="preserve"> [2]: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ET</m:t>
            </m:r>
          </m:e>
          <m:sub>
            <m:r>
              <m:t>0</m:t>
            </m:r>
          </m:sub>
          <m:sup>
            <m:r>
              <m:t>H</m:t>
            </m:r>
          </m:sup>
        </m:sSubSup>
        <m:r>
          <m:rPr>
            <m:sty m:val="p"/>
          </m:rPr>
          <m:t>=</m:t>
        </m:r>
        <m:r>
          <m:t>0.0023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mean</m:t>
                </m:r>
              </m:sub>
            </m:sSub>
            <m:r>
              <m:rPr>
                <m:sty m:val="p"/>
              </m:rPr>
              <m:t>+</m:t>
            </m:r>
            <m:r>
              <m:t>17.8</m:t>
            </m:r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rPr>
                        <m:nor/>
                        <m:sty m:val="p"/>
                      </m:rPr>
                      <m:t>max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rPr>
                        <m:nor/>
                        <m:sty m:val="p"/>
                      </m:rPr>
                      <m:t>min</m:t>
                    </m:r>
                  </m:sub>
                </m:sSub>
              </m:e>
            </m:d>
          </m:e>
          <m:sup>
            <m:r>
              <m:t>0.5</m:t>
            </m:r>
          </m:sup>
        </m:sSup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s</m:t>
            </m:r>
          </m:sub>
        </m:sSub>
      </m:oMath>
    </w:p>
    <w:p>
      <w:pPr>
        <w:pStyle w:val="BodyText"/>
      </w:pPr>
      <w:r>
        <w:rPr>
          <w:bCs/>
          <w:b/>
        </w:rPr>
        <w:t xml:space="preserve">FAO Penman-Monteith</w:t>
      </w:r>
      <w:r>
        <w:t xml:space="preserve"> [2]: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ET</m:t>
              </m:r>
            </m:e>
            <m:sub>
              <m:r>
                <m:t>0</m:t>
              </m:r>
            </m:sub>
            <m:sup>
              <m:r>
                <m:t>P</m:t>
              </m:r>
              <m:r>
                <m:t>M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0.408</m:t>
              </m:r>
              <m:r>
                <m:t> </m:t>
              </m:r>
              <m:r>
                <m:t>Δ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r>
                <m:t>γ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900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273</m:t>
                  </m:r>
                </m:den>
              </m:f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0.34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Over the 25-year rice season, Hargreaves overestimated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34% (6.78 vs 5.02 mm/day,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0.965</m:t>
        </m:r>
      </m:oMath>
      <w:r>
        <w:t xml:space="preserve">). This is due to Gilan’s high humidity (</w:t>
      </w:r>
      <m:oMath>
        <m:r>
          <m:rPr>
            <m:sty m:val="p"/>
          </m:rPr>
          <m:t>∼</m:t>
        </m:r>
      </m:oMath>
      <w:r>
        <w:t xml:space="preserve">64%) and low wind (</w:t>
      </w:r>
      <m:oMath>
        <m:r>
          <m:rPr>
            <m:sty m:val="p"/>
          </m:rPr>
          <m:t>∼</m:t>
        </m:r>
      </m:oMath>
      <w:r>
        <w:t xml:space="preserve">1.40 m/s), which suppress evapotranspiration but are not captured by Hargreaves. Penman-Monteith was selected as the standard [2].</w:t>
      </w:r>
    </w:p>
    <w:p>
      <w:pPr>
        <w:pStyle w:val="CaptionedFigure"/>
      </w:pPr>
      <w:r>
        <w:drawing>
          <wp:inline>
            <wp:extent cx="5334000" cy="218634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fig_et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6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Hargreaves and Penman-Monteith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. Left: seasonal pattern. Right: scatter plot with regression.</w:t>
      </w:r>
    </w:p>
    <w:bookmarkEnd w:id="27"/>
    <w:bookmarkStart w:id="34" w:name="year-climatology"/>
    <w:p>
      <w:pPr>
        <w:pStyle w:val="Heading2"/>
      </w:pPr>
      <w:r>
        <w:t xml:space="preserve">25-Year Climatology</w:t>
      </w:r>
    </w:p>
    <w:p>
      <w:pPr>
        <w:pStyle w:val="FirstParagraph"/>
      </w:pPr>
      <w:r>
        <w:t xml:space="preserve">Mean temperature ranges from 12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in early April to 26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in mid-July. Precipitation shows a dry mid-season (June–August, 0.5–1.5 mm/day) flanked by wetter months. Solar radiation peaks at 26 MJ/m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/day in June. Relative humidity remains 60–75% throughout—a defining feature of Gilan’s Caspian climate. Additional climate figures are provided in Appendix A.</w:t>
      </w:r>
    </w:p>
    <w:p>
      <w:pPr>
        <w:pStyle w:val="CaptionedFigure"/>
      </w:pPr>
      <w:r>
        <w:drawing>
          <wp:inline>
            <wp:extent cx="5334000" cy="224724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fig_temperat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daily average temperature (April–October, 2000–2025).</w:t>
      </w:r>
    </w:p>
    <w:p>
      <w:pPr>
        <w:pStyle w:val="CaptionedFigure"/>
      </w:pPr>
      <w:r>
        <w:drawing>
          <wp:inline>
            <wp:extent cx="5334000" cy="186331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fig_rainfal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daily average rainfall (April–October, 2000–2025).</w:t>
      </w:r>
    </w:p>
    <w:bookmarkEnd w:id="34"/>
    <w:bookmarkEnd w:id="35"/>
    <w:bookmarkStart w:id="51" w:name="crop-parameterization"/>
    <w:p>
      <w:pPr>
        <w:pStyle w:val="Heading1"/>
      </w:pPr>
      <w:r>
        <w:t xml:space="preserve">Crop Parameterization</w:t>
      </w:r>
    </w:p>
    <w:p>
      <w:pPr>
        <w:pStyle w:val="FirstParagraph"/>
      </w:pPr>
      <w:r>
        <w:t xml:space="preserve">Two crops were selected: rice (Hashemi cultivar) and tobacco (</w:t>
      </w:r>
      <w:r>
        <w:rPr>
          <w:iCs/>
          <w:i/>
        </w:rPr>
        <w:t xml:space="preserve">Nicotiana tabacum</w:t>
      </w:r>
      <w:r>
        <w:t xml:space="preserve">). Both are commercially significant in Gilan [1, 3]. Their contrasting characteristics—high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/shallow roots/drought-sensitive rice versus moderate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/deep roots/drought-tolerant tobacco—enable evaluation of control algorithms under different agronomic conditions.</w:t>
      </w:r>
    </w:p>
    <w:bookmarkStart w:id="44" w:name="rice-hashemi-cultivar"/>
    <w:p>
      <w:pPr>
        <w:pStyle w:val="Heading2"/>
      </w:pPr>
      <w:r>
        <w:t xml:space="preserve">Rice (Hashemi Cultivar)</w:t>
      </w:r>
    </w:p>
    <w:bookmarkStart w:id="36" w:name="base-temperature-and-thermal-time"/>
    <w:p>
      <w:pPr>
        <w:pStyle w:val="Heading3"/>
      </w:pPr>
      <w:r>
        <w:t xml:space="preserve">Base Temperature and Thermal Time</w:t>
      </w:r>
    </w:p>
    <w:p>
      <w:pPr>
        <w:pStyle w:val="FirstParagraph"/>
      </w:pPr>
      <w:r>
        <w:t xml:space="preserve">The base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follows the standard GDD convention [4, 5] and the baseline model [6]. The AquaCrop convention of 8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 [20] produces proportionally higher GDD values without changing maturity dates.</w:t>
      </w:r>
    </w:p>
    <w:p>
      <w:pPr>
        <w:pStyle w:val="BodyText"/>
      </w:pPr>
      <w:r>
        <w:t xml:space="preserve">The maturity threshold</w:t>
      </w:r>
      <w:r>
        <w:t xml:space="preserve"> </w:t>
      </w:r>
      <m:oMath>
        <m:sSub>
          <m:e>
            <m:r>
              <m:t>θ</m:t>
            </m:r>
          </m:e>
          <m:sub>
            <m:r>
              <m:t>18</m:t>
            </m:r>
          </m:sub>
        </m:sSub>
        <m:r>
          <m:rPr>
            <m:sty m:val="p"/>
          </m:rPr>
          <m:t>=</m:t>
        </m:r>
        <m:r>
          <m:t>1250</m:t>
        </m:r>
      </m:oMath>
      <w:r>
        <w:t xml:space="preserve"> 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</w:t>
      </w:r>
      <m:oMath>
        <m:r>
          <m:rPr>
            <m:sty m:val="p"/>
          </m:rPr>
          <m:t>⋅</m:t>
        </m:r>
      </m:oMath>
      <w:r>
        <w:t xml:space="preserve">day was calibrated from the 25-year dataset and validated against Sadidi Shal et al. (2021), who measured 1216–1352 GDD for Hashemi rice in Gilan [7]. With a 20-day nursery contributing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210 GDD (+5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greenhouse boost), 20/26 years reach maturity by August 20.</w:t>
      </w:r>
    </w:p>
    <w:bookmarkEnd w:id="36"/>
    <w:bookmarkStart w:id="43" w:name="season-window"/>
    <w:p>
      <w:pPr>
        <w:pStyle w:val="Heading3"/>
      </w:pPr>
      <w:r>
        <w:t xml:space="preserve">Season Window</w:t>
      </w:r>
    </w:p>
    <w:p>
      <w:pPr>
        <w:pStyle w:val="FirstParagraph"/>
      </w:pPr>
      <w:r>
        <w:t xml:space="preserve">Transplanting: May 20 (DOY 141), when 7-day rolling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mean</m:t>
            </m:r>
          </m:sub>
        </m:sSub>
        <m:r>
          <m:rPr>
            <m:sty m:val="p"/>
          </m:rPr>
          <m:t>≥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and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≥</m:t>
        </m:r>
        <m:sSup>
          <m:e>
            <m:r>
              <m:t>12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 [8, 9].</w:t>
      </w:r>
    </w:p>
    <w:p>
      <w:pPr>
        <w:pStyle w:val="CaptionedFigure"/>
      </w:pPr>
      <w:r>
        <w:drawing>
          <wp:inline>
            <wp:extent cx="5334000" cy="224724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fig_temperature_ma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average May temperature with transplanting thresholds.</w:t>
      </w:r>
    </w:p>
    <w:p>
      <w:pPr>
        <w:pStyle w:val="BodyText"/>
      </w:pPr>
      <w:r>
        <w:t xml:space="preserve">Harvest: August 20 (DOY 233). WMO R20mm events (</w:t>
      </w:r>
      <m:oMath>
        <m:r>
          <m:rPr>
            <m:sty m:val="p"/>
          </m:rPr>
          <m:t>≥</m:t>
        </m:r>
      </m:oMath>
      <w:r>
        <w:t xml:space="preserve">20 mm/day) [10] increase sharply after this date, causing lodging [10] and harvest disruption [11].</w:t>
      </w:r>
    </w:p>
    <w:p>
      <w:pPr>
        <w:pStyle w:val="CaptionedFigure"/>
      </w:pPr>
      <w:r>
        <w:drawing>
          <wp:inline>
            <wp:extent cx="5334000" cy="186165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fig_rain_extremes_augus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Extreme rainfall events (</w:t>
      </w:r>
      <m:oMath>
        <m:r>
          <m:rPr>
            <m:sty m:val="p"/>
          </m:rPr>
          <m:t>≥</m:t>
        </m:r>
      </m:oMath>
      <w:r>
        <w:t xml:space="preserve">20 mm/day) per day of August, 2000–2025.</w:t>
      </w:r>
    </w:p>
    <w:p>
      <w:pPr>
        <w:pStyle w:val="BodyText"/>
      </w:pPr>
      <w:r>
        <w:t xml:space="preserve">Field season: 93 days. Nursery provides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210</m:t>
        </m:r>
      </m:oMath>
      <w:r>
        <w:t xml:space="preserve"> GDD. Other parameters: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1.15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0.20</m:t>
        </m:r>
      </m:oMath>
      <w:r>
        <w:t xml:space="preserve"> [2],</w:t>
      </w:r>
      <w:r>
        <w:t xml:space="preserve"> </w:t>
      </w:r>
      <m:oMath>
        <m:sSub>
          <m:e>
            <m:r>
              <m:t>θ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400</m:t>
        </m:r>
      </m:oMath>
      <w:r>
        <w:t xml:space="preserve"> mm,</w:t>
      </w:r>
      <w:r>
        <w:t xml:space="preserve"> </w:t>
      </w:r>
      <m:oMath>
        <m:sSub>
          <m:e>
            <m:r>
              <m:t>θ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0.65</m:t>
        </m:r>
      </m:oMath>
      <w:r>
        <w:t xml:space="preserve"> g/MJ [12, 13], HI = 0.42 [14]. Expected yield: 3500–4000 kg/ha (optimized) or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2000 kg/ha (traditional flooding, consistent with local farmer reports).</w:t>
      </w:r>
    </w:p>
    <w:bookmarkEnd w:id="43"/>
    <w:bookmarkEnd w:id="44"/>
    <w:bookmarkStart w:id="48" w:name="tobacco-nicotiana-tabacum"/>
    <w:p>
      <w:pPr>
        <w:pStyle w:val="Heading2"/>
      </w:pPr>
      <w:r>
        <w:t xml:space="preserve">Tobacco (</w:t>
      </w:r>
      <w:r>
        <w:rPr>
          <w:iCs/>
          <w:i/>
        </w:rPr>
        <w:t xml:space="preserve">Nicotiana tabacum</w:t>
      </w:r>
      <w:r>
        <w:t xml:space="preserve">)</w:t>
      </w:r>
    </w:p>
    <w:bookmarkStart w:id="45" w:name="base-temperature-and-thermal-time-1"/>
    <w:p>
      <w:pPr>
        <w:pStyle w:val="Heading3"/>
      </w:pPr>
      <w:r>
        <w:t xml:space="preserve">Base Temperature and Thermal Time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C, within the 10–13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restriction range [15].</w:t>
      </w:r>
      <w:r>
        <w:t xml:space="preserve"> </w:t>
      </w:r>
      <m:oMath>
        <m:sSub>
          <m:e>
            <m:r>
              <m:t>θ</m:t>
            </m:r>
          </m:e>
          <m:sub>
            <m:r>
              <m:t>18</m:t>
            </m:r>
          </m:sub>
        </m:sSub>
        <m:r>
          <m:rPr>
            <m:sty m:val="p"/>
          </m:rPr>
          <m:t>=</m:t>
        </m:r>
        <m:r>
          <m:t>1200</m:t>
        </m:r>
      </m:oMath>
      <w:r>
        <w:t xml:space="preserve"> GDD (field only), calibrated to match the 104-day season. Duration consistent with FAO (90–120 days) [16] and Britannica (100–130 days) [17].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(nursery conditions unknown—seedlings delivered by company).</w:t>
      </w:r>
    </w:p>
    <w:bookmarkEnd w:id="45"/>
    <w:bookmarkStart w:id="46" w:name="season-window-1"/>
    <w:p>
      <w:pPr>
        <w:pStyle w:val="Heading3"/>
      </w:pPr>
      <w:r>
        <w:t xml:space="preserve">Season Window</w:t>
      </w:r>
    </w:p>
    <w:p>
      <w:pPr>
        <w:pStyle w:val="FirstParagraph"/>
      </w:pPr>
      <w:r>
        <w:t xml:space="preserve">Transplanting: May 25 (DOY 146). Harvest: September 5 (DOY 249). 104 field days.</w:t>
      </w:r>
    </w:p>
    <w:bookmarkEnd w:id="46"/>
    <w:bookmarkStart w:id="47" w:name="other-parameters"/>
    <w:p>
      <w:pPr>
        <w:pStyle w:val="Heading3"/>
      </w:pPr>
      <w:r>
        <w:t xml:space="preserve">Other Parameters</w:t>
      </w:r>
    </w:p>
    <w:p>
      <w:pPr>
        <w:pStyle w:val="FirstParagraph"/>
      </w:pPr>
      <m:oMath>
        <m:sSub>
          <m:e>
            <m:r>
              <m:t>θ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700</m:t>
        </m:r>
      </m:oMath>
      <w:r>
        <w:t xml:space="preserve"> mm (FAO: 500–1000 mm) [16].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0.90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0.50</m:t>
        </m:r>
      </m:oMath>
      <w:r>
        <w:t xml:space="preserve"> [16].</w:t>
      </w:r>
      <w:r>
        <w:t xml:space="preserve"> </w:t>
      </w:r>
      <m:oMath>
        <m:sSub>
          <m:e>
            <m:r>
              <m:t>θ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(FAO optimal ceiling) [15, 16].</w:t>
      </w:r>
      <w:r>
        <w:t xml:space="preserve"> </w:t>
      </w:r>
      <m:oMath>
        <m:sSub>
          <m:e>
            <m:r>
              <m:t>θ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0.30</m:t>
        </m:r>
      </m:oMath>
      <w:r>
        <w:t xml:space="preserve"> g/MJ [18], HI = 0.55. Expected yield: 2000–2500 kg/ha [16].</w:t>
      </w:r>
    </w:p>
    <w:bookmarkEnd w:id="47"/>
    <w:bookmarkEnd w:id="48"/>
    <w:bookmarkStart w:id="50" w:name="parameter-summary"/>
    <w:p>
      <w:pPr>
        <w:pStyle w:val="Heading2"/>
      </w:pPr>
      <w:r>
        <w:t xml:space="preserve">Parameter Summary</w:t>
      </w:r>
    </w:p>
    <w:bookmarkStart w:id="49" w:name="tab:params"/>
    <w:p>
      <w:pPr>
        <w:pStyle w:val="TableCaption"/>
      </w:pPr>
      <w:r>
        <w:t xml:space="preserve">Complete crop and soil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mplete crop and soil parameter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Tobacco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Shared soil parameters (silty loam)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uptake coeff.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Wilting point (vol.)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 threshold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Drainage coeff.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capacity (vol.)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Crop-specific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depth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400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[2], 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temperature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7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[5], 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stress onset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9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Extreme heat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10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[12], [18]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Drought sensitivity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14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GDD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18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[7], calib.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interception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19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 intercept. GDD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20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 coefficient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[2], 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Depletion fraction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[2], 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Harvest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[14], 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Nursery GDD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init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biomass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init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60 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 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DOY 141–233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DOY 146–249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245 mm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 mm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WP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 mm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TAW</w:t>
            </w:r>
          </w:p>
        </w:tc>
      </w:tr>
    </w:tbl>
    <w:bookmarkEnd w:id="49"/>
    <w:bookmarkEnd w:id="50"/>
    <w:bookmarkEnd w:id="51"/>
    <w:bookmarkStart w:id="55" w:name="water-budget-and-scenario-selection"/>
    <w:p>
      <w:pPr>
        <w:pStyle w:val="Heading1"/>
      </w:pPr>
      <w:r>
        <w:t xml:space="preserve">Water Budget and Scenario Selection</w:t>
      </w:r>
    </w:p>
    <w:bookmarkStart w:id="53" w:name="water-budget-formulation"/>
    <w:p>
      <w:pPr>
        <w:pStyle w:val="Heading2"/>
      </w:pPr>
      <w:r>
        <w:t xml:space="preserve">Water Budget Formulation</w:t>
      </w:r>
    </w:p>
    <w:p>
      <w:pPr>
        <w:pStyle w:val="FirstParagraph"/>
      </w:pPr>
      <w:r>
        <w:t xml:space="preserve">Crop water demand:</w:t>
      </w:r>
      <w:r>
        <w:t xml:space="preserve"> </w:t>
      </w:r>
      <m:oMath>
        <m:sSub>
          <m:e>
            <m:r>
              <m:rPr>
                <m:nor/>
                <m:sty m:val="p"/>
              </m:rPr>
              <m:t>ET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Sup>
              <m:e>
                <m:r>
                  <m:rPr>
                    <m:nor/>
                    <m:sty m:val="p"/>
                  </m:rPr>
                  <m:t>ET</m:t>
                </m:r>
              </m:e>
              <m:sub>
                <m:r>
                  <m:t>0</m:t>
                </m:r>
              </m:sub>
              <m:sup>
                <m:r>
                  <m:t>P</m:t>
                </m:r>
                <m:r>
                  <m:t>M</m:t>
                </m:r>
              </m:sup>
            </m:sSubSup>
          </m:e>
        </m:ba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days</m:t>
            </m:r>
          </m:sub>
        </m:sSub>
      </m:oMath>
      <w:r>
        <w:t xml:space="preserve">. Full irrigation need: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full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nor/>
                    <m:sty m:val="p"/>
                  </m:rPr>
                  <m:t>ET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P</m:t>
                </m:r>
              </m:e>
            </m:ba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using 25-year average rainfall (Method B).</w:t>
      </w:r>
    </w:p>
    <w:bookmarkStart w:id="52" w:name="tab:budget"/>
    <w:p>
      <w:pPr>
        <w:pStyle w:val="TableCaption"/>
      </w:pPr>
      <w:r>
        <w:t xml:space="preserve">Water budget summary.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Water budget summary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Tobacco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 duration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 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ET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(PM)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5.02 mm/day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4.95 mm/day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 demand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537.0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463.4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season rainfall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53.3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irrigation need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483.7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389.0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at 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338.6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272.3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at 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241.8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194.5 mm</w:t>
            </w:r>
          </w:p>
        </w:tc>
      </w:tr>
    </w:tbl>
    <w:bookmarkEnd w:id="52"/>
    <w:p>
      <w:pPr>
        <w:pStyle w:val="BodyText"/>
      </w:pPr>
      <w:r>
        <w:t xml:space="preserve">Rice demand (537 mm) is consistent with Hashemi field measurements: 534 mm (SRI) to 632 mm (traditional flooding) [14]. Tobacco demand (463 mm) falls within the FAO range of 400–600 mm [16]. Despite a longer season, tobacco needs less irrigation due to lower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higher rainfall.</w:t>
      </w:r>
    </w:p>
    <w:bookmarkEnd w:id="53"/>
    <w:bookmarkStart w:id="54" w:name="scenario-selection"/>
    <w:p>
      <w:pPr>
        <w:pStyle w:val="Heading2"/>
      </w:pPr>
      <w:r>
        <w:t xml:space="preserve">Scenario Selection</w:t>
      </w:r>
    </w:p>
    <w:p>
      <w:pPr>
        <w:pStyle w:val="TableCaption"/>
      </w:pPr>
      <w:r>
        <w:t xml:space="preserve">Selected climate scenarios.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elected climate scenario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Rice (mm)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Tobacco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163.2</w:t>
            </w:r>
          </w:p>
        </w:tc>
      </w:tr>
    </w:tbl>
    <w:bookmarkEnd w:id="54"/>
    <w:bookmarkEnd w:id="55"/>
    <w:bookmarkStart w:id="59" w:name="agent-based-model"/>
    <w:p>
      <w:pPr>
        <w:pStyle w:val="Heading1"/>
      </w:pPr>
      <w:r>
        <w:t xml:space="preserve">Agent-Based Model</w:t>
      </w:r>
    </w:p>
    <w:p>
      <w:pPr>
        <w:pStyle w:val="FirstParagraph"/>
      </w:pPr>
      <w:r>
        <w:t xml:space="preserve">The ABM follows López-Jiménez et al. [6]. Each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130</m:t>
        </m:r>
      </m:oMath>
      <w:r>
        <w:t xml:space="preserve"> </w:t>
      </w:r>
      <w:r>
        <w:t xml:space="preserve">agents maintains: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(soil water, mm),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(thermal time,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</w:t>
      </w:r>
      <m:oMath>
        <m:r>
          <m:rPr>
            <m:sty m:val="p"/>
          </m:rPr>
          <m:t>⋅</m:t>
        </m:r>
      </m:oMath>
      <w:r>
        <w:t xml:space="preserve">day),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(maturity stress),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(biomass, g/m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).</w:t>
      </w:r>
    </w:p>
    <w:bookmarkStart w:id="56" w:name="state-equations"/>
    <w:p>
      <w:pPr>
        <w:pStyle w:val="Heading2"/>
      </w:pPr>
      <w:r>
        <w:t xml:space="preserve">State Equations</w:t>
      </w:r>
    </w:p>
    <w:p>
      <w:pPr>
        <w:pStyle w:val="FirstParagraph"/>
      </w:pPr>
      <w:r>
        <w:rPr>
          <w:bCs/>
          <w:b/>
        </w:rPr>
        <w:t xml:space="preserve">Water balance: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−</m:t>
          </m:r>
          <m:sSubSup>
            <m:e>
              <m:r>
                <m:t>φ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φ</m:t>
              </m:r>
            </m:e>
            <m:sub>
              <m:r>
                <m:t>2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φ</m:t>
              </m:r>
            </m:e>
            <m:sub>
              <m:r>
                <m:t>3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φ</m:t>
              </m:r>
            </m:e>
            <m:sub>
              <m:r>
                <m:t>4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out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φ</m:t>
              </m:r>
            </m:e>
            <m:sub>
              <m:r>
                <m:t>4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φ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+</m:t>
          </m:r>
          <m:sSup>
            <m:e>
              <m:r>
                <m:t>u</m:t>
              </m:r>
            </m:e>
            <m:sup>
              <m:r>
                <m:t>n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Thermal time: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+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mean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7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BodyText"/>
      </w:pPr>
      <w:r>
        <w:rPr>
          <w:bCs/>
          <w:b/>
        </w:rPr>
        <w:t xml:space="preserve">Maturity stress: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h</m:t>
                </m:r>
              </m:e>
              <m:sub>
                <m:r>
                  <m:t>3</m:t>
                </m:r>
              </m:sub>
              <m:sup>
                <m:r>
                  <m:t>n</m:t>
                </m:r>
              </m:sup>
            </m:sSubSup>
          </m:e>
        </m:d>
      </m:oMath>
    </w:p>
    <w:p>
      <w:pPr>
        <w:pStyle w:val="BodyText"/>
      </w:pPr>
      <w:r>
        <w:rPr>
          <w:bCs/>
          <w:b/>
        </w:rPr>
        <w:t xml:space="preserve">Biomass: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4</m:t>
              </m:r>
            </m:sub>
            <m:sup>
              <m:r>
                <m:t>n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4</m:t>
              </m:r>
            </m:sub>
            <m:sup>
              <m:r>
                <m:t>n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h</m:t>
              </m:r>
            </m:e>
            <m:sub>
              <m:r>
                <m:t>3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h</m:t>
              </m:r>
            </m:e>
            <m:sub>
              <m:r>
                <m:t>6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h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</m:sup>
              </m:sSubSup>
            </m:e>
          </m:d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</m:oMath>
      </m:oMathPara>
    </w:p>
    <w:bookmarkEnd w:id="56"/>
    <w:bookmarkStart w:id="57" w:name="water-fluxes"/>
    <w:p>
      <w:pPr>
        <w:pStyle w:val="Heading2"/>
      </w:pPr>
      <w:r>
        <w:t xml:space="preserve">Water Fluxes</w:t>
      </w:r>
    </w:p>
    <w:p>
      <w:pPr>
        <w:pStyle w:val="FirstParagraph"/>
      </w:pPr>
      <m:oMath>
        <m:sSubSup>
          <m:e>
            <m:r>
              <m:t>φ</m:t>
            </m:r>
          </m:e>
          <m:sub>
            <m:r>
              <m:t>1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ET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(transpiration)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θ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, else 0 (SCS runoff)</w:t>
      </w:r>
    </w:p>
    <w:p>
      <w:pPr>
        <w:pStyle w:val="BodyText"/>
      </w:pPr>
      <m:oMath>
        <m:sSubSup>
          <m:e>
            <m:r>
              <m:t>φ</m:t>
            </m:r>
          </m:e>
          <m:sub>
            <m:r>
              <m:t>3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φ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6</m:t>
                </m:r>
              </m:sub>
            </m:sSub>
            <m:sSub>
              <m:e>
                <m:r>
                  <m:t>θ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(deep drainage)</w:t>
      </w:r>
    </w:p>
    <w:p>
      <w:pPr>
        <w:pStyle w:val="BodyText"/>
      </w:pPr>
      <m:oMath>
        <m:sSubSup>
          <m:e>
            <m:r>
              <m:t>φ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out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6</m:t>
                </m:r>
              </m:sub>
            </m:sSub>
            <m:sSub>
              <m:e>
                <m:r>
                  <m:t>θ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;</w:t>
      </w:r>
      <w:r>
        <w:t xml:space="preserve"> </w:t>
      </w:r>
      <m:oMath>
        <m:sSubSup>
          <m:e>
            <m:r>
              <m:t>φ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b>
          <m:sup>
            <m:r>
              <m:t>​</m:t>
            </m:r>
          </m:sup>
          <m:e>
            <m:sSubSup>
              <m:e>
                <m:r>
                  <m:t>φ</m:t>
                </m:r>
              </m:e>
              <m:sub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out</m:t>
                </m:r>
              </m:sub>
              <m:sup>
                <m:r>
                  <m:t>n</m:t>
                </m:r>
              </m:sup>
            </m:sSubSup>
          </m:e>
        </m:nary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(lateral flow)</w:t>
      </w:r>
    </w:p>
    <w:bookmarkEnd w:id="57"/>
    <w:bookmarkStart w:id="58" w:name="stress-and-growth-functions"/>
    <w:p>
      <w:pPr>
        <w:pStyle w:val="Heading2"/>
      </w:pPr>
      <w:r>
        <w:t xml:space="preserve">Stress and Growth Functions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mean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7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: linear between</w:t>
      </w:r>
      <w:r>
        <w:t xml:space="preserve"> </w:t>
      </w:r>
      <m:oMath>
        <m:sSub>
          <m:e>
            <m:r>
              <m:t>θ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(no stress) and</w:t>
      </w:r>
      <w:r>
        <w:t xml:space="preserve"> </w:t>
      </w:r>
      <m:oMath>
        <m:sSub>
          <m:e>
            <m:r>
              <m:t>θ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(full stress);</w:t>
      </w:r>
      <w:r>
        <w:t xml:space="preserve"> </w:t>
      </w:r>
      <m:oMath>
        <m:sSubSup>
          <m:e>
            <m:r>
              <m:t>h</m:t>
            </m:r>
          </m:e>
          <m:sub>
            <m:r>
              <m:t>3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14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φ</m:t>
                </m:r>
              </m:e>
              <m:sub>
                <m:r>
                  <m:t>1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rPr>
                    <m:nor/>
                    <m:sty m:val="p"/>
                  </m:rPr>
                  <m:t>ET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(drought);</w:t>
      </w:r>
      <w:r>
        <w:t xml:space="preserve"> </w:t>
      </w:r>
      <m:oMath>
        <m:sSubSup>
          <m:e>
            <m:r>
              <m:t>h</m:t>
            </m:r>
          </m:e>
          <m:sub>
            <m:r>
              <m:t>6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clip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t>n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6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5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θ</m:t>
                    </m:r>
                  </m:e>
                  <m:sub>
                    <m:r>
                      <m:t>6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5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(waterlogging);</w:t>
      </w:r>
      <w:r>
        <w:t xml:space="preserve"> </w:t>
      </w:r>
      <m:oMath>
        <m:sSub>
          <m:e>
            <m: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mean</m:t>
            </m:r>
          </m:sub>
        </m:sSub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t>7</m:t>
            </m:r>
          </m:sub>
        </m:sSub>
      </m:oMath>
      <w:r>
        <w:t xml:space="preserve">, else 0.</w:t>
      </w:r>
    </w:p>
    <w:p>
      <w:pPr>
        <w:pStyle w:val="BodyText"/>
      </w:pPr>
      <w:r>
        <w:rPr>
          <w:bCs/>
          <w:b/>
        </w:rPr>
        <w:t xml:space="preserve">Growth function: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</m:sup>
              </m:sSubSup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19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0.01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Sup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  <m:sup>
                                    <m:r>
                                      <m:t>n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20</m:t>
                                    </m:r>
                                  </m:sub>
                                </m:sSub>
                              </m:e>
                            </m:d>
                          </m:sup>
                        </m:sSup>
                      </m:e>
                    </m:d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18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19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0.01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Sup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  <m:sup>
                                    <m:r>
                                      <m:t>n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Sup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3</m:t>
                                    </m:r>
                                  </m:sub>
                                  <m:sup>
                                    <m:r>
                                      <m:t>n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θ</m:t>
                                    </m:r>
                                  </m:e>
                                  <m:sub>
                                    <m:r>
                                      <m:t>18</m:t>
                                    </m:r>
                                  </m:sub>
                                </m:sSub>
                              </m:e>
                            </m:d>
                          </m:sup>
                        </m:sSup>
                      </m:e>
                    </m:d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18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8"/>
    <w:bookmarkEnd w:id="59"/>
    <w:bookmarkStart w:id="68" w:name="model-corrections-and-extensions"/>
    <w:p>
      <w:pPr>
        <w:pStyle w:val="Heading1"/>
      </w:pPr>
      <w:r>
        <w:t xml:space="preserve">Model Corrections and Extensions</w:t>
      </w:r>
    </w:p>
    <w:p>
      <w:pPr>
        <w:pStyle w:val="FirstParagraph"/>
      </w:pPr>
      <w:r>
        <w:t xml:space="preserve">Three corrections to the baseline [6] were implemented.</w:t>
      </w:r>
    </w:p>
    <w:bookmarkStart w:id="60" w:name="mass-conservation"/>
    <w:p>
      <w:pPr>
        <w:pStyle w:val="Heading2"/>
      </w:pPr>
      <w:r>
        <w:t xml:space="preserve">Mass Conservation</w:t>
      </w:r>
    </w:p>
    <w:p>
      <w:pPr>
        <w:pStyle w:val="FirstParagraph"/>
      </w:pPr>
      <w:r>
        <w:t xml:space="preserve">The original water balance includes</w:t>
      </w:r>
      <w:r>
        <w:t xml:space="preserve"> </w:t>
      </w:r>
      <m:oMath>
        <m:sSub>
          <m:e>
            <m:r>
              <m:t>φ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t xml:space="preserve">but omits</w:t>
      </w:r>
      <w:r>
        <w:t xml:space="preserve"> </w:t>
      </w:r>
      <m:oMath>
        <m:sSub>
          <m:e>
            <m:r>
              <m:t>φ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out</m:t>
            </m:r>
          </m:sub>
        </m:sSub>
      </m:oMath>
      <w:r>
        <w:t xml:space="preserve">, violating mass conservation. The corrected Eq. </w:t>
      </w:r>
      <w:hyperlink w:anchor="eq:water">
        <w:r>
          <w:rPr>
            <w:rStyle w:val="Hyperlink"/>
          </w:rPr>
          <w:t xml:space="preserve">[eq:water]</w:t>
        </w:r>
      </w:hyperlink>
      <w:r>
        <w:t xml:space="preserve"> </w:t>
      </w:r>
      <w:r>
        <w:t xml:space="preserve">includes</w:t>
      </w:r>
      <w:r>
        <w:t xml:space="preserve"> </w:t>
      </w:r>
      <m:oMath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out</m:t>
            </m:r>
          </m:sub>
          <m:sup>
            <m:r>
              <m:t>n</m:t>
            </m:r>
          </m:sup>
        </m:sSubSup>
      </m:oMath>
      <w:r>
        <w:t xml:space="preserve">.</w:t>
      </w:r>
    </w:p>
    <w:bookmarkEnd w:id="60"/>
    <w:bookmarkStart w:id="61" w:name="drought-stress-on-biomass"/>
    <w:p>
      <w:pPr>
        <w:pStyle w:val="Heading2"/>
      </w:pPr>
      <w:r>
        <w:t xml:space="preserve">Drought Stress on Biomass</w:t>
      </w:r>
    </w:p>
    <w:p>
      <w:pPr>
        <w:pStyle w:val="FirstParagraph"/>
      </w:pPr>
      <w:r>
        <w:t xml:space="preserve">The original biomass equation lacks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, so drought does not reduce biomass. The corrected Eq. </w:t>
      </w:r>
      <w:hyperlink w:anchor="eq:biomass">
        <w:r>
          <w:rPr>
            <w:rStyle w:val="Hyperlink"/>
          </w:rPr>
          <w:t xml:space="preserve">[eq:biomass]</w:t>
        </w:r>
      </w:hyperlink>
      <w:r>
        <w:t xml:space="preserve"> </w:t>
      </w:r>
      <w:r>
        <w:t xml:space="preserve">includes</w:t>
      </w:r>
      <w:r>
        <w:t xml:space="preserve"> </w:t>
      </w:r>
      <m:oMath>
        <m:sSubSup>
          <m:e>
            <m:r>
              <m:t>h</m:t>
            </m:r>
          </m:e>
          <m:sub>
            <m:r>
              <m:t>3</m:t>
            </m:r>
          </m:sub>
          <m:sup>
            <m:r>
              <m:t>n</m:t>
            </m:r>
          </m:sup>
        </m:sSubSup>
      </m:oMath>
      <w:r>
        <w:t xml:space="preserve">, reducing biomass by up to</w:t>
      </w:r>
      <w:r>
        <w:t xml:space="preserve"> </w:t>
      </w:r>
      <m:oMath>
        <m:sSub>
          <m:e>
            <m:r>
              <m:t>θ</m:t>
            </m:r>
          </m:e>
          <m:sub>
            <m:r>
              <m:t>14</m:t>
            </m:r>
          </m:sub>
        </m:sSub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under maximum drought (80% for rice, 60% for tobacco). This is essential for irrigation optimization: without it, the controller has no incentive to irrigate.</w:t>
      </w:r>
    </w:p>
    <w:bookmarkEnd w:id="61"/>
    <w:bookmarkStart w:id="66" w:name="sec:runoff"/>
    <w:p>
      <w:pPr>
        <w:pStyle w:val="Heading2"/>
      </w:pPr>
      <w:r>
        <w:t xml:space="preserve">Surface Runoff Redistribution</w:t>
      </w:r>
    </w:p>
    <w:p>
      <w:pPr>
        <w:pStyle w:val="FirstParagraph"/>
      </w:pPr>
      <w:r>
        <w:t xml:space="preserve">Originally,</w:t>
      </w:r>
      <w:r>
        <w:t xml:space="preserve"> </w:t>
      </w:r>
      <m:oMath>
        <m:sSub>
          <m:e>
            <m:r>
              <m:t>φ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leaves the system. A simple redistribution was implemented: each agent’s runoff flows to lower neighbors with immediate infiltration (</w:t>
      </w:r>
      <m:oMath>
        <m:sSubSup>
          <m:e>
            <m:r>
              <m:t>φ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</m:t>
            </m:r>
          </m:sub>
          <m:sup>
            <m:r>
              <m:t>n</m:t>
            </m:r>
          </m:sup>
        </m:sSubSup>
      </m:oMath>
      <w:r>
        <w:t xml:space="preserve">). A cascading alternative (top-to-bottom SCS re-application) was also tested.</w:t>
      </w:r>
    </w:p>
    <w:bookmarkStart w:id="62" w:name="tab:runoff"/>
    <w:p>
      <w:pPr>
        <w:pStyle w:val="TableCaption"/>
      </w:pPr>
      <w:r>
        <w:t xml:space="preserve">Runoff redistribution comparison, no irrigation, wet scenario (2024).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unoff redistribution comparison, no irrigation, wet scenario (2024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Yield (kg/ha)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sinks (mm)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hills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 (original)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(B)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72.0</w:t>
            </w:r>
          </w:p>
        </w:tc>
      </w:tr>
    </w:tbl>
    <w:bookmarkEnd w:id="62"/>
    <w:p>
      <w:pPr>
        <w:pStyle w:val="BodyText"/>
      </w:pPr>
      <w:r>
        <w:t xml:space="preserve">Simple redistribution captures the first-order effect (6.5% yield improvement) with negligible difference from cascade (0.2%). Simple was adopted.</w:t>
      </w:r>
    </w:p>
    <w:p>
      <w:pPr>
        <w:pStyle w:val="CaptionedFigure"/>
      </w:pPr>
      <w:r>
        <w:drawing>
          <wp:inline>
            <wp:extent cx="5334000" cy="452775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/fig_runoff_compariso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No-irrigation runoff mode comparison, wet scenario (2024).</w:t>
      </w:r>
    </w:p>
    <w:bookmarkEnd w:id="66"/>
    <w:bookmarkStart w:id="67" w:name="biomass-calibration"/>
    <w:p>
      <w:pPr>
        <w:pStyle w:val="Heading2"/>
      </w:pPr>
      <w:r>
        <w:t xml:space="preserve">Biomass Calibration</w:t>
      </w:r>
    </w:p>
    <w:p>
      <w:pPr>
        <w:pStyle w:val="FirstParagraph"/>
      </w:pPr>
      <m:oMath>
        <m:sSub>
          <m:e>
            <m:r>
              <m:t>θ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was calibrated so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represents g/m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dry matter. Yield: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×</m:t>
        </m:r>
        <m:r>
          <m:rPr>
            <m:nor/>
            <m:sty m:val="p"/>
          </m:rPr>
          <m:t>HI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(kg/ha). Rice: validated against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2000 kg/ha (farmer reports) and 3500–4000 kg/ha (optimized) [14]. Initial conditions: rice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210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; tobacco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init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.</w:t>
      </w:r>
    </w:p>
    <w:bookmarkEnd w:id="67"/>
    <w:bookmarkEnd w:id="68"/>
    <w:bookmarkStart w:id="74" w:name="model-validation"/>
    <w:p>
      <w:pPr>
        <w:pStyle w:val="Heading1"/>
      </w:pPr>
      <w:r>
        <w:t xml:space="preserve">Model Validation</w:t>
      </w:r>
    </w:p>
    <w:bookmarkStart w:id="73" w:name="gwetroot-cross-validation"/>
    <w:p>
      <w:pPr>
        <w:pStyle w:val="Heading2"/>
      </w:pPr>
      <w:r>
        <w:t xml:space="preserve">GWETROOT Cross-Validation</w:t>
      </w:r>
    </w:p>
    <w:p>
      <w:pPr>
        <w:pStyle w:val="FirstParagraph"/>
      </w:pPr>
      <w:r>
        <w:t xml:space="preserve">ABM soil water was compared to NASA MERRA-2 GWETROOT. Both normalized: ABM 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WP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FC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WP</m:t>
            </m:r>
          </m:e>
        </m:d>
      </m:oMath>
      <w:r>
        <w:t xml:space="preserve">; GWETROOT as native 0–1 fraction. Pearson correlation assessed temporal pattern agreement.</w:t>
      </w:r>
    </w:p>
    <w:bookmarkStart w:id="69" w:name="tab:crossval"/>
    <w:p>
      <w:pPr>
        <w:pStyle w:val="TableCaption"/>
      </w:pPr>
      <w:r>
        <w:t xml:space="preserve">Cross-validation: ABM vs NASA GWETROOT.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ross-validation: ABM vs NASA GWETROOT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Pearson</w:t>
            </w:r>
            <w:r>
              <w:rPr>
                <w:bCs/>
                <w:b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Cs/>
                <w:b/>
              </w:rP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</w:tbl>
    <w:bookmarkEnd w:id="69"/>
    <w:p>
      <w:pPr>
        <w:pStyle w:val="CaptionedFigure"/>
      </w:pPr>
      <w:r>
        <w:drawing>
          <wp:inline>
            <wp:extent cx="5334000" cy="452993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figures/fig_gwetroot_timeseri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9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Normalized soil moisture: ABM (blue) vs NASA GWETROOT (brown).</w:t>
      </w:r>
    </w:p>
    <w:p>
      <w:pPr>
        <w:pStyle w:val="BodyText"/>
      </w:pPr>
      <w:r>
        <w:t xml:space="preserve">The dry-year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0.74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 confirms the ABM captures wetting/drying dynamics. Decreasing correlation with increasing rainfall is expected (reduced signal contrast in wet conditions). The absolute level difference (ABM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0.08 vs GWETROOT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0.46) reflects: (1) NASA’s deeper root zone (</w:t>
      </w:r>
      <m:oMath>
        <m:r>
          <m:rPr>
            <m:sty m:val="p"/>
          </m:rPr>
          <m:t>∼</m:t>
        </m:r>
      </m:oMath>
      <w:r>
        <w:t xml:space="preserve">1000 mm vs 400 mm); (2) GWETROOT observes irrigated fields while the ABM simulates rain-fed conditions; (3) different soil parameterizations.</w:t>
      </w:r>
    </w:p>
    <w:bookmarkEnd w:id="73"/>
    <w:bookmarkEnd w:id="74"/>
    <w:bookmarkStart w:id="79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SurfIran,</w:t>
      </w:r>
      <w:r>
        <w:t xml:space="preserve"> </w:t>
      </w:r>
      <w:r>
        <w:t xml:space="preserve">“</w:t>
      </w:r>
      <w:r>
        <w:t xml:space="preserve">Gilan’s rice fields,</w:t>
      </w:r>
      <w:r>
        <w:t xml:space="preserve">”</w:t>
      </w:r>
      <w:r>
        <w:t xml:space="preserve"> </w:t>
      </w:r>
      <w:r>
        <w:t xml:space="preserve">2025. Available:</w:t>
      </w:r>
      <w:r>
        <w:t xml:space="preserve"> </w:t>
      </w:r>
      <w:hyperlink r:id="rId75">
        <w:r>
          <w:rPr>
            <w:rStyle w:val="Hyperlink"/>
          </w:rPr>
          <w:t xml:space="preserve">https://surfiran.com/mag/rice-transplantation-in-gilan-province/</w:t>
        </w:r>
      </w:hyperlink>
    </w:p>
    <w:p>
      <w:pPr>
        <w:pStyle w:val="BodyText"/>
      </w:pPr>
      <w:r>
        <w:t xml:space="preserve">R. G. Allen et al.,</w:t>
      </w:r>
      <w:r>
        <w:t xml:space="preserve"> </w:t>
      </w:r>
      <w:r>
        <w:t xml:space="preserve">“</w:t>
      </w:r>
      <w:r>
        <w:t xml:space="preserve">Crop evapotranspiration,</w:t>
      </w:r>
      <w:r>
        <w:t xml:space="preserve">”</w:t>
      </w:r>
      <w:r>
        <w:t xml:space="preserve"> </w:t>
      </w:r>
      <w:r>
        <w:t xml:space="preserve">FAO Irrig. Drain. Paper 56, 1998.</w:t>
      </w:r>
    </w:p>
    <w:p>
      <w:pPr>
        <w:pStyle w:val="BodyText"/>
      </w:pPr>
      <w:r>
        <w:t xml:space="preserve">“</w:t>
      </w:r>
      <w:r>
        <w:t xml:space="preserve">Tobacco,</w:t>
      </w:r>
      <w:r>
        <w:t xml:space="preserve">”</w:t>
      </w:r>
      <w:r>
        <w:t xml:space="preserve"> </w:t>
      </w:r>
      <w:r>
        <w:rPr>
          <w:iCs/>
          <w:i/>
        </w:rPr>
        <w:t xml:space="preserve">Encyclopaedia Iranica</w:t>
      </w:r>
      <w:r>
        <w:t xml:space="preserve">. Available:</w:t>
      </w:r>
      <w:r>
        <w:t xml:space="preserve"> </w:t>
      </w:r>
      <w:hyperlink r:id="rId76">
        <w:r>
          <w:rPr>
            <w:rStyle w:val="Hyperlink"/>
          </w:rPr>
          <w:t xml:space="preserve">https://www.iranicaonline.org/articles/tobacco/</w:t>
        </w:r>
      </w:hyperlink>
    </w:p>
    <w:p>
      <w:pPr>
        <w:pStyle w:val="BodyText"/>
      </w:pPr>
      <w:r>
        <w:t xml:space="preserve">G. S. McMaster and W. W. Wilhelm,</w:t>
      </w:r>
      <w:r>
        <w:t xml:space="preserve"> </w:t>
      </w:r>
      <w:r>
        <w:t xml:space="preserve">“</w:t>
      </w:r>
      <w:r>
        <w:t xml:space="preserve">Growing degree-days,</w:t>
      </w:r>
      <w:r>
        <w:t xml:space="preserve">”</w:t>
      </w:r>
      <w:r>
        <w:t xml:space="preserve"> </w:t>
      </w:r>
      <w:r>
        <w:rPr>
          <w:iCs/>
          <w:i/>
        </w:rPr>
        <w:t xml:space="preserve">Agric. For. Meteorol.</w:t>
      </w:r>
      <w:r>
        <w:t xml:space="preserve">, vol. 87, pp. 291–300, 1997.</w:t>
      </w:r>
    </w:p>
    <w:p>
      <w:pPr>
        <w:pStyle w:val="BodyText"/>
      </w:pPr>
      <w:r>
        <w:t xml:space="preserve">S. Laohasiriwong et al.,</w:t>
      </w:r>
      <w:r>
        <w:t xml:space="preserve"> </w:t>
      </w:r>
      <w:r>
        <w:t xml:space="preserve">“</w:t>
      </w:r>
      <w:r>
        <w:t xml:space="preserve">High temperature alters phenology in rice,</w:t>
      </w:r>
      <w:r>
        <w:t xml:space="preserve">”</w:t>
      </w:r>
      <w:r>
        <w:t xml:space="preserve"> </w:t>
      </w:r>
      <w:r>
        <w:rPr>
          <w:iCs/>
          <w:i/>
        </w:rPr>
        <w:t xml:space="preserve">Plants</w:t>
      </w:r>
      <w:r>
        <w:t xml:space="preserve">, vol. 12, no. 3, p. 666, 2023.</w:t>
      </w:r>
    </w:p>
    <w:p>
      <w:pPr>
        <w:pStyle w:val="BodyText"/>
      </w:pPr>
      <w:r>
        <w:t xml:space="preserve">A. López-Jiménez et al.,</w:t>
      </w:r>
      <w:r>
        <w:t xml:space="preserve"> </w:t>
      </w:r>
      <w:r>
        <w:t xml:space="preserve">“</w:t>
      </w:r>
      <w:r>
        <w:t xml:space="preserve">Agent-based MPC of soil-crop irrigation,</w:t>
      </w:r>
      <w:r>
        <w:t xml:space="preserve">”</w:t>
      </w:r>
      <w:r>
        <w:t xml:space="preserve"> </w:t>
      </w:r>
      <w:r>
        <w:rPr>
          <w:iCs/>
          <w:i/>
        </w:rPr>
        <w:t xml:space="preserve">Control Eng. Pract.</w:t>
      </w:r>
      <w:r>
        <w:t xml:space="preserve">, vol. 150, 2024.</w:t>
      </w:r>
    </w:p>
    <w:p>
      <w:pPr>
        <w:pStyle w:val="BodyText"/>
      </w:pPr>
      <w:r>
        <w:t xml:space="preserve">S. M. T. Sadidi Shal et al.,</w:t>
      </w:r>
      <w:r>
        <w:t xml:space="preserve"> </w:t>
      </w:r>
      <w:r>
        <w:t xml:space="preserve">“</w:t>
      </w:r>
      <w:r>
        <w:t xml:space="preserve">GDD of Hashemi rice in Guilan,</w:t>
      </w:r>
      <w:r>
        <w:t xml:space="preserve">”</w:t>
      </w:r>
      <w:r>
        <w:t xml:space="preserve"> </w:t>
      </w:r>
      <w:r>
        <w:rPr>
          <w:iCs/>
          <w:i/>
        </w:rPr>
        <w:t xml:space="preserve">J. Climate Res.</w:t>
      </w:r>
      <w:r>
        <w:t xml:space="preserve">, vol. 1400(45), pp. 143–152, 2021.</w:t>
      </w:r>
    </w:p>
    <w:p>
      <w:pPr>
        <w:pStyle w:val="BodyText"/>
      </w:pPr>
      <w:r>
        <w:t xml:space="preserve">P. Paredes et al.,</w:t>
      </w:r>
      <w:r>
        <w:t xml:space="preserve"> </w:t>
      </w:r>
      <w:r>
        <w:t xml:space="preserve">“</w:t>
      </w:r>
      <w:r>
        <w:t xml:space="preserve">Base and upper temperature thresholds for GDD,</w:t>
      </w:r>
      <w:r>
        <w:t xml:space="preserve">”</w:t>
      </w:r>
      <w:r>
        <w:t xml:space="preserve"> </w:t>
      </w:r>
      <w:r>
        <w:rPr>
          <w:iCs/>
          <w:i/>
        </w:rPr>
        <w:t xml:space="preserve">Agric. Water Manag.</w:t>
      </w:r>
      <w:r>
        <w:t xml:space="preserve">, vol. 319, 2025.</w:t>
      </w:r>
    </w:p>
    <w:p>
      <w:pPr>
        <w:pStyle w:val="BodyText"/>
      </w:pPr>
      <w:r>
        <w:t xml:space="preserve">R. Faghani et al.,</w:t>
      </w:r>
      <w:r>
        <w:t xml:space="preserve"> </w:t>
      </w:r>
      <w:r>
        <w:t xml:space="preserve">“</w:t>
      </w:r>
      <w:r>
        <w:t xml:space="preserve">Planting date and seedling age effects on rice yield,</w:t>
      </w:r>
      <w:r>
        <w:t xml:space="preserve">”</w:t>
      </w:r>
      <w:r>
        <w:t xml:space="preserve"> </w:t>
      </w:r>
      <w:r>
        <w:rPr>
          <w:iCs/>
          <w:i/>
        </w:rPr>
        <w:t xml:space="preserve">Afr. J. Biotechnol.</w:t>
      </w:r>
      <w:r>
        <w:t xml:space="preserve">, 2011.</w:t>
      </w:r>
    </w:p>
    <w:p>
      <w:pPr>
        <w:pStyle w:val="BodyText"/>
      </w:pPr>
      <w:r>
        <w:t xml:space="preserve">A. A. Sarma et al.,</w:t>
      </w:r>
      <w:r>
        <w:t xml:space="preserve"> </w:t>
      </w:r>
      <w:r>
        <w:t xml:space="preserve">“</w:t>
      </w:r>
      <w:r>
        <w:t xml:space="preserve">Adaptation of wetland rice to extreme weather,</w:t>
      </w:r>
      <w:r>
        <w:t xml:space="preserve">”</w:t>
      </w:r>
      <w:r>
        <w:t xml:space="preserve"> </w:t>
      </w:r>
      <w:r>
        <w:t xml:space="preserve">2018.</w:t>
      </w:r>
    </w:p>
    <w:p>
      <w:pPr>
        <w:pStyle w:val="BodyText"/>
      </w:pPr>
      <w:r>
        <w:t xml:space="preserve">S. Nayak et al.,</w:t>
      </w:r>
      <w:r>
        <w:t xml:space="preserve"> </w:t>
      </w:r>
      <w:r>
        <w:t xml:space="preserve">“</w:t>
      </w:r>
      <w:r>
        <w:t xml:space="preserve">Extreme rainfall indices and rice productivity,</w:t>
      </w:r>
      <w:r>
        <w:t xml:space="preserve">”</w:t>
      </w:r>
      <w:r>
        <w:t xml:space="preserve"> </w:t>
      </w:r>
      <w:r>
        <w:t xml:space="preserve">2011.</w:t>
      </w:r>
    </w:p>
    <w:p>
      <w:pPr>
        <w:pStyle w:val="BodyText"/>
      </w:pPr>
      <w:r>
        <w:t xml:space="preserve">S. R. Patel et al.,</w:t>
      </w:r>
      <w:r>
        <w:t xml:space="preserve"> </w:t>
      </w:r>
      <w:r>
        <w:t xml:space="preserve">“</w:t>
      </w:r>
      <w:r>
        <w:t xml:space="preserve">RUE in irrigated rice,</w:t>
      </w:r>
      <w:r>
        <w:t xml:space="preserve">”</w:t>
      </w:r>
      <w:r>
        <w:t xml:space="preserve"> </w:t>
      </w:r>
      <w:r>
        <w:rPr>
          <w:iCs/>
          <w:i/>
        </w:rPr>
        <w:t xml:space="preserve">Paddy Water Environ.</w:t>
      </w:r>
      <w:r>
        <w:t xml:space="preserve">, vol. 11, pp. 477–486, 2013.</w:t>
      </w:r>
    </w:p>
    <w:p>
      <w:pPr>
        <w:pStyle w:val="BodyText"/>
      </w:pPr>
      <w:r>
        <w:t xml:space="preserve">V. O. Sadras and R. Trenchero,</w:t>
      </w:r>
      <w:r>
        <w:t xml:space="preserve"> </w:t>
      </w:r>
      <w:r>
        <w:t xml:space="preserve">“</w:t>
      </w:r>
      <w:r>
        <w:t xml:space="preserve">Radiation use efficiency,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Crop Physiology</w:t>
      </w:r>
      <w:r>
        <w:t xml:space="preserve">, Elsevier, 2021.</w:t>
      </w:r>
    </w:p>
    <w:p>
      <w:pPr>
        <w:pStyle w:val="BodyText"/>
      </w:pPr>
      <w:r>
        <w:t xml:space="preserve">N. Jalali et al.,</w:t>
      </w:r>
      <w:r>
        <w:t xml:space="preserve"> </w:t>
      </w:r>
      <w:r>
        <w:t xml:space="preserve">“</w:t>
      </w:r>
      <w:r>
        <w:t xml:space="preserve">Water requirement of Hashemi rice,</w:t>
      </w:r>
      <w:r>
        <w:t xml:space="preserve">”</w:t>
      </w:r>
      <w:r>
        <w:t xml:space="preserve"> </w:t>
      </w:r>
      <w:r>
        <w:rPr>
          <w:iCs/>
          <w:i/>
        </w:rPr>
        <w:t xml:space="preserve">Water Res. Agric.</w:t>
      </w:r>
      <w:r>
        <w:t xml:space="preserve">, 2021.</w:t>
      </w:r>
    </w:p>
    <w:p>
      <w:pPr>
        <w:pStyle w:val="BodyText"/>
      </w:pPr>
      <w:r>
        <w:t xml:space="preserve">Y. Y. Li et al.,</w:t>
      </w:r>
      <w:r>
        <w:t xml:space="preserve"> </w:t>
      </w:r>
      <w:r>
        <w:t xml:space="preserve">“</w:t>
      </w:r>
      <w:r>
        <w:t xml:space="preserve">Cold stress effects on tobacco,</w:t>
      </w:r>
      <w:r>
        <w:t xml:space="preserve">”</w:t>
      </w:r>
      <w:r>
        <w:t xml:space="preserve"> </w:t>
      </w:r>
      <w:r>
        <w:rPr>
          <w:iCs/>
          <w:i/>
        </w:rPr>
        <w:t xml:space="preserve">BMC Plant Biol.</w:t>
      </w:r>
      <w:r>
        <w:t xml:space="preserve">, vol. 21, p. 131, 2021.</w:t>
      </w:r>
    </w:p>
    <w:p>
      <w:pPr>
        <w:pStyle w:val="BodyText"/>
      </w:pPr>
      <w:r>
        <w:t xml:space="preserve">FAO,</w:t>
      </w:r>
      <w:r>
        <w:t xml:space="preserve"> </w:t>
      </w:r>
      <w:r>
        <w:t xml:space="preserve">“</w:t>
      </w:r>
      <w:r>
        <w:t xml:space="preserve">Crop information: Tobacco.</w:t>
      </w:r>
      <w:r>
        <w:t xml:space="preserve">”</w:t>
      </w:r>
      <w:r>
        <w:t xml:space="preserve"> </w:t>
      </w:r>
      <w:r>
        <w:t xml:space="preserve">Available:</w:t>
      </w:r>
      <w:r>
        <w:t xml:space="preserve"> </w:t>
      </w:r>
      <w:hyperlink r:id="rId77">
        <w:r>
          <w:rPr>
            <w:rStyle w:val="Hyperlink"/>
          </w:rPr>
          <w:t xml:space="preserve">https://www.fao.org/land-water/databases-and-software/crop-information/tobacco/en/</w:t>
        </w:r>
      </w:hyperlink>
    </w:p>
    <w:p>
      <w:pPr>
        <w:pStyle w:val="BodyText"/>
      </w:pPr>
      <w:r>
        <w:t xml:space="preserve">“</w:t>
      </w:r>
      <w:r>
        <w:t xml:space="preserve">Tobacco,</w:t>
      </w:r>
      <w:r>
        <w:t xml:space="preserve">”</w:t>
      </w:r>
      <w:r>
        <w:t xml:space="preserve"> </w:t>
      </w:r>
      <w:r>
        <w:rPr>
          <w:iCs/>
          <w:i/>
        </w:rPr>
        <w:t xml:space="preserve">Encyclopaedia Britannica</w:t>
      </w:r>
      <w:r>
        <w:t xml:space="preserve">, 1999.</w:t>
      </w:r>
    </w:p>
    <w:p>
      <w:pPr>
        <w:pStyle w:val="BodyText"/>
      </w:pPr>
      <w:r>
        <w:t xml:space="preserve">R. Ferrara,</w:t>
      </w:r>
      <w:r>
        <w:t xml:space="preserve"> </w:t>
      </w:r>
      <w:r>
        <w:t xml:space="preserve">“</w:t>
      </w:r>
      <w:r>
        <w:t xml:space="preserve">RUE in flue-cured tobacco,</w:t>
      </w:r>
      <w:r>
        <w:t xml:space="preserve">”</w:t>
      </w:r>
      <w:r>
        <w:t xml:space="preserve"> </w:t>
      </w:r>
      <w:r>
        <w:rPr>
          <w:iCs/>
          <w:i/>
        </w:rPr>
        <w:t xml:space="preserve">Field Crops Res.</w:t>
      </w:r>
      <w:r>
        <w:t xml:space="preserve">, 2002.</w:t>
      </w:r>
    </w:p>
    <w:p>
      <w:pPr>
        <w:pStyle w:val="BodyText"/>
      </w:pPr>
      <w:r>
        <w:t xml:space="preserve">Y. Zhang et al.,</w:t>
      </w:r>
      <w:r>
        <w:t xml:space="preserve"> </w:t>
      </w:r>
      <w:r>
        <w:t xml:space="preserve">“</w:t>
      </w:r>
      <w:r>
        <w:t xml:space="preserve">LAI simulation of tobacco,</w:t>
      </w:r>
      <w:r>
        <w:t xml:space="preserve">”</w:t>
      </w:r>
      <w:r>
        <w:t xml:space="preserve"> </w:t>
      </w:r>
      <w:r>
        <w:rPr>
          <w:iCs/>
          <w:i/>
        </w:rPr>
        <w:t xml:space="preserve">Chin. J. Eco-Agric.</w:t>
      </w:r>
      <w:r>
        <w:t xml:space="preserve">, 2017.</w:t>
      </w:r>
    </w:p>
    <w:p>
      <w:pPr>
        <w:pStyle w:val="BodyText"/>
      </w:pPr>
      <w:r>
        <w:t xml:space="preserve">R. S. Raoufi et al.,</w:t>
      </w:r>
      <w:r>
        <w:t xml:space="preserve"> </w:t>
      </w:r>
      <w:r>
        <w:t xml:space="preserve">“</w:t>
      </w:r>
      <w:r>
        <w:t xml:space="preserve">Climate changes and rice cultivation,</w:t>
      </w:r>
      <w:r>
        <w:t xml:space="preserve">”</w:t>
      </w:r>
      <w:r>
        <w:t xml:space="preserve"> </w:t>
      </w:r>
      <w:r>
        <w:rPr>
          <w:iCs/>
          <w:i/>
        </w:rPr>
        <w:t xml:space="preserve">Int. J. Plant Prod.</w:t>
      </w:r>
      <w:r>
        <w:t xml:space="preserve">, 2025.</w:t>
      </w:r>
    </w:p>
    <w:p>
      <w:pPr>
        <w:pStyle w:val="BodyText"/>
      </w:pPr>
      <w:r>
        <w:t xml:space="preserve">TasteIran,</w:t>
      </w:r>
      <w:r>
        <w:t xml:space="preserve"> </w:t>
      </w:r>
      <w:r>
        <w:t xml:space="preserve">“</w:t>
      </w:r>
      <w:r>
        <w:t xml:space="preserve">Iran rice harvesting.</w:t>
      </w:r>
      <w:r>
        <w:t xml:space="preserve">”</w:t>
      </w:r>
      <w:r>
        <w:t xml:space="preserve"> </w:t>
      </w:r>
      <w:r>
        <w:t xml:space="preserve">Available:</w:t>
      </w:r>
      <w:r>
        <w:t xml:space="preserve"> </w:t>
      </w:r>
      <w:hyperlink r:id="rId78">
        <w:r>
          <w:rPr>
            <w:rStyle w:val="Hyperlink"/>
          </w:rPr>
          <w:t xml:space="preserve">https://www.tasteiran.net/stories/10/iran-rice-harvesting</w:t>
        </w:r>
      </w:hyperlink>
    </w:p>
    <w:bookmarkEnd w:id="79"/>
    <w:bookmarkStart w:id="104" w:name="supplementary-climate-figures"/>
    <w:p>
      <w:pPr>
        <w:pStyle w:val="Heading1"/>
      </w:pPr>
      <w:r>
        <w:t xml:space="preserve">Supplementary Climate Figures</w:t>
      </w:r>
    </w:p>
    <w:p>
      <w:pPr>
        <w:pStyle w:val="CaptionedFigure"/>
      </w:pPr>
      <w:r>
        <w:drawing>
          <wp:inline>
            <wp:extent cx="5334000" cy="1863316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ures/fig_radiati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daily average solar radiation, April–October.</w:t>
      </w:r>
    </w:p>
    <w:p>
      <w:pPr>
        <w:pStyle w:val="CaptionedFigure"/>
      </w:pPr>
      <w:r>
        <w:drawing>
          <wp:inline>
            <wp:extent cx="5334000" cy="1863316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igures/fig_humidity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daily average relative humidity, April–October.</w:t>
      </w:r>
    </w:p>
    <w:p>
      <w:pPr>
        <w:pStyle w:val="CaptionedFigure"/>
      </w:pPr>
      <w:r>
        <w:drawing>
          <wp:inline>
            <wp:extent cx="5334000" cy="186331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igures/fig_win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daily average wind speed, April–October.</w:t>
      </w:r>
    </w:p>
    <w:p>
      <w:pPr>
        <w:pStyle w:val="CaptionedFigure"/>
      </w:pPr>
      <w:r>
        <w:drawing>
          <wp:inline>
            <wp:extent cx="5334000" cy="186331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igures/fig_pressur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daily average surface pressure, April–October.</w:t>
      </w:r>
    </w:p>
    <w:p>
      <w:pPr>
        <w:pStyle w:val="CaptionedFigure"/>
      </w:pPr>
      <w:r>
        <w:drawing>
          <wp:inline>
            <wp:extent cx="5334000" cy="224724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/fig_soil_moistur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25-year daily average NASA MERRA-2 soil wetness, April–October.</w:t>
      </w:r>
    </w:p>
    <w:p>
      <w:pPr>
        <w:pStyle w:val="CaptionedFigure"/>
      </w:pPr>
      <w:r>
        <w:drawing>
          <wp:inline>
            <wp:extent cx="5334000" cy="6598393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figures/fig_temperature_may_year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 temperature in May for 2021–2025.</w:t>
      </w:r>
    </w:p>
    <w:p>
      <w:pPr>
        <w:pStyle w:val="CaptionedFigure"/>
      </w:pPr>
      <w:r>
        <w:drawing>
          <wp:inline>
            <wp:extent cx="5334000" cy="148813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igures/fig_runoff_spatial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Spatial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 harvest, three runoff modes, wet scenario (2024).</w:t>
      </w:r>
    </w:p>
    <w:p>
      <w:pPr>
        <w:pStyle w:val="CaptionedFigure"/>
      </w:pPr>
      <w:r>
        <w:drawing>
          <wp:inline>
            <wp:extent cx="5334000" cy="1656382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figures/fig_gwetroot_scatte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 plots: ABM vs NASA GWETROOT for three scenarios.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101" Target="media/rId101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80" Target="media/rId80.png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63" Target="media/rId63.png" /><Relationship Type="http://schemas.openxmlformats.org/officeDocument/2006/relationships/image" Id="rId98" Target="media/rId98.png" /><Relationship Type="http://schemas.openxmlformats.org/officeDocument/2006/relationships/image" Id="rId92" Target="media/rId92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95" Target="media/rId95.png" /><Relationship Type="http://schemas.openxmlformats.org/officeDocument/2006/relationships/image" Id="rId86" Target="media/rId86.png" /><Relationship Type="http://schemas.openxmlformats.org/officeDocument/2006/relationships/hyperlink" Id="rId75" Target="https://surfiran.com/mag/rice-transplantation-in-gilan-province/" TargetMode="External" /><Relationship Type="http://schemas.openxmlformats.org/officeDocument/2006/relationships/hyperlink" Id="rId77" Target="https://www.fao.org/land-water/databases-and-software/crop-information/tobacco/en/" TargetMode="External" /><Relationship Type="http://schemas.openxmlformats.org/officeDocument/2006/relationships/hyperlink" Id="rId76" Target="https://www.iranicaonline.org/articles/tobacco/" TargetMode="External" /><Relationship Type="http://schemas.openxmlformats.org/officeDocument/2006/relationships/hyperlink" Id="rId78" Target="https://www.tasteiran.net/stories/10/iran-rice-harves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surfiran.com/mag/rice-transplantation-in-gilan-province/" TargetMode="External" /><Relationship Type="http://schemas.openxmlformats.org/officeDocument/2006/relationships/hyperlink" Id="rId77" Target="https://www.fao.org/land-water/databases-and-software/crop-information/tobacco/en/" TargetMode="External" /><Relationship Type="http://schemas.openxmlformats.org/officeDocument/2006/relationships/hyperlink" Id="rId76" Target="https://www.iranicaonline.org/articles/tobacco/" TargetMode="External" /><Relationship Type="http://schemas.openxmlformats.org/officeDocument/2006/relationships/hyperlink" Id="rId78" Target="https://www.tasteiran.net/stories/10/iran-rice-harves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Dynamics and Environment Modeling Standalone Report for MSc Thesis: “Modern Control Methods for Agricultural Irrigation”</dc:title>
  <dc:creator>Tara Torbati ITMO University, Saint Petersburg, Russia</dc:creator>
  <cp:keywords/>
  <dcterms:created xsi:type="dcterms:W3CDTF">2026-04-19T09:36:14Z</dcterms:created>
  <dcterms:modified xsi:type="dcterms:W3CDTF">2026-04-19T09:36:14Z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