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YESCO - Reno</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800 B Bennie Lane</w:t>
      </w:r>
      <w:r>
        <w:rPr>
          <w:rFonts w:ascii="Segoe UI" w:hAnsi="Segoe UI" w:cs="Segoe UI"/>
          <w:iCs/>
          <w:sz w:val="20"/>
          <w:szCs w:val="20"/>
          <w:highlight w:val="yellow"/>
        </w:rPr>
        <w:br/>
      </w:r>
      <w:r>
        <w:rPr>
          <w:rFonts w:ascii="Segoe UI" w:hAnsi="Segoe UI" w:cs="Segoe UI"/>
          <w:sz w:val="20"/>
          <w:szCs w:val="20"/>
          <w:highlight w:val="yellow"/>
        </w:rPr>
        <w:t xml:space="preserve">Reno, NV 89512</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775-284-8127</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Karen Munson</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kmunson@yesco.com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99,483.00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Scoreboard</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Scoreboard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(1) Daktronics model FB-2021 single-sided football/track scoreboard, complete with all steel support structure, per Clarification #01, RFI #5.</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wireless scoring console controller with battery power option.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design and engineering for a complete, turnkey installation of the scoreboard structure and framing, including foundation design.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Structural foundation and framing design shown in the Bid Documents is for reference only.</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all deferred submittals, engineering, and permits required for the scoreboard structure.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Structural steel support components exposed to weather shall be hot-dip galvanized per the structural General Notes.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Employ a licensed electrician for all electrical work associated with the scoreboard equipment.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Complete final electrical connections and commissioning of the scoreboard.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Electrical Subcontractor to bring power within 10 feet of the scoreboard for final connections.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Electrical Subcontractor for load requirements of the transformer and enclosure mounted behind the scoreboard, per sheet note 3/E1-10.</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Concrete Subcontractor for scoreboard foundation design, embed, and anchor bolt requirements.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Contractor for the location of underground piping affecting the scoreboard foundation.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Remove and legally dispose of all dirt spoils generated by this Scope of Work.</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11 68 43 - Football/Track Scoreboard</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#02</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multiple </w:t>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 xml:space="preserve">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six (6) physical hard copies of all submittals.</w:t>
      </w:r>
      <w:r w:rsidR="007324F5" w:rsidRPr="00996E83">
        <w:rPr>
          <w:rFonts w:ascii="Segoe UI" w:hAnsi="Segoe UI" w:cs="Segoe UI"/>
          <w:sz w:val="20"/>
          <w:szCs w:val="20"/>
          <w:highlight w:val="yellow"/>
        </w:rPr>
        <w:t xml:space="preserve"/>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Transformer and enclosure behind scoreboard</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Wired communication pathway to scoreboard</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Removal of existing scoreboard</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Scoreboard foundation excavation and concrete</w:t>
      </w:r>
    </w:p>
    <w:p>
      <w:r>
        <w:br w:type="page"/>
      </w:r>
    </w:p>
    <w:p>
      <w:pPr>
        <w:spacing w:before="0" w:after="40"/>
        <w:ind w:left="0"/>
        <w:jc w:val="left"/>
        <w:rPr>
          <w:rFonts w:ascii="Segoe UI" w:hAnsi="Segoe UI" w:cs="Segoe UI"/>
          <w:sz w:val="24"/>
          <w:szCs w:val="24"/>
          <w:b/>
          <w:bCs/>
          <w:color w:val="C00000"/>
        </w:rPr>
      </w:pPr>
      <w:r>
        <w:rPr>
          <w:rFonts w:ascii="Segoe UI" w:hAnsi="Segoe UI" w:cs="Segoe UI"/>
          <w:sz w:val="24"/>
          <w:szCs w:val="24"/>
          <w:b/>
          <w:bCs/>
          <w:color w:val="C00000"/>
        </w:rPr>
        <w:t xml:space="preserve">DRAFT REVIEW ONLY - DELETE BEFORE ISSUE</w:t>
      </w:r>
    </w:p>
    <w:p>
      <w:pPr>
        <w:spacing w:before="0" w:after="40"/>
        <w:ind w:left="0"/>
        <w:jc w:val="left"/>
        <w:rPr>
          <w:rFonts w:ascii="Segoe UI" w:hAnsi="Segoe UI" w:cs="Segoe UI"/>
          <w:sz w:val="20"/>
          <w:szCs w:val="20"/>
          <w:b/>
          <w:bCs/>
          <w:color w:val="C00000"/>
        </w:rPr>
      </w:pPr>
      <w:r>
        <w:rPr>
          <w:rFonts w:ascii="Segoe UI" w:hAnsi="Segoe UI" w:cs="Segoe UI"/>
          <w:sz w:val="20"/>
          <w:szCs w:val="20"/>
          <w:b/>
          <w:bCs/>
          <w:color w:val="C00000"/>
        </w:rPr>
        <w:t xml:space="preserve">This page is not part of the Subcontract and is not Scope of Work.</w:t>
      </w:r>
    </w:p>
    <w:p>
      <w:pPr>
        <w:spacing w:before="240" w:after="40"/>
        <w:ind w:left="0"/>
        <w:jc w:val="left"/>
        <w:rPr>
          <w:rFonts w:ascii="Segoe UI" w:hAnsi="Segoe UI" w:cs="Segoe UI"/>
          <w:sz w:val="20"/>
          <w:szCs w:val="20"/>
          <w:b/>
          <w:bCs/>
        </w:rPr>
      </w:pPr>
      <w:r>
        <w:rPr>
          <w:rFonts w:ascii="Segoe UI" w:hAnsi="Segoe UI" w:cs="Segoe UI"/>
          <w:sz w:val="20"/>
          <w:szCs w:val="20"/>
          <w:b/>
          <w:bCs/>
        </w:rPr>
        <w:t xml:space="preserve">RULE 14 REVIEW - obligations removed from the Scope of Work above</w:t>
      </w:r>
    </w:p>
    <w:p>
      <w:pPr>
        <w:spacing w:before="60" w:after="40"/>
        <w:ind w:left="0"/>
        <w:jc w:val="left"/>
        <w:rPr>
          <w:rFonts w:ascii="Segoe UI" w:hAnsi="Segoe UI" w:cs="Segoe UI"/>
          <w:sz w:val="20"/>
          <w:szCs w:val="20"/>
        </w:rPr>
      </w:pPr>
      <w:r>
        <w:rPr>
          <w:rFonts w:ascii="Segoe UI" w:hAnsi="Segoe UI" w:cs="Segoe UI"/>
          <w:sz w:val="20"/>
          <w:szCs w:val="20"/>
        </w:rPr>
        <w:t xml:space="preserve">Rule 14 keeps out of this exhibit anything the Contract Documents already state, so the Subcontract carries one copy of each obligation rather than two that can drift.</w:t>
      </w:r>
    </w:p>
    <w:p>
      <w:pPr>
        <w:spacing w:before="60" w:after="40"/>
        <w:ind w:left="0"/>
        <w:jc w:val="left"/>
        <w:rPr>
          <w:rFonts w:ascii="Segoe UI" w:hAnsi="Segoe UI" w:cs="Segoe UI"/>
          <w:sz w:val="20"/>
          <w:szCs w:val="20"/>
        </w:rPr>
      </w:pPr>
      <w:r>
        <w:rPr>
          <w:rFonts w:ascii="Segoe UI" w:hAnsi="Segoe UI" w:cs="Segoe UI"/>
          <w:sz w:val="20"/>
          <w:szCs w:val="20"/>
        </w:rPr>
        <w:t xml:space="preserve">Every line below was drafted, verified and then removed on that basis. All of them still bind the Subcontractor through the document named beneath them. Tick any that should be restated in the Scope of Work above.</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A.  Already stated in the Project Manual or on the Drawings</w:t>
      </w:r>
    </w:p>
    <w:p>
      <w:pPr>
        <w:spacing w:before="0" w:after="40"/>
        <w:ind w:left="180"/>
        <w:jc w:val="left"/>
        <w:rPr>
          <w:rFonts w:ascii="Segoe UI" w:hAnsi="Segoe UI" w:cs="Segoe UI"/>
          <w:sz w:val="20"/>
          <w:szCs w:val="20"/>
        </w:rPr>
      </w:pPr>
      <w:r>
        <w:rPr>
          <w:rFonts w:ascii="Segoe UI" w:hAnsi="Segoe UI" w:cs="Segoe UI"/>
          <w:sz w:val="20"/>
          <w:szCs w:val="20"/>
        </w:rPr>
        <w:t xml:space="preserve">Restating these creates a second, weaker copy of the same obligation.</w:t>
      </w:r>
    </w:p>
    <w:p>
      <w:pPr>
        <w:spacing w:before="60" w:after="40"/>
        <w:ind w:left="360"/>
        <w:jc w:val="left"/>
        <w:rPr>
          <w:rFonts w:ascii="Segoe UI" w:hAnsi="Segoe UI" w:cs="Segoe UI"/>
          <w:sz w:val="20"/>
          <w:szCs w:val="20"/>
        </w:rPr>
      </w:pPr>
      <w:r>
        <w:rPr>
          <w:rFonts w:ascii="Segoe UI" w:hAnsi="Segoe UI" w:cs="Segoe UI"/>
          <w:sz w:val="20"/>
          <w:szCs w:val="20"/>
        </w:rPr>
        <w:t xml:space="preserve">☐  Provide scoring console, electric operators, and operating hardware as specified and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11 6843 para 2.04 Scoring Console</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anchors, fasteners, and sealants required for a complete installation.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11 6843 Part 3 Installation; the turnkey clause already binding this Attachment A</w:t>
      </w:r>
    </w:p>
    <w:p>
      <w:pPr>
        <w:spacing w:before="60" w:after="40"/>
        <w:ind w:left="360"/>
        <w:jc w:val="left"/>
        <w:rPr>
          <w:rFonts w:ascii="Segoe UI" w:hAnsi="Segoe UI" w:cs="Segoe UI"/>
          <w:sz w:val="20"/>
          <w:szCs w:val="20"/>
        </w:rPr>
      </w:pPr>
      <w:r>
        <w:rPr>
          <w:rFonts w:ascii="Segoe UI" w:hAnsi="Segoe UI" w:cs="Segoe UI"/>
          <w:sz w:val="20"/>
          <w:szCs w:val="20"/>
        </w:rPr>
        <w:t xml:space="preserve">☐  Provide final adjustments, start up, and training as specified.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11 6843 para 3.03 Installation - Control Center</w:t>
      </w:r>
    </w:p>
    <w:p>
      <w:pPr>
        <w:spacing w:before="60" w:after="40"/>
        <w:ind w:left="360"/>
        <w:jc w:val="left"/>
        <w:rPr>
          <w:rFonts w:ascii="Segoe UI" w:hAnsi="Segoe UI" w:cs="Segoe UI"/>
          <w:sz w:val="20"/>
          <w:szCs w:val="20"/>
        </w:rPr>
      </w:pPr>
      <w:r>
        <w:rPr>
          <w:rFonts w:ascii="Segoe UI" w:hAnsi="Segoe UI" w:cs="Segoe UI"/>
          <w:sz w:val="20"/>
          <w:szCs w:val="20"/>
        </w:rPr>
        <w:t xml:space="preserve">☐  Include multiple mobilizations as may be required per the Preliminary Construction Schedule and Logistics Plan.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this Attachment A, PROJECT SPECIFIC PROVISIONS (Mobilizations)</w:t>
      </w:r>
    </w:p>
    <w:p>
      <w:pPr>
        <w:spacing w:before="60" w:after="40"/>
        <w:ind w:left="360"/>
        <w:jc w:val="left"/>
        <w:rPr>
          <w:rFonts w:ascii="Segoe UI" w:hAnsi="Segoe UI" w:cs="Segoe UI"/>
          <w:sz w:val="20"/>
          <w:szCs w:val="20"/>
        </w:rPr>
      </w:pPr>
      <w:r>
        <w:rPr>
          <w:rFonts w:ascii="Segoe UI" w:hAnsi="Segoe UI" w:cs="Segoe UI"/>
          <w:sz w:val="20"/>
          <w:szCs w:val="20"/>
        </w:rPr>
        <w:t xml:space="preserve">☐  Provide a competent foreman who shall participate in the daily huddle and weekly workplan meetings.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this Attachment A, PROJECT SPECIFIC PROVISIONS</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B.  Stated ONLY in a Scope of Work narrative</w:t>
      </w:r>
    </w:p>
    <w:p>
      <w:pPr>
        <w:spacing w:before="0" w:after="40"/>
        <w:ind w:left="180"/>
        <w:jc w:val="left"/>
        <w:rPr>
          <w:rFonts w:ascii="Segoe UI" w:hAnsi="Segoe UI" w:cs="Segoe UI"/>
          <w:sz w:val="20"/>
          <w:szCs w:val="20"/>
        </w:rPr>
      </w:pPr>
      <w:r>
        <w:rPr>
          <w:rFonts w:ascii="Segoe UI" w:hAnsi="Segoe UI" w:cs="Segoe UI"/>
          <w:sz w:val="20"/>
          <w:szCs w:val="20"/>
        </w:rPr>
        <w:t xml:space="preserve">This is the one worth a decision. If the Scope of Work narrative is not an exhibit to the executed Subcontract, striking it removes the obligation outright rather than relocating it.</w:t>
      </w:r>
    </w:p>
    <w:p>
      <w:pPr>
        <w:spacing w:before="60" w:after="40"/>
        <w:ind w:left="360"/>
        <w:jc w:val="left"/>
        <w:rPr>
          <w:rFonts w:ascii="Segoe UI" w:hAnsi="Segoe UI" w:cs="Segoe UI"/>
          <w:sz w:val="20"/>
          <w:szCs w:val="20"/>
        </w:rPr>
      </w:pPr>
      <w:r>
        <w:rPr>
          <w:rFonts w:ascii="Segoe UI" w:hAnsi="Segoe UI" w:cs="Segoe UI"/>
          <w:sz w:val="20"/>
          <w:szCs w:val="20"/>
        </w:rPr>
        <w:t xml:space="preserve">☐  Materials and installation shall comply with applicable ADA requirements.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#089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No accessible route, control, or reach range is indicated for the scoreboard anywhere in the Contract Documents. May be boilerplate carried over from another package's narrative rather than a real obligation for this equipment type.</w:t>
      </w:r>
    </w:p>
    <w:p>
      <w:pPr>
        <w:spacing w:before="60" w:after="40"/>
        <w:ind w:left="360"/>
        <w:jc w:val="left"/>
        <w:rPr>
          <w:rFonts w:ascii="Segoe UI" w:hAnsi="Segoe UI" w:cs="Segoe UI"/>
          <w:sz w:val="20"/>
          <w:szCs w:val="20"/>
        </w:rPr>
      </w:pPr>
      <w:r>
        <w:rPr>
          <w:rFonts w:ascii="Segoe UI" w:hAnsi="Segoe UI" w:cs="Segoe UI"/>
          <w:sz w:val="20"/>
          <w:szCs w:val="20"/>
        </w:rPr>
        <w:t xml:space="preserve">☐  Supply and install all footings, including excavation, backfill, compacted subbase, concrete, reinforcing, sleeves, anchors, and coring as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#089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Struck to the exclusions list, not restated here as a duplicate -- Scope of Work #030 assigns this construction to the Concrete Subcontractor. Listed here because it is the clearest single line showing the two narratives conflict, and because YESCO's own priced 'Add alternate' for this exact scope is embedded in the carried Subcontract Amount. See the HIGHEST PRIORITY open PM item.</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C.  Stated in no document at all</w:t>
      </w:r>
    </w:p>
    <w:p>
      <w:pPr>
        <w:spacing w:before="0" w:after="40"/>
        <w:ind w:left="180"/>
        <w:jc w:val="left"/>
        <w:rPr>
          <w:rFonts w:ascii="Segoe UI" w:hAnsi="Segoe UI" w:cs="Segoe UI"/>
          <w:sz w:val="20"/>
          <w:szCs w:val="20"/>
        </w:rPr>
      </w:pPr>
      <w:r>
        <w:rPr>
          <w:rFonts w:ascii="Segoe UI" w:hAnsi="Segoe UI" w:cs="Segoe UI"/>
          <w:sz w:val="20"/>
          <w:szCs w:val="20"/>
        </w:rPr>
        <w:t xml:space="preserve">Trade means and methods. No document assigns this one; it is here only so the list is complete.</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rigging, cranes, and lifting equipment required to erect the scoreboard structure.</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Image360 and YESCO proposals each price a separate crane pick for this Scope of Work</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