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Northstar Contracting Group, Inc.</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5678 La Costa Canyon Court, Suite 105</w:t>
      </w:r>
      <w:r>
        <w:rPr>
          <w:rFonts w:ascii="Segoe UI" w:hAnsi="Segoe UI" w:cs="Segoe UI"/>
          <w:iCs/>
          <w:sz w:val="20"/>
          <w:szCs w:val="20"/>
          <w:highlight w:val="yellow"/>
        </w:rPr>
        <w:br/>
      </w:r>
      <w:r>
        <w:rPr>
          <w:rFonts w:ascii="Segoe UI" w:hAnsi="Segoe UI" w:cs="Segoe UI"/>
          <w:sz w:val="20"/>
          <w:szCs w:val="20"/>
          <w:highlight w:val="yellow"/>
        </w:rPr>
        <w:t xml:space="preserve">Las Vegas, NV 89139</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702-220-4848</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Fernando Cerda</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FCCerda@Northstar.com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741,912.00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Abatement &amp; Building Wrecking</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Hazardous Material Remediation (Abandoned Elementary School)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Remove and legally dispose of hazardous building materials at the abandoned elementary school (Idaho Circle), including all trucking and disposal fees.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transportation and disposal of miscellaneous hazardous materials encountered during this Scope of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pre-abatement demolition of interior finishes, materials, equipment, and building components necessary to access hazardous materials, including off-haul and disposal to a legal landfill.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stabilization of lead-based paint surfaces requiring removal.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Comply with the Pre-Demolition Asbestos Survey (dated October 3, 2023) and the Asbestos Management Plan for Nye County School District (dated January 4, 2022).</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manage, maintain, and remove all containment, negative air pressurization, and HEPA filtration systems.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Limited to Buildings 3, 4, 5, 6 and 7; Buildings 1 and 2 remain occupied throughout this Scope of Work.</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Building Wrecking (Abandoned Elementary School)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and remove Buildings 3, 4, 5, 6 and 7 at the abandoned elementary school (Idaho Circle) as indicated, including all interior finishes, materials, equipment, and building system components.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Slabs-on-grade to remain; cut all reinforcing, anchor bolts, conduits, and piping flush with top of slab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Cast-in-place concrete basement retaining wall at Building 4 to remain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removal of all plumbing, mechanical, and electrical equipment disconnected by others.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and remove existing wooden shed and floor structure at Building 4.</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Cut and remove existing exterior wood posts at Building 5; remove and salvage existing exterior steel canopy posts, coordinating with Contractor for protection, storage, and re-installation by others.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and remove exterior walkway canopies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all sawcutting necessary to complete this Scope of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Cut and cap water and sewer lines a minimum 24 inches below finish slab as indicated.</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Site Clearing (Abandoned Elementary School Campus)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Sawcut and remove all concrete paving, steps-on-grade, and equipment pads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Remove trees, including stump grinding,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and remove landscaping, including shut-off of irrigation, sprinklers, and the main water line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Remove and dispose of existing chain link fencing and gates, handrails, playground equipment, and basketball hoops and posts, including all footings.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Fill open stem wall CMU cells with dirt as indicated, per 1/AD1.15.</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rough site grading at completion, including backfilling footing holes and excavated trenches with native materials.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Remove and haul off existing propane tank and associated piping.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Electrical Subcontractor for safe-off of feeders from the transformer to the demolished buildings; remove, haul, and dispose of feeders outside building footprints.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Cap abandoned water line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traffic control plans, flagging, and barricades for offsite activities required for this Scope of Work only; obtain required offsite excavation and traffic control permits.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dust palliative as indicated at completion of work at this site.</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General Scope Requirements</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all provisions for confined space work as may be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dust control for all operations per Nye County Air Quality requirements.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Clean and maintain trucking access routes, including street sweeping, for this Scope of Work only.</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Utility, Plumbing, Mechanical, and Electrical Subcontractors to ensure utilities are capped and made safe prior to demolition within the building envelope.</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02 41 00 - Demolition</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#02</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multiple </w:t>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six (6) physical hard copies of all submittals.</w:t>
      </w:r>
      <w:r w:rsidR="007324F5" w:rsidRPr="00996E83">
        <w:rPr>
          <w:rFonts w:ascii="Segoe UI" w:hAnsi="Segoe UI" w:cs="Segoe UI"/>
          <w:sz w:val="20"/>
          <w:szCs w:val="20"/>
          <w:highlight w:val="yellow"/>
        </w:rPr>
        <w:t xml:space="preserve"> </w:t>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Abatement or demolition of Buildings 1 and 2</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Underground utility demolition and relocation outside building footprints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Building 4 lower-level stem wall demolition, AD1.16 alternate</w:t>
      </w:r>
    </w:p>
    <w:p>
      <w:r>
        <w:br w:type="page"/>
      </w:r>
    </w:p>
    <w:p>
      <w:pPr>
        <w:spacing w:before="0" w:after="40"/>
        <w:ind w:left="0"/>
        <w:jc w:val="left"/>
        <w:rPr>
          <w:rFonts w:ascii="Segoe UI" w:hAnsi="Segoe UI" w:cs="Segoe UI"/>
          <w:sz w:val="24"/>
          <w:szCs w:val="24"/>
          <w:b/>
          <w:bCs/>
          <w:color w:val="C00000"/>
        </w:rPr>
      </w:pPr>
      <w:r>
        <w:rPr>
          <w:rFonts w:ascii="Segoe UI" w:hAnsi="Segoe UI" w:cs="Segoe UI"/>
          <w:sz w:val="24"/>
          <w:szCs w:val="24"/>
          <w:b/>
          <w:bCs/>
          <w:color w:val="C00000"/>
        </w:rPr>
        <w:t xml:space="preserve">DRAFT REVIEW ONLY - DELETE BEFORE ISSUE</w:t>
      </w:r>
    </w:p>
    <w:p>
      <w:pPr>
        <w:spacing w:before="0" w:after="40"/>
        <w:ind w:left="0"/>
        <w:jc w:val="left"/>
        <w:rPr>
          <w:rFonts w:ascii="Segoe UI" w:hAnsi="Segoe UI" w:cs="Segoe UI"/>
          <w:sz w:val="20"/>
          <w:szCs w:val="20"/>
          <w:b/>
          <w:bCs/>
          <w:color w:val="C00000"/>
        </w:rPr>
      </w:pPr>
      <w:r>
        <w:rPr>
          <w:rFonts w:ascii="Segoe UI" w:hAnsi="Segoe UI" w:cs="Segoe UI"/>
          <w:sz w:val="20"/>
          <w:szCs w:val="20"/>
          <w:b/>
          <w:bCs/>
          <w:color w:val="C00000"/>
        </w:rPr>
        <w:t xml:space="preserve">This page is not part of the Subcontract and is not Scope of Work.</w:t>
      </w:r>
    </w:p>
    <w:p>
      <w:pPr>
        <w:spacing w:before="240" w:after="40"/>
        <w:ind w:left="0"/>
        <w:jc w:val="left"/>
        <w:rPr>
          <w:rFonts w:ascii="Segoe UI" w:hAnsi="Segoe UI" w:cs="Segoe UI"/>
          <w:sz w:val="20"/>
          <w:szCs w:val="20"/>
          <w:b/>
          <w:bCs/>
        </w:rPr>
      </w:pPr>
      <w:r>
        <w:rPr>
          <w:rFonts w:ascii="Segoe UI" w:hAnsi="Segoe UI" w:cs="Segoe UI"/>
          <w:sz w:val="20"/>
          <w:szCs w:val="20"/>
          <w:b/>
          <w:bCs/>
        </w:rPr>
        <w:t xml:space="preserve">RULE 14 REVIEW - obligations removed from the Scope of Work above</w:t>
      </w:r>
    </w:p>
    <w:p>
      <w:pPr>
        <w:spacing w:before="60" w:after="40"/>
        <w:ind w:left="0"/>
        <w:jc w:val="left"/>
        <w:rPr>
          <w:rFonts w:ascii="Segoe UI" w:hAnsi="Segoe UI" w:cs="Segoe UI"/>
          <w:sz w:val="20"/>
          <w:szCs w:val="20"/>
        </w:rPr>
      </w:pPr>
      <w:r>
        <w:rPr>
          <w:rFonts w:ascii="Segoe UI" w:hAnsi="Segoe UI" w:cs="Segoe UI"/>
          <w:sz w:val="20"/>
          <w:szCs w:val="20"/>
        </w:rPr>
        <w:t xml:space="preserve">Rule 14 keeps out of this exhibit anything the Contract Documents already state, so the Subcontract carries one copy of each obligation rather than two that can drift.</w:t>
      </w:r>
    </w:p>
    <w:p>
      <w:pPr>
        <w:spacing w:before="60" w:after="40"/>
        <w:ind w:left="0"/>
        <w:jc w:val="left"/>
        <w:rPr>
          <w:rFonts w:ascii="Segoe UI" w:hAnsi="Segoe UI" w:cs="Segoe UI"/>
          <w:sz w:val="20"/>
          <w:szCs w:val="20"/>
        </w:rPr>
      </w:pPr>
      <w:r>
        <w:rPr>
          <w:rFonts w:ascii="Segoe UI" w:hAnsi="Segoe UI" w:cs="Segoe UI"/>
          <w:sz w:val="20"/>
          <w:szCs w:val="20"/>
        </w:rPr>
        <w:t xml:space="preserve">Every line below was drafted, verified and then removed on that basis. All of them still bind the Subcontractor through the document named beneath them. Tick any that should be restated in the Scope of Work above.</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A.  Already stated in the Project Manual or on the Drawings</w:t>
      </w:r>
    </w:p>
    <w:p>
      <w:pPr>
        <w:spacing w:before="0" w:after="40"/>
        <w:ind w:left="180"/>
        <w:jc w:val="left"/>
        <w:rPr>
          <w:rFonts w:ascii="Segoe UI" w:hAnsi="Segoe UI" w:cs="Segoe UI"/>
          <w:sz w:val="20"/>
          <w:szCs w:val="20"/>
        </w:rPr>
      </w:pPr>
      <w:r>
        <w:rPr>
          <w:rFonts w:ascii="Segoe UI" w:hAnsi="Segoe UI" w:cs="Segoe UI"/>
          <w:sz w:val="20"/>
          <w:szCs w:val="20"/>
        </w:rPr>
        <w:t xml:space="preserve">Restating these creates a second, weaker copy of the same obligation.</w:t>
      </w:r>
    </w:p>
    <w:p>
      <w:pPr>
        <w:spacing w:before="60" w:after="40"/>
        <w:ind w:left="360"/>
        <w:jc w:val="left"/>
        <w:rPr>
          <w:rFonts w:ascii="Segoe UI" w:hAnsi="Segoe UI" w:cs="Segoe UI"/>
          <w:sz w:val="20"/>
          <w:szCs w:val="20"/>
        </w:rPr>
      </w:pPr>
      <w:r>
        <w:rPr>
          <w:rFonts w:ascii="Segoe UI" w:hAnsi="Segoe UI" w:cs="Segoe UI"/>
          <w:sz w:val="20"/>
          <w:szCs w:val="20"/>
        </w:rPr>
        <w:t xml:space="preserve">☐  Obtain required demolition permits from the Authority Having Jurisdiction.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 3.02.A.1</w:t>
      </w:r>
    </w:p>
    <w:p>
      <w:pPr>
        <w:spacing w:before="60" w:after="40"/>
        <w:ind w:left="360"/>
        <w:jc w:val="left"/>
        <w:rPr>
          <w:rFonts w:ascii="Segoe UI" w:hAnsi="Segoe UI" w:cs="Segoe UI"/>
          <w:sz w:val="20"/>
          <w:szCs w:val="20"/>
        </w:rPr>
      </w:pPr>
      <w:r>
        <w:rPr>
          <w:rFonts w:ascii="Segoe UI" w:hAnsi="Segoe UI" w:cs="Segoe UI"/>
          <w:sz w:val="20"/>
          <w:szCs w:val="20"/>
        </w:rPr>
        <w:t xml:space="preserve">☐  Comply with all applicable AHJ and OSHA requirements for this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general Subcontract Agreement terms; standard code compliance</w:t>
      </w:r>
    </w:p>
    <w:p>
      <w:pPr>
        <w:spacing w:before="60" w:after="40"/>
        <w:ind w:left="360"/>
        <w:jc w:val="left"/>
        <w:rPr>
          <w:rFonts w:ascii="Segoe UI" w:hAnsi="Segoe UI" w:cs="Segoe UI"/>
          <w:sz w:val="20"/>
          <w:szCs w:val="20"/>
        </w:rPr>
      </w:pPr>
      <w:r>
        <w:rPr>
          <w:rFonts w:ascii="Segoe UI" w:hAnsi="Segoe UI" w:cs="Segoe UI"/>
          <w:sz w:val="20"/>
          <w:szCs w:val="20"/>
        </w:rPr>
        <w:t xml:space="preserve">☐  Provide, erect, and maintain temporary barriers and security devices to prevent access to hazardous areas.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paras 3.02.A.3-4</w:t>
      </w:r>
    </w:p>
    <w:p>
      <w:pPr>
        <w:spacing w:before="60" w:after="40"/>
        <w:ind w:left="360"/>
        <w:jc w:val="left"/>
        <w:rPr>
          <w:rFonts w:ascii="Segoe UI" w:hAnsi="Segoe UI" w:cs="Segoe UI"/>
          <w:sz w:val="20"/>
          <w:szCs w:val="20"/>
        </w:rPr>
      </w:pPr>
      <w:r>
        <w:rPr>
          <w:rFonts w:ascii="Segoe UI" w:hAnsi="Segoe UI" w:cs="Segoe UI"/>
          <w:sz w:val="20"/>
          <w:szCs w:val="20"/>
        </w:rPr>
        <w:t xml:space="preserve">☐  Protect existing structures to remain from damage; conduct demolition to minimize the development and spread of dust.</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 3.02.C; Sheet AD1.11 Demolition Notes 4-5</w:t>
      </w:r>
    </w:p>
    <w:p>
      <w:pPr>
        <w:spacing w:before="60" w:after="40"/>
        <w:ind w:left="360"/>
        <w:jc w:val="left"/>
        <w:rPr>
          <w:rFonts w:ascii="Segoe UI" w:hAnsi="Segoe UI" w:cs="Segoe UI"/>
          <w:sz w:val="20"/>
          <w:szCs w:val="20"/>
        </w:rPr>
      </w:pPr>
      <w:r>
        <w:rPr>
          <w:rFonts w:ascii="Segoe UI" w:hAnsi="Segoe UI" w:cs="Segoe UI"/>
          <w:sz w:val="20"/>
          <w:szCs w:val="20"/>
        </w:rPr>
        <w:t xml:space="preserve">☐  Field verify existing conditions prior to the start of demolition operations; report discrepancies to the Architect.</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 3.04.A.1-2; Sheet AD1.11 Demolition Note 3</w:t>
      </w:r>
    </w:p>
    <w:p>
      <w:pPr>
        <w:spacing w:before="60" w:after="40"/>
        <w:ind w:left="360"/>
        <w:jc w:val="left"/>
        <w:rPr>
          <w:rFonts w:ascii="Segoe UI" w:hAnsi="Segoe UI" w:cs="Segoe UI"/>
          <w:sz w:val="20"/>
          <w:szCs w:val="20"/>
        </w:rPr>
      </w:pPr>
      <w:r>
        <w:rPr>
          <w:rFonts w:ascii="Segoe UI" w:hAnsi="Segoe UI" w:cs="Segoe UI"/>
          <w:sz w:val="20"/>
          <w:szCs w:val="20"/>
        </w:rPr>
        <w:t xml:space="preserve">☐  Maintain means of egress separate from construction areas at all times; ensure safe passage around demolition areas.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AD1.11 Demolition Notes 8-9</w:t>
      </w:r>
    </w:p>
    <w:p>
      <w:pPr>
        <w:spacing w:before="60" w:after="40"/>
        <w:ind w:left="360"/>
        <w:jc w:val="left"/>
        <w:rPr>
          <w:rFonts w:ascii="Segoe UI" w:hAnsi="Segoe UI" w:cs="Segoe UI"/>
          <w:sz w:val="20"/>
          <w:szCs w:val="20"/>
        </w:rPr>
      </w:pPr>
      <w:r>
        <w:rPr>
          <w:rFonts w:ascii="Segoe UI" w:hAnsi="Segoe UI" w:cs="Segoe UI"/>
          <w:sz w:val="20"/>
          <w:szCs w:val="20"/>
        </w:rPr>
        <w:t xml:space="preserve">☐  Clean adjacent structures and improvements of dust, dirt, and debris caused by demolition operations.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AD1.11 Demolition Note 9</w:t>
      </w:r>
    </w:p>
    <w:p>
      <w:pPr>
        <w:spacing w:before="60" w:after="40"/>
        <w:ind w:left="360"/>
        <w:jc w:val="left"/>
        <w:rPr>
          <w:rFonts w:ascii="Segoe UI" w:hAnsi="Segoe UI" w:cs="Segoe UI"/>
          <w:sz w:val="20"/>
          <w:szCs w:val="20"/>
        </w:rPr>
      </w:pPr>
      <w:r>
        <w:rPr>
          <w:rFonts w:ascii="Segoe UI" w:hAnsi="Segoe UI" w:cs="Segoe UI"/>
          <w:sz w:val="20"/>
          <w:szCs w:val="20"/>
        </w:rPr>
        <w:t xml:space="preserve">☐  Coordinate work with utility companies; protect existing utilities to remain from damage; do not disrupt utilities without required notice.</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paras 3.03.A-E</w:t>
      </w:r>
    </w:p>
    <w:p>
      <w:pPr>
        <w:spacing w:before="60" w:after="40"/>
        <w:ind w:left="360"/>
        <w:jc w:val="left"/>
        <w:rPr>
          <w:rFonts w:ascii="Segoe UI" w:hAnsi="Segoe UI" w:cs="Segoe UI"/>
          <w:sz w:val="20"/>
          <w:szCs w:val="20"/>
        </w:rPr>
      </w:pPr>
      <w:r>
        <w:rPr>
          <w:rFonts w:ascii="Segoe UI" w:hAnsi="Segoe UI" w:cs="Segoe UI"/>
          <w:sz w:val="20"/>
          <w:szCs w:val="20"/>
        </w:rPr>
        <w:t xml:space="preserve">☐  Immediately cease work and notify Architect and Owner if hazardous materials are discovered during removal operations.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 3.02.D</w:t>
      </w:r>
    </w:p>
    <w:p>
      <w:pPr>
        <w:spacing w:before="60" w:after="40"/>
        <w:ind w:left="360"/>
        <w:jc w:val="left"/>
        <w:rPr>
          <w:rFonts w:ascii="Segoe UI" w:hAnsi="Segoe UI" w:cs="Segoe UI"/>
          <w:sz w:val="20"/>
          <w:szCs w:val="20"/>
        </w:rPr>
      </w:pPr>
      <w:r>
        <w:rPr>
          <w:rFonts w:ascii="Segoe UI" w:hAnsi="Segoe UI" w:cs="Segoe UI"/>
          <w:sz w:val="20"/>
          <w:szCs w:val="20"/>
        </w:rPr>
        <w:t xml:space="preserve">☐  Remove exposed piping, valves, meters, equipment, supports, and foundations of disconnected and abandoned utilities.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paras 3.01.M, 3.03.G</w:t>
      </w:r>
    </w:p>
    <w:p>
      <w:pPr>
        <w:spacing w:before="60" w:after="40"/>
        <w:ind w:left="360"/>
        <w:jc w:val="left"/>
        <w:rPr>
          <w:rFonts w:ascii="Segoe UI" w:hAnsi="Segoe UI" w:cs="Segoe UI"/>
          <w:sz w:val="20"/>
          <w:szCs w:val="20"/>
        </w:rPr>
      </w:pPr>
      <w:r>
        <w:rPr>
          <w:rFonts w:ascii="Segoe UI" w:hAnsi="Segoe UI" w:cs="Segoe UI"/>
          <w:sz w:val="20"/>
          <w:szCs w:val="20"/>
        </w:rPr>
        <w:t xml:space="preserve">☐  Coordinate with Contractor for removal, protection, and storage of items to be returned, re-used, or re-installed.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paras 1.03.C-D, 3.01.M</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necessary protection of adjacent finishes and surfaces at the perimeter of demolition areas.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 3.02.C; general Subcontract Agreement terms</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trash dumpsters required for this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 3.05.A</w:t>
      </w:r>
    </w:p>
    <w:p>
      <w:pPr>
        <w:spacing w:before="60" w:after="40"/>
        <w:ind w:left="360"/>
        <w:jc w:val="left"/>
        <w:rPr>
          <w:rFonts w:ascii="Segoe UI" w:hAnsi="Segoe UI" w:cs="Segoe UI"/>
          <w:sz w:val="20"/>
          <w:szCs w:val="20"/>
        </w:rPr>
      </w:pPr>
      <w:r>
        <w:rPr>
          <w:rFonts w:ascii="Segoe UI" w:hAnsi="Segoe UI" w:cs="Segoe UI"/>
          <w:sz w:val="20"/>
          <w:szCs w:val="20"/>
        </w:rPr>
        <w:t xml:space="preserve">☐  Haul off and legally dispose of all waste generated by this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paras 3.05.A-B</w:t>
      </w:r>
    </w:p>
    <w:p>
      <w:pPr>
        <w:spacing w:before="60" w:after="40"/>
        <w:ind w:left="360"/>
        <w:jc w:val="left"/>
        <w:rPr>
          <w:rFonts w:ascii="Segoe UI" w:hAnsi="Segoe UI" w:cs="Segoe UI"/>
          <w:sz w:val="20"/>
          <w:szCs w:val="20"/>
        </w:rPr>
      </w:pPr>
      <w:r>
        <w:rPr>
          <w:rFonts w:ascii="Segoe UI" w:hAnsi="Segoe UI" w:cs="Segoe UI"/>
          <w:sz w:val="20"/>
          <w:szCs w:val="20"/>
        </w:rPr>
        <w:t xml:space="preserve">☐  Remove debris, junk, and trash from the site; leave the site in a clean condition ready for subsequent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02 41 00 paras 3.05.A, 3.05.C</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B.  Stated ONLY in a Scope of Work narrative</w:t>
      </w:r>
    </w:p>
    <w:p>
      <w:pPr>
        <w:spacing w:before="0" w:after="40"/>
        <w:ind w:left="180"/>
        <w:jc w:val="left"/>
        <w:rPr>
          <w:rFonts w:ascii="Segoe UI" w:hAnsi="Segoe UI" w:cs="Segoe UI"/>
          <w:sz w:val="20"/>
          <w:szCs w:val="20"/>
        </w:rPr>
      </w:pPr>
      <w:r>
        <w:rPr>
          <w:rFonts w:ascii="Segoe UI" w:hAnsi="Segoe UI" w:cs="Segoe UI"/>
          <w:sz w:val="20"/>
          <w:szCs w:val="20"/>
        </w:rPr>
        <w:t xml:space="preserve">These are the ones worth a decision. If the Scope of Work narrative is not an exhibit to the executed Subcontract, striking these removes the obligation outright rather than relocating it.</w:t>
      </w:r>
    </w:p>
    <w:p>
      <w:pPr>
        <w:spacing w:before="60" w:after="40"/>
        <w:ind w:left="360"/>
        <w:jc w:val="left"/>
        <w:rPr>
          <w:rFonts w:ascii="Segoe UI" w:hAnsi="Segoe UI" w:cs="Segoe UI"/>
          <w:sz w:val="20"/>
          <w:szCs w:val="20"/>
        </w:rPr>
      </w:pPr>
      <w:r>
        <w:rPr>
          <w:rFonts w:ascii="Segoe UI" w:hAnsi="Segoe UI" w:cs="Segoe UI"/>
          <w:sz w:val="20"/>
          <w:szCs w:val="20"/>
        </w:rPr>
        <w:t xml:space="preserve">☐  Coordinate with Contractor to ensure demolition areas have been cleared by the Hazardous Materials Remediation Subcontractor prior to the start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#002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Moot as drafted - this Subcontractor performs both the abatement and building wrecking scopes under this single package, so there is no separate remediation subcontractor to clear the area.</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