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B1A61" w14:textId="54AB47CB" w:rsidR="00620D18" w:rsidRDefault="00620D18" w:rsidP="00BB678F">
      <w:pPr>
        <w:shd w:val="clear" w:color="auto" w:fill="FFFFFF"/>
        <w:spacing w:before="480" w:after="240" w:line="450" w:lineRule="atLeast"/>
        <w:outlineLvl w:val="2"/>
        <w:rPr>
          <w:rFonts w:ascii="Arial" w:eastAsia="Times New Roman" w:hAnsi="Arial" w:cs="Arial"/>
          <w:b/>
          <w:bCs/>
          <w:color w:val="0F1115"/>
          <w:kern w:val="0"/>
          <w14:ligatures w14:val="none"/>
        </w:rPr>
      </w:pPr>
      <w:r>
        <w:rPr>
          <w:rFonts w:ascii="Arial" w:eastAsia="Times New Roman" w:hAnsi="Arial" w:cs="Arial"/>
          <w:b/>
          <w:bCs/>
          <w:color w:val="0F1115"/>
          <w:kern w:val="0"/>
          <w14:ligatures w14:val="none"/>
        </w:rPr>
        <w:t xml:space="preserve">Unit One                                           </w:t>
      </w:r>
      <w:r w:rsidR="00D3242C">
        <w:rPr>
          <w:rFonts w:ascii="Arial" w:eastAsia="Times New Roman" w:hAnsi="Arial" w:cs="Arial"/>
          <w:b/>
          <w:bCs/>
          <w:color w:val="0F1115"/>
          <w:kern w:val="0"/>
          <w14:ligatures w14:val="none"/>
        </w:rPr>
        <w:t>CHURCH HISTORY</w:t>
      </w:r>
    </w:p>
    <w:p w14:paraId="7CDD8131" w14:textId="79DD6B52" w:rsidR="00BB678F" w:rsidRPr="002C6C66" w:rsidRDefault="00BB678F" w:rsidP="00BB678F">
      <w:pPr>
        <w:shd w:val="clear" w:color="auto" w:fill="FFFFFF"/>
        <w:spacing w:before="480" w:after="240" w:line="450" w:lineRule="atLeast"/>
        <w:outlineLvl w:val="2"/>
        <w:rPr>
          <w:rFonts w:ascii="Arial" w:eastAsia="Times New Roman" w:hAnsi="Arial" w:cs="Arial"/>
          <w:b/>
          <w:bCs/>
          <w:color w:val="0F1115"/>
          <w:kern w:val="0"/>
          <w14:ligatures w14:val="none"/>
        </w:rPr>
      </w:pPr>
      <w:r w:rsidRPr="002C6C66">
        <w:rPr>
          <w:rFonts w:ascii="Arial" w:eastAsia="Times New Roman" w:hAnsi="Arial" w:cs="Arial"/>
          <w:b/>
          <w:bCs/>
          <w:color w:val="0F1115"/>
          <w:kern w:val="0"/>
          <w14:ligatures w14:val="none"/>
        </w:rPr>
        <w:t xml:space="preserve">Introduction to Church History: </w:t>
      </w:r>
      <w:r w:rsidR="00CF0894" w:rsidRPr="002C6C66">
        <w:rPr>
          <w:rFonts w:ascii="Arial" w:eastAsia="Times New Roman" w:hAnsi="Arial" w:cs="Arial"/>
          <w:b/>
          <w:bCs/>
          <w:color w:val="0F1115"/>
          <w:kern w:val="0"/>
          <w14:ligatures w14:val="none"/>
        </w:rPr>
        <w:t xml:space="preserve"> </w:t>
      </w:r>
    </w:p>
    <w:p w14:paraId="58B241AA" w14:textId="77777777" w:rsidR="00BB678F" w:rsidRPr="002C6C66" w:rsidRDefault="00BB678F" w:rsidP="00BB678F">
      <w:pPr>
        <w:shd w:val="clear" w:color="auto" w:fill="FFFFFF"/>
        <w:spacing w:before="240" w:after="240" w:line="240" w:lineRule="auto"/>
        <w:rPr>
          <w:rFonts w:ascii="Arial" w:eastAsia="Times New Roman" w:hAnsi="Arial" w:cs="Arial"/>
          <w:color w:val="0F1115"/>
          <w:kern w:val="0"/>
          <w14:ligatures w14:val="none"/>
        </w:rPr>
      </w:pPr>
      <w:r w:rsidRPr="002C6C66">
        <w:rPr>
          <w:rFonts w:ascii="Arial" w:eastAsia="Times New Roman" w:hAnsi="Arial" w:cs="Arial"/>
          <w:color w:val="0F1115"/>
          <w:kern w:val="0"/>
          <w14:ligatures w14:val="none"/>
        </w:rPr>
        <w:t>Church history is not just a list of old dates and names. In the Catholic tradition, it is the study of how the Church has grown and changed over time. The Church exists in the real world, so we can study its story like any other history. But we also remember that God guides it.</w:t>
      </w:r>
    </w:p>
    <w:p w14:paraId="498E032E" w14:textId="0CEC2B5A" w:rsidR="00BB678F" w:rsidRPr="008D16D0" w:rsidRDefault="00BB678F" w:rsidP="005570C5">
      <w:pPr>
        <w:pStyle w:val="ListParagraph"/>
        <w:numPr>
          <w:ilvl w:val="0"/>
          <w:numId w:val="5"/>
        </w:numPr>
        <w:shd w:val="clear" w:color="auto" w:fill="FFFFFF"/>
        <w:spacing w:before="240" w:after="240" w:line="420" w:lineRule="atLeast"/>
        <w:outlineLvl w:val="3"/>
        <w:rPr>
          <w:rFonts w:ascii="Arial" w:eastAsia="Times New Roman" w:hAnsi="Arial" w:cs="Arial"/>
          <w:b/>
          <w:bCs/>
          <w:color w:val="EE0000"/>
          <w:kern w:val="0"/>
          <w14:ligatures w14:val="none"/>
        </w:rPr>
      </w:pPr>
      <w:r w:rsidRPr="008D16D0">
        <w:rPr>
          <w:rFonts w:ascii="Arial" w:eastAsia="Times New Roman" w:hAnsi="Arial" w:cs="Arial"/>
          <w:b/>
          <w:bCs/>
          <w:color w:val="EE0000"/>
          <w:kern w:val="0"/>
          <w14:ligatures w14:val="none"/>
        </w:rPr>
        <w:t>What is Church History?</w:t>
      </w:r>
    </w:p>
    <w:p w14:paraId="06054F2B" w14:textId="77777777" w:rsidR="005570C5" w:rsidRPr="002C6C66" w:rsidRDefault="005570C5" w:rsidP="005570C5">
      <w:pPr>
        <w:rPr>
          <w:rFonts w:ascii="Arial" w:hAnsi="Arial" w:cs="Arial"/>
        </w:rPr>
      </w:pPr>
      <w:r w:rsidRPr="002C6C66">
        <w:rPr>
          <w:rFonts w:ascii="Arial" w:hAnsi="Arial" w:cs="Arial"/>
        </w:rPr>
        <w:t xml:space="preserve">Church history refers to the study of </w:t>
      </w:r>
      <w:r w:rsidRPr="002C6C66">
        <w:rPr>
          <w:rFonts w:ascii="Arial" w:hAnsi="Arial" w:cs="Arial"/>
          <w:u w:val="single"/>
        </w:rPr>
        <w:t>the development and progression of the Christian Church from its inception (beginning) to the present day</w:t>
      </w:r>
      <w:r w:rsidRPr="002C6C66">
        <w:rPr>
          <w:rFonts w:ascii="Arial" w:hAnsi="Arial" w:cs="Arial"/>
        </w:rPr>
        <w:t xml:space="preserve">. It encompasses (include) the key events, </w:t>
      </w:r>
      <w:r w:rsidRPr="002C6C66">
        <w:rPr>
          <w:rFonts w:ascii="Arial" w:hAnsi="Arial" w:cs="Arial"/>
          <w:u w:val="single"/>
        </w:rPr>
        <w:t>significant figures, theological developments</w:t>
      </w:r>
      <w:r w:rsidRPr="002C6C66">
        <w:rPr>
          <w:rFonts w:ascii="Arial" w:hAnsi="Arial" w:cs="Arial"/>
        </w:rPr>
        <w:t xml:space="preserve">, and </w:t>
      </w:r>
      <w:r w:rsidRPr="002C6C66">
        <w:rPr>
          <w:rFonts w:ascii="Arial" w:hAnsi="Arial" w:cs="Arial"/>
          <w:u w:val="single"/>
        </w:rPr>
        <w:t>cultural impacts that have shaped Christianity over the centuries</w:t>
      </w:r>
      <w:r w:rsidRPr="002C6C66">
        <w:rPr>
          <w:rFonts w:ascii="Arial" w:hAnsi="Arial" w:cs="Arial"/>
        </w:rPr>
        <w:t>. This history includes:</w:t>
      </w:r>
    </w:p>
    <w:p w14:paraId="14BAE164" w14:textId="77777777" w:rsidR="005570C5" w:rsidRPr="002C6C66" w:rsidRDefault="005570C5" w:rsidP="005570C5">
      <w:pPr>
        <w:rPr>
          <w:rFonts w:ascii="Arial" w:hAnsi="Arial" w:cs="Arial"/>
          <w:b/>
          <w:bCs/>
        </w:rPr>
      </w:pPr>
      <w:r w:rsidRPr="002C6C66">
        <w:rPr>
          <w:rFonts w:ascii="Arial" w:hAnsi="Arial" w:cs="Arial"/>
          <w:b/>
          <w:bCs/>
        </w:rPr>
        <w:t>Key Events</w:t>
      </w:r>
    </w:p>
    <w:p w14:paraId="606578B7" w14:textId="77777777" w:rsidR="005570C5" w:rsidRPr="002C6C66" w:rsidRDefault="005570C5" w:rsidP="005570C5">
      <w:pPr>
        <w:numPr>
          <w:ilvl w:val="0"/>
          <w:numId w:val="6"/>
        </w:numPr>
        <w:rPr>
          <w:rFonts w:ascii="Arial" w:hAnsi="Arial" w:cs="Arial"/>
        </w:rPr>
      </w:pPr>
      <w:r w:rsidRPr="002C6C66">
        <w:rPr>
          <w:rFonts w:ascii="Arial" w:hAnsi="Arial" w:cs="Arial"/>
          <w:b/>
          <w:bCs/>
        </w:rPr>
        <w:t>Early Christian Church</w:t>
      </w:r>
      <w:r w:rsidRPr="002C6C66">
        <w:rPr>
          <w:rFonts w:ascii="Arial" w:hAnsi="Arial" w:cs="Arial"/>
        </w:rPr>
        <w:t>: The origins and spread of Christianity after the ministry of Jesus Christ and the role of the apostles.</w:t>
      </w:r>
    </w:p>
    <w:p w14:paraId="2FD4F7F2" w14:textId="77777777" w:rsidR="005570C5" w:rsidRPr="002C6C66" w:rsidRDefault="005570C5" w:rsidP="005570C5">
      <w:pPr>
        <w:numPr>
          <w:ilvl w:val="0"/>
          <w:numId w:val="6"/>
        </w:numPr>
        <w:rPr>
          <w:rFonts w:ascii="Arial" w:hAnsi="Arial" w:cs="Arial"/>
        </w:rPr>
      </w:pPr>
      <w:r w:rsidRPr="002C6C66">
        <w:rPr>
          <w:rFonts w:ascii="Arial" w:hAnsi="Arial" w:cs="Arial"/>
          <w:b/>
          <w:bCs/>
        </w:rPr>
        <w:t>Ecumenical Councils</w:t>
      </w:r>
      <w:r w:rsidRPr="002C6C66">
        <w:rPr>
          <w:rFonts w:ascii="Arial" w:hAnsi="Arial" w:cs="Arial"/>
        </w:rPr>
        <w:t>: Major meetings that addressed doctrinal issues, such as the Council of Nicaea and the Council of Chalcedon.</w:t>
      </w:r>
    </w:p>
    <w:p w14:paraId="1838D53C" w14:textId="77777777" w:rsidR="005570C5" w:rsidRPr="002C6C66" w:rsidRDefault="005570C5" w:rsidP="005570C5">
      <w:pPr>
        <w:numPr>
          <w:ilvl w:val="0"/>
          <w:numId w:val="6"/>
        </w:numPr>
        <w:rPr>
          <w:rFonts w:ascii="Arial" w:hAnsi="Arial" w:cs="Arial"/>
        </w:rPr>
      </w:pPr>
      <w:r w:rsidRPr="002C6C66">
        <w:rPr>
          <w:rFonts w:ascii="Arial" w:hAnsi="Arial" w:cs="Arial"/>
          <w:b/>
          <w:bCs/>
        </w:rPr>
        <w:t>Medieval Period</w:t>
      </w:r>
      <w:r w:rsidRPr="002C6C66">
        <w:rPr>
          <w:rFonts w:ascii="Arial" w:hAnsi="Arial" w:cs="Arial"/>
        </w:rPr>
        <w:t>: The growth and influence of the Church in medieval Europe, including the establishment of monastic orders and the Crusades.</w:t>
      </w:r>
    </w:p>
    <w:p w14:paraId="57591BDD" w14:textId="77777777" w:rsidR="005570C5" w:rsidRPr="002C6C66" w:rsidRDefault="005570C5" w:rsidP="005570C5">
      <w:pPr>
        <w:numPr>
          <w:ilvl w:val="0"/>
          <w:numId w:val="6"/>
        </w:numPr>
        <w:rPr>
          <w:rFonts w:ascii="Arial" w:hAnsi="Arial" w:cs="Arial"/>
        </w:rPr>
      </w:pPr>
      <w:r w:rsidRPr="002C6C66">
        <w:rPr>
          <w:rFonts w:ascii="Arial" w:hAnsi="Arial" w:cs="Arial"/>
          <w:b/>
          <w:bCs/>
        </w:rPr>
        <w:t>Reformation</w:t>
      </w:r>
      <w:r w:rsidRPr="002C6C66">
        <w:rPr>
          <w:rFonts w:ascii="Arial" w:hAnsi="Arial" w:cs="Arial"/>
        </w:rPr>
        <w:t>: The period of significant religious upheaval in the 16th century, led by figures such as Martin Luther and John Calvin, resulting in the formation of Protestant denominations.</w:t>
      </w:r>
    </w:p>
    <w:p w14:paraId="2EE11B97" w14:textId="4150701E" w:rsidR="005570C5" w:rsidRPr="002C6C66" w:rsidRDefault="005570C5" w:rsidP="005570C5">
      <w:pPr>
        <w:numPr>
          <w:ilvl w:val="0"/>
          <w:numId w:val="6"/>
        </w:numPr>
        <w:rPr>
          <w:rFonts w:ascii="Arial" w:hAnsi="Arial" w:cs="Arial"/>
        </w:rPr>
      </w:pPr>
      <w:r w:rsidRPr="002C6C66">
        <w:rPr>
          <w:rFonts w:ascii="Arial" w:hAnsi="Arial" w:cs="Arial"/>
          <w:b/>
          <w:bCs/>
        </w:rPr>
        <w:t>Modern Era</w:t>
      </w:r>
      <w:r w:rsidRPr="002C6C66">
        <w:rPr>
          <w:rFonts w:ascii="Arial" w:hAnsi="Arial" w:cs="Arial"/>
        </w:rPr>
        <w:t>: The Church's response to modernity, including the Second Vatican Council, ecumenism, and contemporary challenges.</w:t>
      </w:r>
    </w:p>
    <w:p w14:paraId="681CCF2E" w14:textId="77777777" w:rsidR="00BB678F" w:rsidRPr="002C6C66" w:rsidRDefault="00BB678F" w:rsidP="00BB678F">
      <w:pPr>
        <w:shd w:val="clear" w:color="auto" w:fill="FFFFFF"/>
        <w:spacing w:before="240" w:after="240" w:line="240" w:lineRule="auto"/>
        <w:rPr>
          <w:rFonts w:ascii="Arial" w:eastAsia="Times New Roman" w:hAnsi="Arial" w:cs="Arial"/>
          <w:color w:val="0F1115"/>
          <w:kern w:val="0"/>
          <w14:ligatures w14:val="none"/>
        </w:rPr>
      </w:pPr>
      <w:r w:rsidRPr="002C6C66">
        <w:rPr>
          <w:rFonts w:ascii="Arial" w:eastAsia="Times New Roman" w:hAnsi="Arial" w:cs="Arial"/>
          <w:color w:val="0F1115"/>
          <w:kern w:val="0"/>
          <w14:ligatures w14:val="none"/>
        </w:rPr>
        <w:t>Church history is the study of the Church as a family founded by Jesus Christ and guided by the Holy Spirit.</w:t>
      </w:r>
    </w:p>
    <w:p w14:paraId="3444FEE3" w14:textId="77777777" w:rsidR="00BB678F" w:rsidRPr="002C6C66" w:rsidRDefault="00BB678F" w:rsidP="00BB678F">
      <w:pPr>
        <w:shd w:val="clear" w:color="auto" w:fill="FFFFFF"/>
        <w:spacing w:before="240" w:after="240" w:line="240" w:lineRule="auto"/>
        <w:rPr>
          <w:rFonts w:ascii="Arial" w:eastAsia="Times New Roman" w:hAnsi="Arial" w:cs="Arial"/>
          <w:color w:val="0F1115"/>
          <w:kern w:val="0"/>
          <w14:ligatures w14:val="none"/>
        </w:rPr>
      </w:pPr>
      <w:r w:rsidRPr="002C6C66">
        <w:rPr>
          <w:rFonts w:ascii="Arial" w:eastAsia="Times New Roman" w:hAnsi="Arial" w:cs="Arial"/>
          <w:color w:val="0F1115"/>
          <w:kern w:val="0"/>
          <w14:ligatures w14:val="none"/>
        </w:rPr>
        <w:t>Because the Church lives in time and space, it changes. Church history focuses on these changes, especially:</w:t>
      </w:r>
    </w:p>
    <w:p w14:paraId="55F328E0" w14:textId="77777777" w:rsidR="00BB678F" w:rsidRPr="002C6C66" w:rsidRDefault="00BB678F" w:rsidP="00BB678F">
      <w:pPr>
        <w:numPr>
          <w:ilvl w:val="0"/>
          <w:numId w:val="4"/>
        </w:numPr>
        <w:shd w:val="clear" w:color="auto" w:fill="FFFFFF"/>
        <w:spacing w:after="0" w:line="240" w:lineRule="auto"/>
        <w:rPr>
          <w:rFonts w:ascii="Arial" w:eastAsia="Times New Roman" w:hAnsi="Arial" w:cs="Arial"/>
          <w:color w:val="0F1115"/>
          <w:kern w:val="0"/>
          <w14:ligatures w14:val="none"/>
        </w:rPr>
      </w:pPr>
      <w:r w:rsidRPr="002C6C66">
        <w:rPr>
          <w:rFonts w:ascii="Arial" w:eastAsia="Times New Roman" w:hAnsi="Arial" w:cs="Arial"/>
          <w:color w:val="0F1115"/>
          <w:kern w:val="0"/>
          <w14:ligatures w14:val="none"/>
        </w:rPr>
        <w:t>How the Church spread around the world.</w:t>
      </w:r>
    </w:p>
    <w:p w14:paraId="6C73EE1E" w14:textId="77777777" w:rsidR="00BB678F" w:rsidRPr="002C6C66" w:rsidRDefault="00BB678F" w:rsidP="00BB678F">
      <w:pPr>
        <w:numPr>
          <w:ilvl w:val="0"/>
          <w:numId w:val="4"/>
        </w:numPr>
        <w:shd w:val="clear" w:color="auto" w:fill="FFFFFF"/>
        <w:spacing w:after="0" w:line="240" w:lineRule="auto"/>
        <w:rPr>
          <w:rFonts w:ascii="Arial" w:eastAsia="Times New Roman" w:hAnsi="Arial" w:cs="Arial"/>
          <w:color w:val="0F1115"/>
          <w:kern w:val="0"/>
          <w14:ligatures w14:val="none"/>
        </w:rPr>
      </w:pPr>
      <w:r w:rsidRPr="002C6C66">
        <w:rPr>
          <w:rFonts w:ascii="Arial" w:eastAsia="Times New Roman" w:hAnsi="Arial" w:cs="Arial"/>
          <w:color w:val="0F1115"/>
          <w:kern w:val="0"/>
          <w14:ligatures w14:val="none"/>
        </w:rPr>
        <w:t>How its leaders and organization grew.</w:t>
      </w:r>
    </w:p>
    <w:p w14:paraId="3682DF73" w14:textId="77777777" w:rsidR="00BB678F" w:rsidRPr="002C6C66" w:rsidRDefault="00BB678F" w:rsidP="00BB678F">
      <w:pPr>
        <w:numPr>
          <w:ilvl w:val="0"/>
          <w:numId w:val="4"/>
        </w:numPr>
        <w:shd w:val="clear" w:color="auto" w:fill="FFFFFF"/>
        <w:spacing w:after="0" w:line="240" w:lineRule="auto"/>
        <w:rPr>
          <w:rFonts w:ascii="Arial" w:eastAsia="Times New Roman" w:hAnsi="Arial" w:cs="Arial"/>
          <w:color w:val="0F1115"/>
          <w:kern w:val="0"/>
          <w14:ligatures w14:val="none"/>
        </w:rPr>
      </w:pPr>
      <w:r w:rsidRPr="002C6C66">
        <w:rPr>
          <w:rFonts w:ascii="Arial" w:eastAsia="Times New Roman" w:hAnsi="Arial" w:cs="Arial"/>
          <w:color w:val="0F1115"/>
          <w:kern w:val="0"/>
          <w14:ligatures w14:val="none"/>
        </w:rPr>
        <w:t>How its worship and traditions developed.</w:t>
      </w:r>
    </w:p>
    <w:p w14:paraId="65AC8FB2" w14:textId="3E51D935" w:rsidR="004D7E4E" w:rsidRPr="002C6C66" w:rsidRDefault="00BB678F" w:rsidP="004D7E4E">
      <w:pPr>
        <w:numPr>
          <w:ilvl w:val="0"/>
          <w:numId w:val="4"/>
        </w:numPr>
        <w:shd w:val="clear" w:color="auto" w:fill="FFFFFF"/>
        <w:spacing w:after="0" w:line="240" w:lineRule="auto"/>
        <w:rPr>
          <w:rFonts w:ascii="Arial" w:eastAsia="Times New Roman" w:hAnsi="Arial" w:cs="Arial"/>
          <w:color w:val="0F1115"/>
          <w:kern w:val="0"/>
          <w14:ligatures w14:val="none"/>
        </w:rPr>
      </w:pPr>
      <w:r w:rsidRPr="002C6C66">
        <w:rPr>
          <w:rFonts w:ascii="Arial" w:eastAsia="Times New Roman" w:hAnsi="Arial" w:cs="Arial"/>
          <w:color w:val="0F1115"/>
          <w:kern w:val="0"/>
          <w14:ligatures w14:val="none"/>
        </w:rPr>
        <w:lastRenderedPageBreak/>
        <w:t>How it responded to problems and crises from the outside.</w:t>
      </w:r>
    </w:p>
    <w:p w14:paraId="3585F4D5" w14:textId="77777777" w:rsidR="004D7E4E" w:rsidRPr="002C6C66" w:rsidRDefault="004D7E4E" w:rsidP="004D7E4E">
      <w:pPr>
        <w:shd w:val="clear" w:color="auto" w:fill="FFFFFF"/>
        <w:spacing w:after="0" w:line="240" w:lineRule="auto"/>
        <w:rPr>
          <w:rFonts w:ascii="Arial" w:eastAsia="Times New Roman" w:hAnsi="Arial" w:cs="Arial"/>
          <w:color w:val="0F1115"/>
          <w:kern w:val="0"/>
          <w14:ligatures w14:val="none"/>
        </w:rPr>
      </w:pPr>
    </w:p>
    <w:p w14:paraId="784AEFFA" w14:textId="58A2EF59" w:rsidR="004D7E4E" w:rsidRPr="002C6C66" w:rsidRDefault="004D7E4E" w:rsidP="004D7E4E">
      <w:pPr>
        <w:rPr>
          <w:rFonts w:ascii="Arial" w:hAnsi="Arial" w:cs="Arial"/>
        </w:rPr>
      </w:pPr>
      <w:r w:rsidRPr="002C6C66">
        <w:rPr>
          <w:rFonts w:ascii="Arial" w:hAnsi="Arial" w:cs="Arial"/>
        </w:rPr>
        <w:t>“Church History” (often called ecclesiastical history) means the scientific study and methodical description of the Church’s life unfolding over time—how the Church develops and acts in history as an institution founded by Jesus Christ and guided by the Holy Spirit.</w:t>
      </w:r>
      <w:r w:rsidRPr="002C6C66">
        <w:rPr>
          <w:rStyle w:val="FootnoteReference"/>
          <w:rFonts w:ascii="Arial" w:hAnsi="Arial" w:cs="Arial"/>
        </w:rPr>
        <w:footnoteReference w:id="1"/>
      </w:r>
    </w:p>
    <w:p w14:paraId="0D087FF4" w14:textId="4D47DAD5" w:rsidR="004D7E4E" w:rsidRPr="002C6C66" w:rsidRDefault="004D7E4E" w:rsidP="004D7E4E">
      <w:pPr>
        <w:rPr>
          <w:rFonts w:ascii="Arial" w:hAnsi="Arial" w:cs="Arial"/>
        </w:rPr>
      </w:pPr>
      <w:r w:rsidRPr="002C6C66">
        <w:rPr>
          <w:rFonts w:ascii="Arial" w:hAnsi="Arial" w:cs="Arial"/>
        </w:rPr>
        <w:t>In Catholic terms, it focuses especially on:</w:t>
      </w:r>
    </w:p>
    <w:p w14:paraId="1A215DAE" w14:textId="6B5AEA67" w:rsidR="004D7E4E" w:rsidRPr="002C6C66" w:rsidRDefault="004D7E4E" w:rsidP="004D7E4E">
      <w:pPr>
        <w:rPr>
          <w:rFonts w:ascii="Arial" w:hAnsi="Arial" w:cs="Arial"/>
        </w:rPr>
      </w:pPr>
      <w:r w:rsidRPr="002C6C66">
        <w:rPr>
          <w:rFonts w:ascii="Arial" w:hAnsi="Arial" w:cs="Arial"/>
        </w:rPr>
        <w:t>the temporal development of the Church “in time and space” (what changes as she exists among people),</w:t>
      </w:r>
      <w:r w:rsidRPr="002C6C66">
        <w:rPr>
          <w:rStyle w:val="FootnoteReference"/>
          <w:rFonts w:ascii="Arial" w:hAnsi="Arial" w:cs="Arial"/>
        </w:rPr>
        <w:footnoteReference w:id="2"/>
      </w:r>
    </w:p>
    <w:p w14:paraId="0D138BDE" w14:textId="039AC4E7" w:rsidR="004D7E4E" w:rsidRPr="002C6C66" w:rsidRDefault="004D7E4E" w:rsidP="004D7E4E">
      <w:pPr>
        <w:rPr>
          <w:rFonts w:ascii="Arial" w:hAnsi="Arial" w:cs="Arial"/>
        </w:rPr>
      </w:pPr>
      <w:r w:rsidRPr="002C6C66">
        <w:rPr>
          <w:rFonts w:ascii="Arial" w:hAnsi="Arial" w:cs="Arial"/>
        </w:rPr>
        <w:t>her divine mission received from Christ and then transmitted across generations,</w:t>
      </w:r>
      <w:r w:rsidRPr="002C6C66">
        <w:rPr>
          <w:rStyle w:val="FootnoteReference"/>
          <w:rFonts w:ascii="Arial" w:hAnsi="Arial" w:cs="Arial"/>
        </w:rPr>
        <w:footnoteReference w:id="3"/>
      </w:r>
    </w:p>
    <w:p w14:paraId="6B397891" w14:textId="734C309A" w:rsidR="00CC7C45" w:rsidRPr="002C6C66" w:rsidRDefault="004D7E4E" w:rsidP="004D7E4E">
      <w:pPr>
        <w:rPr>
          <w:rFonts w:ascii="Arial" w:hAnsi="Arial" w:cs="Arial"/>
        </w:rPr>
      </w:pPr>
      <w:r w:rsidRPr="002C6C66">
        <w:rPr>
          <w:rFonts w:ascii="Arial" w:hAnsi="Arial" w:cs="Arial"/>
        </w:rPr>
        <w:t>and both her external history (growth, missions, relations with societies) and internal life (teaching, worship, discipline, governance).</w:t>
      </w:r>
      <w:r w:rsidRPr="002C6C66">
        <w:rPr>
          <w:rStyle w:val="FootnoteReference"/>
          <w:rFonts w:ascii="Arial" w:hAnsi="Arial" w:cs="Arial"/>
        </w:rPr>
        <w:footnoteReference w:id="4"/>
      </w:r>
    </w:p>
    <w:p w14:paraId="044F34C6" w14:textId="195D2584" w:rsidR="004D7E4E" w:rsidRPr="002C6C66" w:rsidRDefault="00A665E4" w:rsidP="004D7E4E">
      <w:pPr>
        <w:rPr>
          <w:rFonts w:ascii="Arial" w:hAnsi="Arial" w:cs="Arial"/>
        </w:rPr>
      </w:pPr>
      <w:r w:rsidRPr="002C6C66">
        <w:rPr>
          <w:rFonts w:ascii="Arial" w:hAnsi="Arial" w:cs="Arial"/>
        </w:rPr>
        <w:t>Edward Norman, one of the authors of the church history book The Roman Catholic Church, emphasized that the following survey does not attempt a comprehensive account of the Catholic Church’s past, nor is it an ‘ecclesiastical history’ as conventionally understood.</w:t>
      </w:r>
      <w:r w:rsidRPr="002C6C66">
        <w:rPr>
          <w:rStyle w:val="FootnoteReference"/>
          <w:rFonts w:ascii="Arial" w:hAnsi="Arial" w:cs="Arial"/>
        </w:rPr>
        <w:footnoteReference w:id="5"/>
      </w:r>
    </w:p>
    <w:p w14:paraId="0CAE3E0C" w14:textId="77777777" w:rsidR="00EA7AE2" w:rsidRPr="002C6C66" w:rsidRDefault="00EA7AE2" w:rsidP="00EA7AE2">
      <w:pPr>
        <w:rPr>
          <w:rFonts w:ascii="Arial" w:hAnsi="Arial" w:cs="Arial"/>
        </w:rPr>
      </w:pPr>
      <w:r w:rsidRPr="002C6C66">
        <w:rPr>
          <w:rFonts w:ascii="Arial" w:hAnsi="Arial" w:cs="Arial"/>
          <w:b/>
          <w:bCs/>
        </w:rPr>
        <w:t>Church History</w:t>
      </w:r>
      <w:r w:rsidRPr="002C6C66">
        <w:rPr>
          <w:rFonts w:ascii="Arial" w:hAnsi="Arial" w:cs="Arial"/>
        </w:rPr>
        <w:t> is the story of the Christian Church from the time of Jesus until today.</w:t>
      </w:r>
    </w:p>
    <w:p w14:paraId="138F0158" w14:textId="77777777" w:rsidR="00EA7AE2" w:rsidRPr="002C6C66" w:rsidRDefault="00EA7AE2" w:rsidP="00EA7AE2">
      <w:pPr>
        <w:rPr>
          <w:rFonts w:ascii="Arial" w:hAnsi="Arial" w:cs="Arial"/>
        </w:rPr>
      </w:pPr>
      <w:r w:rsidRPr="002C6C66">
        <w:rPr>
          <w:rFonts w:ascii="Arial" w:hAnsi="Arial" w:cs="Arial"/>
        </w:rPr>
        <w:t>Think of it like a family story or a biography of a very large group of people. It answers the question: </w:t>
      </w:r>
      <w:r w:rsidRPr="002C6C66">
        <w:rPr>
          <w:rFonts w:ascii="Arial" w:hAnsi="Arial" w:cs="Arial"/>
          <w:b/>
          <w:bCs/>
        </w:rPr>
        <w:t>"What happened to the Church over time?"</w:t>
      </w:r>
    </w:p>
    <w:p w14:paraId="70333C2C" w14:textId="70092DA8" w:rsidR="00EA7AE2" w:rsidRPr="002C6C66" w:rsidRDefault="00EA7AE2" w:rsidP="00EA7AE2">
      <w:pPr>
        <w:rPr>
          <w:rFonts w:ascii="Arial" w:hAnsi="Arial" w:cs="Arial"/>
        </w:rPr>
      </w:pPr>
      <w:r w:rsidRPr="002C6C66">
        <w:rPr>
          <w:rFonts w:ascii="Arial" w:hAnsi="Arial" w:cs="Arial"/>
        </w:rPr>
        <w:t>Here is what that story includes:</w:t>
      </w:r>
    </w:p>
    <w:p w14:paraId="6FCC1DCA" w14:textId="77777777" w:rsidR="00D3242C" w:rsidRDefault="00EA7AE2" w:rsidP="00D3242C">
      <w:pPr>
        <w:pStyle w:val="ListParagraph"/>
        <w:numPr>
          <w:ilvl w:val="0"/>
          <w:numId w:val="10"/>
        </w:numPr>
        <w:rPr>
          <w:rFonts w:ascii="Arial" w:hAnsi="Arial" w:cs="Arial"/>
        </w:rPr>
      </w:pPr>
      <w:r w:rsidRPr="00D3242C">
        <w:rPr>
          <w:rFonts w:ascii="Arial" w:hAnsi="Arial" w:cs="Arial"/>
          <w:b/>
          <w:bCs/>
        </w:rPr>
        <w:t>Important People:</w:t>
      </w:r>
      <w:r w:rsidRPr="00D3242C">
        <w:rPr>
          <w:rFonts w:ascii="Arial" w:hAnsi="Arial" w:cs="Arial"/>
        </w:rPr>
        <w:t> It talks about the lives of Jesus' first followers (the apostles), leaders like Paul, famous teachers (like Augustine or Martin Luther), and missionaries who spread the faith.</w:t>
      </w:r>
    </w:p>
    <w:p w14:paraId="7E6D814D" w14:textId="77777777" w:rsidR="00D3242C" w:rsidRDefault="00EA7AE2" w:rsidP="00D3242C">
      <w:pPr>
        <w:pStyle w:val="ListParagraph"/>
        <w:numPr>
          <w:ilvl w:val="0"/>
          <w:numId w:val="10"/>
        </w:numPr>
        <w:rPr>
          <w:rFonts w:ascii="Arial" w:hAnsi="Arial" w:cs="Arial"/>
        </w:rPr>
      </w:pPr>
      <w:r w:rsidRPr="00D3242C">
        <w:rPr>
          <w:rFonts w:ascii="Arial" w:hAnsi="Arial" w:cs="Arial"/>
          <w:b/>
          <w:bCs/>
        </w:rPr>
        <w:lastRenderedPageBreak/>
        <w:t>Important Events:</w:t>
      </w:r>
      <w:r w:rsidRPr="00D3242C">
        <w:rPr>
          <w:rFonts w:ascii="Arial" w:hAnsi="Arial" w:cs="Arial"/>
        </w:rPr>
        <w:t> It looks at big moments, such as when the Church became legal in the Roman Empire, when different groups split apart, or when revivals happened.</w:t>
      </w:r>
    </w:p>
    <w:p w14:paraId="56BED944" w14:textId="77777777" w:rsidR="00D3242C" w:rsidRDefault="00EA7AE2" w:rsidP="00D3242C">
      <w:pPr>
        <w:pStyle w:val="ListParagraph"/>
        <w:numPr>
          <w:ilvl w:val="0"/>
          <w:numId w:val="10"/>
        </w:numPr>
        <w:rPr>
          <w:rFonts w:ascii="Arial" w:hAnsi="Arial" w:cs="Arial"/>
        </w:rPr>
      </w:pPr>
      <w:r w:rsidRPr="00D3242C">
        <w:rPr>
          <w:rFonts w:ascii="Arial" w:hAnsi="Arial" w:cs="Arial"/>
          <w:b/>
          <w:bCs/>
        </w:rPr>
        <w:t>How Beliefs Grew:</w:t>
      </w:r>
      <w:r w:rsidRPr="00D3242C">
        <w:rPr>
          <w:rFonts w:ascii="Arial" w:hAnsi="Arial" w:cs="Arial"/>
        </w:rPr>
        <w:t> It shows how Christians came to understand and write down their beliefs (like the Trinity or the Bible's contents) while facing arguments or questions from others.</w:t>
      </w:r>
    </w:p>
    <w:p w14:paraId="44D31F7F" w14:textId="35B75EDB" w:rsidR="00EA7AE2" w:rsidRPr="00D3242C" w:rsidRDefault="00EA7AE2" w:rsidP="00D3242C">
      <w:pPr>
        <w:pStyle w:val="ListParagraph"/>
        <w:numPr>
          <w:ilvl w:val="0"/>
          <w:numId w:val="10"/>
        </w:numPr>
        <w:rPr>
          <w:rFonts w:ascii="Arial" w:hAnsi="Arial" w:cs="Arial"/>
        </w:rPr>
      </w:pPr>
      <w:r w:rsidRPr="00D3242C">
        <w:rPr>
          <w:rFonts w:ascii="Arial" w:hAnsi="Arial" w:cs="Arial"/>
          <w:b/>
          <w:bCs/>
        </w:rPr>
        <w:t>The Church and the World:</w:t>
      </w:r>
      <w:r w:rsidRPr="00D3242C">
        <w:rPr>
          <w:rFonts w:ascii="Arial" w:hAnsi="Arial" w:cs="Arial"/>
        </w:rPr>
        <w:t> It looks at how the Church changed the world (art, schools, laws) and how the world changed the Church.</w:t>
      </w:r>
    </w:p>
    <w:p w14:paraId="63D043AC" w14:textId="4DF89C12" w:rsidR="005570C5" w:rsidRPr="002C6C66" w:rsidRDefault="00EA7AE2" w:rsidP="004D7E4E">
      <w:pPr>
        <w:rPr>
          <w:rFonts w:ascii="Arial" w:hAnsi="Arial" w:cs="Arial"/>
        </w:rPr>
      </w:pPr>
      <w:r w:rsidRPr="002C6C66">
        <w:rPr>
          <w:rFonts w:ascii="Arial" w:hAnsi="Arial" w:cs="Arial"/>
          <w:b/>
          <w:bCs/>
        </w:rPr>
        <w:t>In the simplest terms:</w:t>
      </w:r>
      <w:r w:rsidRPr="002C6C66">
        <w:rPr>
          <w:rFonts w:ascii="Arial" w:hAnsi="Arial" w:cs="Arial"/>
        </w:rPr>
        <w:br/>
        <w:t>Church History is the true story of the Christian family—its successes, its failures, its arguments, and its growth—from the time of Jesus to right now.</w:t>
      </w:r>
      <w:r w:rsidRPr="002C6C66">
        <w:rPr>
          <w:rStyle w:val="FootnoteReference"/>
          <w:rFonts w:ascii="Arial" w:hAnsi="Arial" w:cs="Arial"/>
        </w:rPr>
        <w:footnoteReference w:id="6"/>
      </w:r>
    </w:p>
    <w:p w14:paraId="438BCD84" w14:textId="790AB366" w:rsidR="005570C5" w:rsidRPr="008D16D0" w:rsidRDefault="005570C5" w:rsidP="00EA7AE2">
      <w:pPr>
        <w:pStyle w:val="ListParagraph"/>
        <w:numPr>
          <w:ilvl w:val="0"/>
          <w:numId w:val="5"/>
        </w:numPr>
        <w:shd w:val="clear" w:color="auto" w:fill="FFFFFF"/>
        <w:spacing w:before="240" w:after="240" w:line="420" w:lineRule="atLeast"/>
        <w:rPr>
          <w:rFonts w:ascii="Arial" w:eastAsia="Times New Roman" w:hAnsi="Arial" w:cs="Arial"/>
          <w:color w:val="EE0000"/>
          <w:kern w:val="0"/>
          <w14:ligatures w14:val="none"/>
        </w:rPr>
      </w:pPr>
      <w:r w:rsidRPr="008D16D0">
        <w:rPr>
          <w:rFonts w:ascii="Arial" w:eastAsia="Times New Roman" w:hAnsi="Arial" w:cs="Arial"/>
          <w:b/>
          <w:bCs/>
          <w:color w:val="EE0000"/>
          <w:kern w:val="0"/>
          <w14:ligatures w14:val="none"/>
        </w:rPr>
        <w:t>Why is Church History Important? (Simple Explanation)</w:t>
      </w:r>
    </w:p>
    <w:p w14:paraId="790C271B" w14:textId="7933CB8B" w:rsidR="00C64D86" w:rsidRPr="002C6C66" w:rsidRDefault="00C64D86" w:rsidP="00C64D86">
      <w:pPr>
        <w:rPr>
          <w:rFonts w:ascii="Arial" w:hAnsi="Arial" w:cs="Arial"/>
          <w:color w:val="27272A"/>
          <w:shd w:val="clear" w:color="auto" w:fill="FFFFFF"/>
        </w:rPr>
      </w:pPr>
      <w:r w:rsidRPr="002C6C66">
        <w:rPr>
          <w:rFonts w:ascii="Arial" w:hAnsi="Arial" w:cs="Arial"/>
          <w:color w:val="27272A"/>
          <w:shd w:val="clear" w:color="auto" w:fill="FFFFFF"/>
        </w:rPr>
        <w:t>Church history matters because it protects </w:t>
      </w:r>
      <w:r w:rsidRPr="002C6C66">
        <w:rPr>
          <w:rFonts w:ascii="Arial" w:hAnsi="Arial" w:cs="Arial"/>
          <w:b/>
          <w:bCs/>
          <w:color w:val="27272A"/>
          <w:shd w:val="clear" w:color="auto" w:fill="FFFFFF"/>
        </w:rPr>
        <w:t>historical memory</w:t>
      </w:r>
      <w:r w:rsidRPr="002C6C66">
        <w:rPr>
          <w:rFonts w:ascii="Arial" w:hAnsi="Arial" w:cs="Arial"/>
          <w:color w:val="27272A"/>
          <w:shd w:val="clear" w:color="auto" w:fill="FFFFFF"/>
        </w:rPr>
        <w:t>, clarifies </w:t>
      </w:r>
      <w:r w:rsidRPr="002C6C66">
        <w:rPr>
          <w:rFonts w:ascii="Arial" w:hAnsi="Arial" w:cs="Arial"/>
          <w:b/>
          <w:bCs/>
          <w:color w:val="27272A"/>
          <w:shd w:val="clear" w:color="auto" w:fill="FFFFFF"/>
        </w:rPr>
        <w:t>how the faith was received and transmitted</w:t>
      </w:r>
      <w:r w:rsidRPr="002C6C66">
        <w:rPr>
          <w:rFonts w:ascii="Arial" w:hAnsi="Arial" w:cs="Arial"/>
          <w:color w:val="27272A"/>
          <w:shd w:val="clear" w:color="auto" w:fill="FFFFFF"/>
        </w:rPr>
        <w:t>, and helps believers read the Church’s life not as a collection of disconnected events but as God’s providential action unfolding in time. </w:t>
      </w:r>
      <w:r w:rsidR="00F525A1" w:rsidRPr="002C6C66">
        <w:rPr>
          <w:rStyle w:val="FootnoteReference"/>
          <w:rFonts w:ascii="Arial" w:hAnsi="Arial" w:cs="Arial"/>
          <w:color w:val="27272A"/>
          <w:shd w:val="clear" w:color="auto" w:fill="FFFFFF"/>
        </w:rPr>
        <w:footnoteReference w:id="7"/>
      </w:r>
      <w:r w:rsidRPr="002C6C66">
        <w:rPr>
          <w:rFonts w:ascii="Arial" w:hAnsi="Arial" w:cs="Arial"/>
          <w:color w:val="27272A"/>
          <w:shd w:val="clear" w:color="auto" w:fill="FFFFFF"/>
        </w:rPr>
        <w:t> </w:t>
      </w:r>
      <w:r w:rsidR="003D5AA1" w:rsidRPr="002C6C66">
        <w:rPr>
          <w:rStyle w:val="FootnoteReference"/>
          <w:rFonts w:ascii="Arial" w:hAnsi="Arial" w:cs="Arial"/>
          <w:color w:val="27272A"/>
          <w:shd w:val="clear" w:color="auto" w:fill="FFFFFF"/>
        </w:rPr>
        <w:footnoteReference w:id="8"/>
      </w:r>
    </w:p>
    <w:p w14:paraId="624532E3" w14:textId="77777777" w:rsidR="00C64D86" w:rsidRPr="002C6C66" w:rsidRDefault="00C64D86" w:rsidP="00C64D86">
      <w:pPr>
        <w:rPr>
          <w:rFonts w:ascii="Arial" w:hAnsi="Arial" w:cs="Arial"/>
          <w:b/>
          <w:bCs/>
          <w:color w:val="27272A"/>
          <w:shd w:val="clear" w:color="auto" w:fill="FFFFFF"/>
        </w:rPr>
      </w:pPr>
      <w:r w:rsidRPr="002C6C66">
        <w:rPr>
          <w:rFonts w:ascii="Arial" w:hAnsi="Arial" w:cs="Arial"/>
          <w:b/>
          <w:bCs/>
          <w:color w:val="27272A"/>
          <w:shd w:val="clear" w:color="auto" w:fill="FFFFFF"/>
        </w:rPr>
        <w:t>It preserves identity and prevents historical “amnesia”</w:t>
      </w:r>
    </w:p>
    <w:p w14:paraId="13BE26E1" w14:textId="78A5D493" w:rsidR="00C64D86" w:rsidRPr="002C6C66" w:rsidRDefault="00C64D86" w:rsidP="00C64D86">
      <w:pPr>
        <w:rPr>
          <w:rFonts w:ascii="Arial" w:hAnsi="Arial" w:cs="Arial"/>
          <w:color w:val="27272A"/>
          <w:shd w:val="clear" w:color="auto" w:fill="FFFFFF"/>
        </w:rPr>
      </w:pPr>
      <w:r w:rsidRPr="002C6C66">
        <w:rPr>
          <w:rFonts w:ascii="Arial" w:hAnsi="Arial" w:cs="Arial"/>
          <w:color w:val="27272A"/>
          <w:shd w:val="clear" w:color="auto" w:fill="FFFFFF"/>
        </w:rPr>
        <w:t>Pope Benedict XVI warns that when societies (and individuals) lose historical memory, they risk losing </w:t>
      </w:r>
      <w:r w:rsidRPr="002C6C66">
        <w:rPr>
          <w:rFonts w:ascii="Arial" w:hAnsi="Arial" w:cs="Arial"/>
          <w:b/>
          <w:bCs/>
          <w:color w:val="27272A"/>
          <w:shd w:val="clear" w:color="auto" w:fill="FFFFFF"/>
        </w:rPr>
        <w:t>identity</w:t>
      </w:r>
      <w:r w:rsidRPr="002C6C66">
        <w:rPr>
          <w:rFonts w:ascii="Arial" w:hAnsi="Arial" w:cs="Arial"/>
          <w:color w:val="27272A"/>
          <w:shd w:val="clear" w:color="auto" w:fill="FFFFFF"/>
        </w:rPr>
        <w:t>—just as forgetting the past deprives a person of self-understanding, historical oblivion endangers society’s integrity. </w:t>
      </w:r>
      <w:r w:rsidR="006D49B4" w:rsidRPr="002C6C66">
        <w:rPr>
          <w:rStyle w:val="FootnoteReference"/>
          <w:rFonts w:ascii="Arial" w:hAnsi="Arial" w:cs="Arial"/>
          <w:color w:val="27272A"/>
          <w:shd w:val="clear" w:color="auto" w:fill="FFFFFF"/>
        </w:rPr>
        <w:footnoteReference w:id="9"/>
      </w:r>
      <w:r w:rsidRPr="002C6C66">
        <w:rPr>
          <w:rFonts w:ascii="Arial" w:hAnsi="Arial" w:cs="Arial"/>
          <w:color w:val="27272A"/>
          <w:shd w:val="clear" w:color="auto" w:fill="FFFFFF"/>
        </w:rPr>
        <w:br/>
        <w:t>He explicitly notes that teaching history only from modern events (e.g., beginning with the French Revolution) fosters ignorance of one’s past and that this has “grave consequence.” </w:t>
      </w:r>
      <w:r w:rsidR="00877805" w:rsidRPr="002C6C66">
        <w:rPr>
          <w:rStyle w:val="FootnoteReference"/>
          <w:rFonts w:ascii="Arial" w:hAnsi="Arial" w:cs="Arial"/>
          <w:color w:val="27272A"/>
          <w:shd w:val="clear" w:color="auto" w:fill="FFFFFF"/>
        </w:rPr>
        <w:footnoteReference w:id="10"/>
      </w:r>
    </w:p>
    <w:p w14:paraId="00E6353F" w14:textId="77777777" w:rsidR="00C64D86" w:rsidRPr="002C6C66" w:rsidRDefault="00C64D86" w:rsidP="00C64D86">
      <w:pPr>
        <w:rPr>
          <w:rFonts w:ascii="Arial" w:hAnsi="Arial" w:cs="Arial"/>
          <w:b/>
          <w:bCs/>
          <w:color w:val="27272A"/>
          <w:shd w:val="clear" w:color="auto" w:fill="FFFFFF"/>
        </w:rPr>
      </w:pPr>
      <w:r w:rsidRPr="002C6C66">
        <w:rPr>
          <w:rFonts w:ascii="Arial" w:hAnsi="Arial" w:cs="Arial"/>
          <w:b/>
          <w:bCs/>
          <w:color w:val="27272A"/>
          <w:shd w:val="clear" w:color="auto" w:fill="FFFFFF"/>
        </w:rPr>
        <w:t>It shows how God acts through real history (not ideas only)</w:t>
      </w:r>
    </w:p>
    <w:p w14:paraId="1A956B82" w14:textId="5F4C27D7" w:rsidR="00C64D86" w:rsidRPr="002C6C66" w:rsidRDefault="00C64D86" w:rsidP="00C64D86">
      <w:pPr>
        <w:rPr>
          <w:rFonts w:ascii="Arial" w:hAnsi="Arial" w:cs="Arial"/>
          <w:color w:val="27272A"/>
          <w:shd w:val="clear" w:color="auto" w:fill="FFFFFF"/>
        </w:rPr>
      </w:pPr>
      <w:r w:rsidRPr="002C6C66">
        <w:rPr>
          <w:rFonts w:ascii="Arial" w:hAnsi="Arial" w:cs="Arial"/>
          <w:color w:val="27272A"/>
          <w:shd w:val="clear" w:color="auto" w:fill="FFFFFF"/>
        </w:rPr>
        <w:t>Pope Leo XIII describes the Church’s history as a </w:t>
      </w:r>
      <w:r w:rsidRPr="002C6C66">
        <w:rPr>
          <w:rFonts w:ascii="Arial" w:hAnsi="Arial" w:cs="Arial"/>
          <w:b/>
          <w:bCs/>
          <w:color w:val="27272A"/>
          <w:shd w:val="clear" w:color="auto" w:fill="FFFFFF"/>
        </w:rPr>
        <w:t>“mirror”</w:t>
      </w:r>
      <w:r w:rsidRPr="002C6C66">
        <w:rPr>
          <w:rFonts w:ascii="Arial" w:hAnsi="Arial" w:cs="Arial"/>
          <w:color w:val="27272A"/>
          <w:shd w:val="clear" w:color="auto" w:fill="FFFFFF"/>
        </w:rPr>
        <w:t> that reflects the Church’s life through the ages and shows God’s </w:t>
      </w:r>
      <w:r w:rsidRPr="002C6C66">
        <w:rPr>
          <w:rFonts w:ascii="Arial" w:hAnsi="Arial" w:cs="Arial"/>
          <w:b/>
          <w:bCs/>
          <w:color w:val="27272A"/>
          <w:shd w:val="clear" w:color="auto" w:fill="FFFFFF"/>
        </w:rPr>
        <w:t>sovereign liberty</w:t>
      </w:r>
      <w:r w:rsidRPr="002C6C66">
        <w:rPr>
          <w:rFonts w:ascii="Arial" w:hAnsi="Arial" w:cs="Arial"/>
          <w:color w:val="27272A"/>
          <w:shd w:val="clear" w:color="auto" w:fill="FFFFFF"/>
        </w:rPr>
        <w:t> and providential action in events. </w:t>
      </w:r>
      <w:r w:rsidR="00127288" w:rsidRPr="002C6C66">
        <w:rPr>
          <w:rStyle w:val="FootnoteReference"/>
          <w:rFonts w:ascii="Arial" w:hAnsi="Arial" w:cs="Arial"/>
          <w:color w:val="27272A"/>
          <w:shd w:val="clear" w:color="auto" w:fill="FFFFFF"/>
        </w:rPr>
        <w:footnoteReference w:id="11"/>
      </w:r>
      <w:r w:rsidRPr="002C6C66">
        <w:rPr>
          <w:rFonts w:ascii="Arial" w:hAnsi="Arial" w:cs="Arial"/>
          <w:color w:val="27272A"/>
          <w:shd w:val="clear" w:color="auto" w:fill="FFFFFF"/>
        </w:rPr>
        <w:br/>
        <w:t>He also insists that Church history contains </w:t>
      </w:r>
      <w:r w:rsidRPr="002C6C66">
        <w:rPr>
          <w:rFonts w:ascii="Arial" w:hAnsi="Arial" w:cs="Arial"/>
          <w:b/>
          <w:bCs/>
          <w:color w:val="27272A"/>
          <w:shd w:val="clear" w:color="auto" w:fill="FFFFFF"/>
        </w:rPr>
        <w:t>dogmatic facts</w:t>
      </w:r>
      <w:r w:rsidRPr="002C6C66">
        <w:rPr>
          <w:rFonts w:ascii="Arial" w:hAnsi="Arial" w:cs="Arial"/>
          <w:color w:val="27272A"/>
          <w:shd w:val="clear" w:color="auto" w:fill="FFFFFF"/>
        </w:rPr>
        <w:t> that must not be treated as negotiable, and that the supernatural reality guiding the Church is like a “torch” illuminating her history. </w:t>
      </w:r>
      <w:r w:rsidR="00127288" w:rsidRPr="002C6C66">
        <w:rPr>
          <w:rStyle w:val="FootnoteReference"/>
          <w:rFonts w:ascii="Arial" w:hAnsi="Arial" w:cs="Arial"/>
          <w:color w:val="27272A"/>
          <w:shd w:val="clear" w:color="auto" w:fill="FFFFFF"/>
        </w:rPr>
        <w:footnoteReference w:id="12"/>
      </w:r>
    </w:p>
    <w:p w14:paraId="349F49A3" w14:textId="77777777" w:rsidR="00C5408B" w:rsidRPr="002C6C66" w:rsidRDefault="00C5408B" w:rsidP="00C64D86">
      <w:pPr>
        <w:rPr>
          <w:rFonts w:ascii="Arial" w:hAnsi="Arial" w:cs="Arial"/>
          <w:b/>
          <w:bCs/>
          <w:color w:val="27272A"/>
          <w:shd w:val="clear" w:color="auto" w:fill="FFFFFF"/>
        </w:rPr>
      </w:pPr>
    </w:p>
    <w:p w14:paraId="714A27DA" w14:textId="7B66DFA9" w:rsidR="00C64D86" w:rsidRPr="002C6C66" w:rsidRDefault="00C64D86" w:rsidP="00C64D86">
      <w:pPr>
        <w:rPr>
          <w:rFonts w:ascii="Arial" w:hAnsi="Arial" w:cs="Arial"/>
          <w:b/>
          <w:bCs/>
          <w:color w:val="27272A"/>
          <w:shd w:val="clear" w:color="auto" w:fill="FFFFFF"/>
        </w:rPr>
      </w:pPr>
      <w:r w:rsidRPr="002C6C66">
        <w:rPr>
          <w:rFonts w:ascii="Arial" w:hAnsi="Arial" w:cs="Arial"/>
          <w:b/>
          <w:bCs/>
          <w:color w:val="27272A"/>
          <w:shd w:val="clear" w:color="auto" w:fill="FFFFFF"/>
        </w:rPr>
        <w:t>It clarifies the process of reception and transmission</w:t>
      </w:r>
    </w:p>
    <w:p w14:paraId="44E7C26E" w14:textId="23953B2E" w:rsidR="00C64D86" w:rsidRPr="002C6C66" w:rsidRDefault="00C64D86" w:rsidP="00C64D86">
      <w:pPr>
        <w:rPr>
          <w:rFonts w:ascii="Arial" w:hAnsi="Arial" w:cs="Arial"/>
          <w:color w:val="27272A"/>
          <w:shd w:val="clear" w:color="auto" w:fill="FFFFFF"/>
        </w:rPr>
      </w:pPr>
      <w:r w:rsidRPr="002C6C66">
        <w:rPr>
          <w:rFonts w:ascii="Arial" w:hAnsi="Arial" w:cs="Arial"/>
          <w:color w:val="27272A"/>
          <w:shd w:val="clear" w:color="auto" w:fill="FFFFFF"/>
        </w:rPr>
        <w:t>From a theological viewpoint, Benedict XVI says Church history’s essential duty is to investigate and clarify the Church’s </w:t>
      </w:r>
      <w:r w:rsidRPr="002C6C66">
        <w:rPr>
          <w:rFonts w:ascii="Arial" w:hAnsi="Arial" w:cs="Arial"/>
          <w:b/>
          <w:bCs/>
          <w:color w:val="27272A"/>
          <w:shd w:val="clear" w:color="auto" w:fill="FFFFFF"/>
        </w:rPr>
        <w:t>“process of reception and transmission”</w:t>
      </w:r>
      <w:r w:rsidRPr="002C6C66">
        <w:rPr>
          <w:rFonts w:ascii="Arial" w:hAnsi="Arial" w:cs="Arial"/>
          <w:color w:val="27272A"/>
          <w:shd w:val="clear" w:color="auto" w:fill="FFFFFF"/>
        </w:rPr>
        <w:t>—a complex work through which, over the centuries, the Church’s reason for being was made concrete in time. </w:t>
      </w:r>
      <w:r w:rsidR="00127288" w:rsidRPr="002C6C66">
        <w:rPr>
          <w:rStyle w:val="FootnoteReference"/>
          <w:rFonts w:ascii="Arial" w:hAnsi="Arial" w:cs="Arial"/>
          <w:color w:val="27272A"/>
          <w:shd w:val="clear" w:color="auto" w:fill="FFFFFF"/>
        </w:rPr>
        <w:footnoteReference w:id="13"/>
      </w:r>
      <w:r w:rsidRPr="002C6C66">
        <w:rPr>
          <w:rFonts w:ascii="Arial" w:hAnsi="Arial" w:cs="Arial"/>
          <w:color w:val="27272A"/>
          <w:shd w:val="clear" w:color="auto" w:fill="FFFFFF"/>
        </w:rPr>
        <w:br/>
        <w:t>This matters because the Church is not only a timeless idea; she “lives in [this world] and by means of it,” meaning history is the real medium in which her mission unfolds.</w:t>
      </w:r>
      <w:r w:rsidR="00127288" w:rsidRPr="002C6C66">
        <w:rPr>
          <w:rStyle w:val="FootnoteReference"/>
          <w:rFonts w:ascii="Arial" w:hAnsi="Arial" w:cs="Arial"/>
          <w:color w:val="27272A"/>
          <w:shd w:val="clear" w:color="auto" w:fill="FFFFFF"/>
        </w:rPr>
        <w:footnoteReference w:id="14"/>
      </w:r>
    </w:p>
    <w:p w14:paraId="0A1ACB4F" w14:textId="77777777" w:rsidR="00C64D86" w:rsidRPr="002C6C66" w:rsidRDefault="00C64D86" w:rsidP="00C64D86">
      <w:pPr>
        <w:rPr>
          <w:rFonts w:ascii="Arial" w:hAnsi="Arial" w:cs="Arial"/>
          <w:b/>
          <w:bCs/>
          <w:color w:val="27272A"/>
          <w:shd w:val="clear" w:color="auto" w:fill="FFFFFF"/>
        </w:rPr>
      </w:pPr>
      <w:r w:rsidRPr="002C6C66">
        <w:rPr>
          <w:rFonts w:ascii="Arial" w:hAnsi="Arial" w:cs="Arial"/>
          <w:b/>
          <w:bCs/>
          <w:color w:val="27272A"/>
          <w:shd w:val="clear" w:color="auto" w:fill="FFFFFF"/>
        </w:rPr>
        <w:t>It helps the faithful see the continuity between the past and the present</w:t>
      </w:r>
    </w:p>
    <w:p w14:paraId="40F644E8" w14:textId="37E94262" w:rsidR="00C64D86" w:rsidRPr="002C6C66" w:rsidRDefault="00C64D86" w:rsidP="00C64D86">
      <w:pPr>
        <w:rPr>
          <w:rFonts w:ascii="Arial" w:hAnsi="Arial" w:cs="Arial"/>
          <w:color w:val="27272A"/>
          <w:shd w:val="clear" w:color="auto" w:fill="FFFFFF"/>
        </w:rPr>
      </w:pPr>
      <w:r w:rsidRPr="002C6C66">
        <w:rPr>
          <w:rFonts w:ascii="Arial" w:hAnsi="Arial" w:cs="Arial"/>
          <w:color w:val="27272A"/>
          <w:shd w:val="clear" w:color="auto" w:fill="FFFFFF"/>
        </w:rPr>
        <w:t>Cardinal Newman argues that ignorance of ecclesiastical history harms understanding of Gospel truth, because theology, history, Scripture, doctrine, and ethics interlock. </w:t>
      </w:r>
      <w:r w:rsidR="00D44838" w:rsidRPr="002C6C66">
        <w:rPr>
          <w:rStyle w:val="FootnoteReference"/>
          <w:rFonts w:ascii="Arial" w:hAnsi="Arial" w:cs="Arial"/>
          <w:color w:val="27272A"/>
          <w:shd w:val="clear" w:color="auto" w:fill="FFFFFF"/>
        </w:rPr>
        <w:footnoteReference w:id="15"/>
      </w:r>
      <w:r w:rsidRPr="002C6C66">
        <w:rPr>
          <w:rFonts w:ascii="Arial" w:hAnsi="Arial" w:cs="Arial"/>
          <w:color w:val="27272A"/>
          <w:shd w:val="clear" w:color="auto" w:fill="FFFFFF"/>
        </w:rPr>
        <w:br/>
        <w:t>He even frames the present as something like a “text” that needs the past as its “interpretation,” since “the history of the past ends in the present.” </w:t>
      </w:r>
      <w:r w:rsidR="00710288" w:rsidRPr="002C6C66">
        <w:rPr>
          <w:rStyle w:val="FootnoteReference"/>
          <w:rFonts w:ascii="Arial" w:hAnsi="Arial" w:cs="Arial"/>
          <w:color w:val="27272A"/>
          <w:shd w:val="clear" w:color="auto" w:fill="FFFFFF"/>
        </w:rPr>
        <w:footnoteReference w:id="16"/>
      </w:r>
    </w:p>
    <w:p w14:paraId="42BE3C64" w14:textId="77777777" w:rsidR="00C64D86" w:rsidRPr="002C6C66" w:rsidRDefault="00C64D86" w:rsidP="00C64D86">
      <w:pPr>
        <w:rPr>
          <w:rFonts w:ascii="Arial" w:hAnsi="Arial" w:cs="Arial"/>
          <w:b/>
          <w:bCs/>
          <w:color w:val="27272A"/>
          <w:shd w:val="clear" w:color="auto" w:fill="FFFFFF"/>
        </w:rPr>
      </w:pPr>
      <w:r w:rsidRPr="002C6C66">
        <w:rPr>
          <w:rFonts w:ascii="Arial" w:hAnsi="Arial" w:cs="Arial"/>
          <w:b/>
          <w:bCs/>
          <w:color w:val="27272A"/>
          <w:shd w:val="clear" w:color="auto" w:fill="FFFFFF"/>
        </w:rPr>
        <w:t>It supports doctrinal understanding—especially about the Church’s teaching authority</w:t>
      </w:r>
    </w:p>
    <w:p w14:paraId="171FA671" w14:textId="292EBE1B" w:rsidR="00C64D86" w:rsidRPr="002C6C66" w:rsidRDefault="00C64D86" w:rsidP="00C64D86">
      <w:pPr>
        <w:rPr>
          <w:rFonts w:ascii="Arial" w:hAnsi="Arial" w:cs="Arial"/>
          <w:color w:val="27272A"/>
          <w:shd w:val="clear" w:color="auto" w:fill="FFFFFF"/>
        </w:rPr>
      </w:pPr>
      <w:r w:rsidRPr="002C6C66">
        <w:rPr>
          <w:rFonts w:ascii="Arial" w:hAnsi="Arial" w:cs="Arial"/>
          <w:color w:val="27272A"/>
          <w:shd w:val="clear" w:color="auto" w:fill="FFFFFF"/>
        </w:rPr>
        <w:t>Research on magisterial development shows that questions about how truths of faith are determined and taught have historically been resolved through institutions such as </w:t>
      </w:r>
      <w:r w:rsidRPr="002C6C66">
        <w:rPr>
          <w:rFonts w:ascii="Arial" w:hAnsi="Arial" w:cs="Arial"/>
          <w:b/>
          <w:bCs/>
          <w:color w:val="27272A"/>
          <w:shd w:val="clear" w:color="auto" w:fill="FFFFFF"/>
        </w:rPr>
        <w:t>universal and particular councils</w:t>
      </w:r>
      <w:r w:rsidRPr="002C6C66">
        <w:rPr>
          <w:rFonts w:ascii="Arial" w:hAnsi="Arial" w:cs="Arial"/>
          <w:color w:val="27272A"/>
          <w:shd w:val="clear" w:color="auto" w:fill="FFFFFF"/>
        </w:rPr>
        <w:t> and also through papal mechanisms. </w:t>
      </w:r>
      <w:r w:rsidR="00A831AE" w:rsidRPr="002C6C66">
        <w:rPr>
          <w:rStyle w:val="FootnoteReference"/>
          <w:rFonts w:ascii="Arial" w:hAnsi="Arial" w:cs="Arial"/>
          <w:color w:val="27272A"/>
          <w:shd w:val="clear" w:color="auto" w:fill="FFFFFF"/>
        </w:rPr>
        <w:footnoteReference w:id="17"/>
      </w:r>
      <w:r w:rsidRPr="002C6C66">
        <w:rPr>
          <w:rFonts w:ascii="Arial" w:hAnsi="Arial" w:cs="Arial"/>
          <w:color w:val="27272A"/>
          <w:shd w:val="clear" w:color="auto" w:fill="FFFFFF"/>
        </w:rPr>
        <w:br/>
        <w:t>It further notes that major developments can be traced across periods—e.g., the role of papal teaching and the way the Church’s understanding of its magisterium developed—so reading Vatican I and Vatican II reveals continued maturation. </w:t>
      </w:r>
      <w:r w:rsidR="004D0EB3" w:rsidRPr="002C6C66">
        <w:rPr>
          <w:rStyle w:val="FootnoteReference"/>
          <w:rFonts w:ascii="Arial" w:hAnsi="Arial" w:cs="Arial"/>
          <w:color w:val="27272A"/>
          <w:shd w:val="clear" w:color="auto" w:fill="FFFFFF"/>
        </w:rPr>
        <w:footnoteReference w:id="18"/>
      </w:r>
    </w:p>
    <w:p w14:paraId="3440F5EC" w14:textId="77777777" w:rsidR="00C64D86" w:rsidRPr="002C6C66" w:rsidRDefault="00C64D86" w:rsidP="00C64D86">
      <w:pPr>
        <w:rPr>
          <w:rFonts w:ascii="Arial" w:hAnsi="Arial" w:cs="Arial"/>
          <w:b/>
          <w:bCs/>
          <w:color w:val="27272A"/>
          <w:shd w:val="clear" w:color="auto" w:fill="FFFFFF"/>
        </w:rPr>
      </w:pPr>
      <w:r w:rsidRPr="002C6C66">
        <w:rPr>
          <w:rFonts w:ascii="Arial" w:hAnsi="Arial" w:cs="Arial"/>
          <w:b/>
          <w:bCs/>
          <w:color w:val="27272A"/>
          <w:shd w:val="clear" w:color="auto" w:fill="FFFFFF"/>
        </w:rPr>
        <w:t>It teaches a “moral intention,” not mere curiosity</w:t>
      </w:r>
    </w:p>
    <w:p w14:paraId="5D75B0A8" w14:textId="39A8B34D" w:rsidR="00C5408B" w:rsidRPr="00053DD1" w:rsidRDefault="00C64D86" w:rsidP="00C64D86">
      <w:pPr>
        <w:rPr>
          <w:rFonts w:ascii="Arial" w:hAnsi="Arial" w:cs="Arial"/>
          <w:color w:val="27272A"/>
          <w:shd w:val="clear" w:color="auto" w:fill="FFFFFF"/>
        </w:rPr>
      </w:pPr>
      <w:r w:rsidRPr="002C6C66">
        <w:rPr>
          <w:rFonts w:ascii="Arial" w:hAnsi="Arial" w:cs="Arial"/>
          <w:color w:val="27272A"/>
          <w:shd w:val="clear" w:color="auto" w:fill="FFFFFF"/>
        </w:rPr>
        <w:t>Benedict XVI (reflecting on Eusebius of Caesarea) highlights that historical analysis is never an end in itself: it should guide believers toward </w:t>
      </w:r>
      <w:r w:rsidRPr="002C6C66">
        <w:rPr>
          <w:rFonts w:ascii="Arial" w:hAnsi="Arial" w:cs="Arial"/>
          <w:b/>
          <w:bCs/>
          <w:color w:val="27272A"/>
          <w:shd w:val="clear" w:color="auto" w:fill="FFFFFF"/>
        </w:rPr>
        <w:t>conversion</w:t>
      </w:r>
      <w:r w:rsidRPr="002C6C66">
        <w:rPr>
          <w:rFonts w:ascii="Arial" w:hAnsi="Arial" w:cs="Arial"/>
          <w:color w:val="27272A"/>
          <w:shd w:val="clear" w:color="auto" w:fill="FFFFFF"/>
        </w:rPr>
        <w:t> and authentic witness of Christian life. </w:t>
      </w:r>
      <w:r w:rsidR="007A6DE3" w:rsidRPr="002C6C66">
        <w:rPr>
          <w:rStyle w:val="FootnoteReference"/>
          <w:rFonts w:ascii="Arial" w:hAnsi="Arial" w:cs="Arial"/>
          <w:color w:val="27272A"/>
          <w:shd w:val="clear" w:color="auto" w:fill="FFFFFF"/>
        </w:rPr>
        <w:footnoteReference w:id="19"/>
      </w:r>
      <w:r w:rsidRPr="002C6C66">
        <w:rPr>
          <w:rFonts w:ascii="Arial" w:hAnsi="Arial" w:cs="Arial"/>
          <w:color w:val="27272A"/>
          <w:shd w:val="clear" w:color="auto" w:fill="FFFFFF"/>
        </w:rPr>
        <w:br/>
        <w:t>In other words, Church history should be read with love and openness to the mystery of God’s action, not with a mindset of sensationalism. </w:t>
      </w:r>
      <w:r w:rsidR="00A35EDA" w:rsidRPr="002C6C66">
        <w:rPr>
          <w:rStyle w:val="FootnoteReference"/>
          <w:rFonts w:ascii="Arial" w:hAnsi="Arial" w:cs="Arial"/>
          <w:color w:val="27272A"/>
          <w:shd w:val="clear" w:color="auto" w:fill="FFFFFF"/>
        </w:rPr>
        <w:footnoteReference w:id="20"/>
      </w:r>
    </w:p>
    <w:p w14:paraId="69EBD9FF" w14:textId="5DD8B3C7" w:rsidR="00C64D86" w:rsidRPr="002C6C66" w:rsidRDefault="00C64D86" w:rsidP="00C64D86">
      <w:pPr>
        <w:rPr>
          <w:rFonts w:ascii="Arial" w:hAnsi="Arial" w:cs="Arial"/>
          <w:b/>
          <w:bCs/>
          <w:color w:val="27272A"/>
          <w:shd w:val="clear" w:color="auto" w:fill="FFFFFF"/>
        </w:rPr>
      </w:pPr>
      <w:r w:rsidRPr="002C6C66">
        <w:rPr>
          <w:rFonts w:ascii="Arial" w:hAnsi="Arial" w:cs="Arial"/>
          <w:b/>
          <w:bCs/>
          <w:color w:val="27272A"/>
          <w:shd w:val="clear" w:color="auto" w:fill="FFFFFF"/>
        </w:rPr>
        <w:lastRenderedPageBreak/>
        <w:t>It connects directly to worship and salvation history</w:t>
      </w:r>
    </w:p>
    <w:p w14:paraId="1816F4D7" w14:textId="0F5BE8EC" w:rsidR="00C64D86" w:rsidRPr="002C6C66" w:rsidRDefault="00C64D86" w:rsidP="00C64D86">
      <w:pPr>
        <w:rPr>
          <w:rFonts w:ascii="Arial" w:hAnsi="Arial" w:cs="Arial"/>
          <w:color w:val="27272A"/>
          <w:shd w:val="clear" w:color="auto" w:fill="FFFFFF"/>
        </w:rPr>
      </w:pPr>
      <w:r w:rsidRPr="002C6C66">
        <w:rPr>
          <w:rFonts w:ascii="Arial" w:hAnsi="Arial" w:cs="Arial"/>
          <w:color w:val="27272A"/>
          <w:shd w:val="clear" w:color="auto" w:fill="FFFFFF"/>
        </w:rPr>
        <w:t>The Catechism points out that the Church, especially in Advent and Lent and above all at the Easter Vigil, </w:t>
      </w:r>
      <w:r w:rsidRPr="002C6C66">
        <w:rPr>
          <w:rFonts w:ascii="Arial" w:hAnsi="Arial" w:cs="Arial"/>
          <w:b/>
          <w:bCs/>
          <w:color w:val="27272A"/>
          <w:shd w:val="clear" w:color="auto" w:fill="FFFFFF"/>
        </w:rPr>
        <w:t>re-reads and re-lives</w:t>
      </w:r>
      <w:r w:rsidRPr="002C6C66">
        <w:rPr>
          <w:rFonts w:ascii="Arial" w:hAnsi="Arial" w:cs="Arial"/>
          <w:color w:val="27272A"/>
          <w:shd w:val="clear" w:color="auto" w:fill="FFFFFF"/>
        </w:rPr>
        <w:t> the great events of salvation history in the “today” of her liturgy—and this requires catechesis that opens believers to the liturgical understanding of God’s saving plan. </w:t>
      </w:r>
      <w:r w:rsidR="006A5D33" w:rsidRPr="002C6C66">
        <w:rPr>
          <w:rStyle w:val="FootnoteReference"/>
          <w:rFonts w:ascii="Arial" w:hAnsi="Arial" w:cs="Arial"/>
          <w:color w:val="27272A"/>
          <w:shd w:val="clear" w:color="auto" w:fill="FFFFFF"/>
        </w:rPr>
        <w:footnoteReference w:id="21"/>
      </w:r>
    </w:p>
    <w:p w14:paraId="6C8FCE75" w14:textId="385E9512" w:rsidR="00D533FF" w:rsidRDefault="00D374BB" w:rsidP="00D533FF">
      <w:pPr>
        <w:rPr>
          <w:rFonts w:ascii="Arial" w:hAnsi="Arial" w:cs="Arial"/>
          <w:color w:val="27272A"/>
          <w:shd w:val="clear" w:color="auto" w:fill="FFFFFF"/>
        </w:rPr>
      </w:pPr>
      <w:r w:rsidRPr="002C6C66">
        <w:rPr>
          <w:rFonts w:ascii="Arial" w:hAnsi="Arial" w:cs="Arial"/>
          <w:color w:val="27272A"/>
          <w:shd w:val="clear" w:color="auto" w:fill="FFFFFF"/>
        </w:rPr>
        <w:t xml:space="preserve">Church history is important because it safeguards identity, reveals God’s providence in real events, clarifies how the faith was received and transmitted, strengthens doctrinal understanding, and forms believers to read the past toward conversion and faithful </w:t>
      </w:r>
      <w:r w:rsidRPr="003713A8">
        <w:rPr>
          <w:rFonts w:ascii="Arial" w:hAnsi="Arial" w:cs="Arial"/>
          <w:color w:val="27272A"/>
          <w:shd w:val="clear" w:color="auto" w:fill="FFFFFF"/>
        </w:rPr>
        <w:t>witness.</w:t>
      </w:r>
    </w:p>
    <w:p w14:paraId="1D5E5FE4" w14:textId="0CC7BAED"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To understand early Christianity, it is important to see it not as a brand-new religion, but as a Jewish movement. Jesus, his disciples, and the first believers were Jews, worshipping with the Scriptures and practices that belonged to Israel.</w:t>
      </w:r>
    </w:p>
    <w:p w14:paraId="0B93E76B" w14:textId="601B6275" w:rsidR="00D533FF" w:rsidRDefault="003E6CB2" w:rsidP="00D3242C">
      <w:pPr>
        <w:pStyle w:val="ListParagraph"/>
        <w:numPr>
          <w:ilvl w:val="0"/>
          <w:numId w:val="5"/>
        </w:numPr>
        <w:rPr>
          <w:rFonts w:ascii="Arial" w:hAnsi="Arial" w:cs="Arial"/>
          <w:b/>
          <w:bCs/>
          <w:color w:val="EE0000"/>
          <w:shd w:val="clear" w:color="auto" w:fill="FFFFFF"/>
        </w:rPr>
      </w:pPr>
      <w:r w:rsidRPr="008D16D0">
        <w:rPr>
          <w:rFonts w:ascii="Arial" w:hAnsi="Arial" w:cs="Arial"/>
          <w:b/>
          <w:bCs/>
          <w:color w:val="EE0000"/>
          <w:shd w:val="clear" w:color="auto" w:fill="FFFFFF"/>
        </w:rPr>
        <w:t>T</w:t>
      </w:r>
      <w:r w:rsidR="00D533FF" w:rsidRPr="008D16D0">
        <w:rPr>
          <w:rFonts w:ascii="Arial" w:hAnsi="Arial" w:cs="Arial"/>
          <w:b/>
          <w:bCs/>
          <w:color w:val="EE0000"/>
          <w:shd w:val="clear" w:color="auto" w:fill="FFFFFF"/>
        </w:rPr>
        <w:t xml:space="preserve">he Jewish context </w:t>
      </w:r>
      <w:r w:rsidR="002A7694" w:rsidRPr="008D16D0">
        <w:rPr>
          <w:rFonts w:ascii="Arial" w:hAnsi="Arial" w:cs="Arial"/>
          <w:b/>
          <w:bCs/>
          <w:color w:val="EE0000"/>
          <w:shd w:val="clear" w:color="auto" w:fill="FFFFFF"/>
        </w:rPr>
        <w:t>of the</w:t>
      </w:r>
      <w:r w:rsidR="00D533FF" w:rsidRPr="008D16D0">
        <w:rPr>
          <w:rFonts w:ascii="Arial" w:hAnsi="Arial" w:cs="Arial"/>
          <w:b/>
          <w:bCs/>
          <w:color w:val="EE0000"/>
          <w:shd w:val="clear" w:color="auto" w:fill="FFFFFF"/>
        </w:rPr>
        <w:t xml:space="preserve"> early Christianity</w:t>
      </w:r>
      <w:r w:rsidR="002A7694" w:rsidRPr="008D16D0">
        <w:rPr>
          <w:rFonts w:ascii="Arial" w:hAnsi="Arial" w:cs="Arial"/>
          <w:b/>
          <w:bCs/>
          <w:color w:val="EE0000"/>
          <w:shd w:val="clear" w:color="auto" w:fill="FFFFFF"/>
        </w:rPr>
        <w:t xml:space="preserve"> and the Old Testament</w:t>
      </w:r>
      <w:r w:rsidR="001A0B0C" w:rsidRPr="008D16D0">
        <w:rPr>
          <w:rFonts w:ascii="Arial" w:hAnsi="Arial" w:cs="Arial"/>
          <w:b/>
          <w:bCs/>
          <w:color w:val="EE0000"/>
          <w:shd w:val="clear" w:color="auto" w:fill="FFFFFF"/>
        </w:rPr>
        <w:t xml:space="preserve"> roots of the Church.</w:t>
      </w:r>
    </w:p>
    <w:p w14:paraId="339B1D07" w14:textId="77777777" w:rsidR="00A25EEA" w:rsidRPr="004F4A00" w:rsidRDefault="00A25EEA" w:rsidP="00A25EEA">
      <w:r w:rsidRPr="004F4A00">
        <w:t>Early Christianity did not begin as something “against” Judaism. </w:t>
      </w:r>
      <w:r w:rsidRPr="004F4A00">
        <w:rPr>
          <w:b/>
          <w:bCs/>
        </w:rPr>
        <w:t>Jesus, the apostles, and the first Christian preaching arose inside first-century Judaism</w:t>
      </w:r>
      <w:r w:rsidRPr="004F4A00">
        <w:t>, using Israel’s Scriptures as the Bible “that cannot be rejected.” 1 2</w:t>
      </w:r>
    </w:p>
    <w:p w14:paraId="60B576E0" w14:textId="77777777" w:rsidR="00A25EEA" w:rsidRPr="004F4A00" w:rsidRDefault="00A25EEA" w:rsidP="00A25EEA">
      <w:r w:rsidRPr="004F4A00">
        <w:t>This handout focuses on (1) what the Church teaches about the Old Testament and Jewish roots, (2) how early Christians read Israel’s Scriptures, and (3) how Jewish patterns shaped Christian worship—especially the Eucharist. 1 3 2</w:t>
      </w:r>
    </w:p>
    <w:p w14:paraId="0CB78EE2" w14:textId="795344DB" w:rsidR="007071C3" w:rsidRPr="00B57CEE" w:rsidRDefault="007071C3" w:rsidP="007071C3">
      <w:r w:rsidRPr="00B57CEE">
        <w:t>Key Church Teachings (the “baseline”)</w:t>
      </w:r>
    </w:p>
    <w:p w14:paraId="78F11C69" w14:textId="77777777" w:rsidR="007071C3" w:rsidRPr="004F4A00" w:rsidRDefault="007071C3" w:rsidP="007071C3">
      <w:pPr>
        <w:rPr>
          <w:b/>
          <w:bCs/>
        </w:rPr>
      </w:pPr>
      <w:r w:rsidRPr="004F4A00">
        <w:rPr>
          <w:b/>
          <w:bCs/>
        </w:rPr>
        <w:t>Christianity is rooted in Israel’s Scriptures</w:t>
      </w:r>
    </w:p>
    <w:p w14:paraId="54DBDDB5" w14:textId="77777777" w:rsidR="007071C3" w:rsidRPr="004F4A00" w:rsidRDefault="007071C3" w:rsidP="007071C3">
      <w:pPr>
        <w:numPr>
          <w:ilvl w:val="0"/>
          <w:numId w:val="18"/>
        </w:numPr>
      </w:pPr>
      <w:r w:rsidRPr="004F4A00">
        <w:t>The </w:t>
      </w:r>
      <w:r w:rsidRPr="004F4A00">
        <w:rPr>
          <w:b/>
          <w:bCs/>
        </w:rPr>
        <w:t>New Testament explicitly acknowledges the Old Testament</w:t>
      </w:r>
      <w:r w:rsidRPr="004F4A00">
        <w:t> as God’s word. The New Testament:</w:t>
      </w:r>
    </w:p>
    <w:p w14:paraId="11D54272" w14:textId="77777777" w:rsidR="007071C3" w:rsidRPr="004F4A00" w:rsidRDefault="007071C3" w:rsidP="007071C3">
      <w:pPr>
        <w:numPr>
          <w:ilvl w:val="1"/>
          <w:numId w:val="18"/>
        </w:numPr>
      </w:pPr>
      <w:r w:rsidRPr="004F4A00">
        <w:rPr>
          <w:b/>
          <w:bCs/>
        </w:rPr>
        <w:t>implicitly</w:t>
      </w:r>
      <w:r w:rsidRPr="004F4A00">
        <w:t> recognizes it by using the same language and citing passages,</w:t>
      </w:r>
    </w:p>
    <w:p w14:paraId="3D62D326" w14:textId="77777777" w:rsidR="007071C3" w:rsidRPr="004F4A00" w:rsidRDefault="007071C3" w:rsidP="007071C3">
      <w:pPr>
        <w:numPr>
          <w:ilvl w:val="1"/>
          <w:numId w:val="18"/>
        </w:numPr>
      </w:pPr>
      <w:r w:rsidRPr="004F4A00">
        <w:rPr>
          <w:b/>
          <w:bCs/>
        </w:rPr>
        <w:t>explicitly</w:t>
      </w:r>
      <w:r w:rsidRPr="004F4A00">
        <w:t> cites it as a basis for argument—so arguments from it have a “definitive quality.” 1</w:t>
      </w:r>
    </w:p>
    <w:p w14:paraId="134B3A70" w14:textId="77777777" w:rsidR="007071C3" w:rsidRPr="004F4A00" w:rsidRDefault="007071C3" w:rsidP="007071C3">
      <w:pPr>
        <w:numPr>
          <w:ilvl w:val="0"/>
          <w:numId w:val="18"/>
        </w:numPr>
      </w:pPr>
      <w:r w:rsidRPr="004F4A00">
        <w:t>Christians also affirm that </w:t>
      </w:r>
      <w:r w:rsidRPr="004F4A00">
        <w:rPr>
          <w:b/>
          <w:bCs/>
        </w:rPr>
        <w:t>Jesus “was a Jew and the Holy Land is the motherland of the Church,”</w:t>
      </w:r>
      <w:r w:rsidRPr="004F4A00">
        <w:t> so </w:t>
      </w:r>
      <w:r w:rsidRPr="004F4A00">
        <w:rPr>
          <w:b/>
          <w:bCs/>
        </w:rPr>
        <w:t>“the roots of Christianity are found in the Old Testament.”</w:t>
      </w:r>
      <w:r w:rsidRPr="004F4A00">
        <w:t> 1</w:t>
      </w:r>
    </w:p>
    <w:p w14:paraId="480DA82A" w14:textId="77777777" w:rsidR="007071C3" w:rsidRPr="004F4A00" w:rsidRDefault="007071C3" w:rsidP="007071C3">
      <w:pPr>
        <w:rPr>
          <w:b/>
          <w:bCs/>
        </w:rPr>
      </w:pPr>
      <w:r w:rsidRPr="004F4A00">
        <w:rPr>
          <w:b/>
          <w:bCs/>
        </w:rPr>
        <w:t>The first Christians were Jews, preaching “to the Jew first”</w:t>
      </w:r>
    </w:p>
    <w:p w14:paraId="4EF9260E" w14:textId="77777777" w:rsidR="007071C3" w:rsidRPr="004F4A00" w:rsidRDefault="007071C3" w:rsidP="007071C3">
      <w:pPr>
        <w:numPr>
          <w:ilvl w:val="0"/>
          <w:numId w:val="19"/>
        </w:numPr>
      </w:pPr>
      <w:r w:rsidRPr="004F4A00">
        <w:lastRenderedPageBreak/>
        <w:t>Historically, </w:t>
      </w:r>
      <w:r w:rsidRPr="004F4A00">
        <w:rPr>
          <w:b/>
          <w:bCs/>
        </w:rPr>
        <w:t>Jesus is “a son of this people,”</w:t>
      </w:r>
      <w:r w:rsidRPr="004F4A00">
        <w:t> and the Twelve were chosen to proclaim within that world. 2</w:t>
      </w:r>
    </w:p>
    <w:p w14:paraId="4735B5E9" w14:textId="77777777" w:rsidR="007071C3" w:rsidRPr="004F4A00" w:rsidRDefault="007071C3" w:rsidP="007071C3">
      <w:pPr>
        <w:numPr>
          <w:ilvl w:val="0"/>
          <w:numId w:val="19"/>
        </w:numPr>
      </w:pPr>
      <w:r w:rsidRPr="004F4A00">
        <w:t>The apostolic preaching was </w:t>
      </w:r>
      <w:r w:rsidRPr="004F4A00">
        <w:rPr>
          <w:b/>
          <w:bCs/>
        </w:rPr>
        <w:t>addressed only to Jews and proselytes</w:t>
      </w:r>
      <w:r w:rsidRPr="004F4A00">
        <w:t> at first, with Christianity “born in the bosom of first century Judaism.” 2</w:t>
      </w:r>
    </w:p>
    <w:p w14:paraId="729088C7" w14:textId="77777777" w:rsidR="007071C3" w:rsidRPr="004F4A00" w:rsidRDefault="007071C3" w:rsidP="007071C3">
      <w:pPr>
        <w:numPr>
          <w:ilvl w:val="0"/>
          <w:numId w:val="19"/>
        </w:numPr>
      </w:pPr>
      <w:r w:rsidRPr="004F4A00">
        <w:t>Even after growing beyond Judaism, the Church “could never forget its Jewish roots.” 2</w:t>
      </w:r>
    </w:p>
    <w:p w14:paraId="2DDC3208" w14:textId="77777777" w:rsidR="007071C3" w:rsidRPr="004F4A00" w:rsidRDefault="007071C3" w:rsidP="007071C3">
      <w:pPr>
        <w:rPr>
          <w:b/>
          <w:bCs/>
        </w:rPr>
      </w:pPr>
      <w:r w:rsidRPr="004F4A00">
        <w:rPr>
          <w:b/>
          <w:bCs/>
        </w:rPr>
        <w:t>Why the Church calls it “Old Testament” and “New Testament”</w:t>
      </w:r>
    </w:p>
    <w:p w14:paraId="73781A92" w14:textId="77777777" w:rsidR="007071C3" w:rsidRPr="004F4A00" w:rsidRDefault="007071C3" w:rsidP="007071C3">
      <w:pPr>
        <w:numPr>
          <w:ilvl w:val="0"/>
          <w:numId w:val="20"/>
        </w:numPr>
      </w:pPr>
      <w:r w:rsidRPr="004F4A00">
        <w:t>“Old Testament” is a title connected with Paul’s language about the writings associated with Moses. 2</w:t>
      </w:r>
    </w:p>
    <w:p w14:paraId="61A03FAF" w14:textId="77777777" w:rsidR="007071C3" w:rsidRPr="004F4A00" w:rsidRDefault="007071C3" w:rsidP="007071C3">
      <w:pPr>
        <w:numPr>
          <w:ilvl w:val="0"/>
          <w:numId w:val="20"/>
        </w:numPr>
      </w:pPr>
      <w:r w:rsidRPr="004F4A00">
        <w:t>“New Testament” comes from Jeremiah’s promise of a </w:t>
      </w:r>
      <w:r w:rsidRPr="004F4A00">
        <w:rPr>
          <w:b/>
          <w:bCs/>
        </w:rPr>
        <w:t>“new covenant,”</w:t>
      </w:r>
      <w:r w:rsidRPr="004F4A00">
        <w:t> which Christians see fulfilled in Christ and especially in the Eucharistic context. 2</w:t>
      </w:r>
    </w:p>
    <w:p w14:paraId="5BB80519" w14:textId="77777777" w:rsidR="007071C3" w:rsidRPr="004F4A00" w:rsidRDefault="007071C3" w:rsidP="007071C3">
      <w:pPr>
        <w:rPr>
          <w:b/>
          <w:bCs/>
        </w:rPr>
      </w:pPr>
      <w:r w:rsidRPr="004F4A00">
        <w:rPr>
          <w:b/>
          <w:bCs/>
        </w:rPr>
        <w:t>The Church resists Marcionism (rejection/opposition of the Old Testament)</w:t>
      </w:r>
    </w:p>
    <w:p w14:paraId="3DA878D5" w14:textId="77777777" w:rsidR="007071C3" w:rsidRPr="004F4A00" w:rsidRDefault="007071C3" w:rsidP="007071C3">
      <w:pPr>
        <w:numPr>
          <w:ilvl w:val="0"/>
          <w:numId w:val="21"/>
        </w:numPr>
      </w:pPr>
      <w:r w:rsidRPr="004F4A00">
        <w:t>The Church has “resisted all new forms of Marcionism” that set the Old Testament against the New. 1</w:t>
      </w:r>
    </w:p>
    <w:p w14:paraId="03305AAD" w14:textId="77777777" w:rsidR="007071C3" w:rsidRPr="004F4A00" w:rsidRDefault="00000000" w:rsidP="007071C3">
      <w:r>
        <w:pict w14:anchorId="03E53F3C">
          <v:rect id="_x0000_i1026" style="width:0;height:0" o:hralign="center" o:hrstd="t" o:hr="t" fillcolor="#a0a0a0" stroked="f"/>
        </w:pict>
      </w:r>
    </w:p>
    <w:p w14:paraId="71134369" w14:textId="77777777" w:rsidR="007071C3" w:rsidRPr="004F4A00" w:rsidRDefault="007071C3" w:rsidP="007071C3">
      <w:pPr>
        <w:rPr>
          <w:b/>
          <w:bCs/>
        </w:rPr>
      </w:pPr>
      <w:r w:rsidRPr="004F4A00">
        <w:rPr>
          <w:b/>
          <w:bCs/>
        </w:rPr>
        <w:t>Handout: How Early Christians Read Israel’s Bible (hermeneutics in plain terms)</w:t>
      </w:r>
    </w:p>
    <w:p w14:paraId="0B0E0591" w14:textId="77777777" w:rsidR="007071C3" w:rsidRPr="004F4A00" w:rsidRDefault="007071C3" w:rsidP="007071C3">
      <w:pPr>
        <w:rPr>
          <w:b/>
          <w:bCs/>
        </w:rPr>
      </w:pPr>
      <w:r w:rsidRPr="004F4A00">
        <w:rPr>
          <w:b/>
          <w:bCs/>
        </w:rPr>
        <w:t>“Fulfillment” is real—but complex</w:t>
      </w:r>
    </w:p>
    <w:p w14:paraId="33F83DCE" w14:textId="77777777" w:rsidR="007071C3" w:rsidRPr="004F4A00" w:rsidRDefault="007071C3" w:rsidP="007071C3">
      <w:r w:rsidRPr="004F4A00">
        <w:t>When Christians say the Old Testament is “fulfilled” in Christ, that fulfillment is not one single kind of relationship. It includes:</w:t>
      </w:r>
    </w:p>
    <w:p w14:paraId="5567CF2B" w14:textId="77777777" w:rsidR="007071C3" w:rsidRPr="004F4A00" w:rsidRDefault="007071C3" w:rsidP="007071C3">
      <w:pPr>
        <w:numPr>
          <w:ilvl w:val="0"/>
          <w:numId w:val="22"/>
        </w:numPr>
      </w:pPr>
      <w:r w:rsidRPr="004F4A00">
        <w:rPr>
          <w:b/>
          <w:bCs/>
        </w:rPr>
        <w:t>Continuity</w:t>
      </w:r>
      <w:r w:rsidRPr="004F4A00">
        <w:t>: continuity of intent with the Old Testament revelation. 1</w:t>
      </w:r>
    </w:p>
    <w:p w14:paraId="0A837B77" w14:textId="77777777" w:rsidR="007071C3" w:rsidRPr="004F4A00" w:rsidRDefault="007071C3" w:rsidP="007071C3">
      <w:pPr>
        <w:numPr>
          <w:ilvl w:val="0"/>
          <w:numId w:val="22"/>
        </w:numPr>
      </w:pPr>
      <w:r w:rsidRPr="004F4A00">
        <w:rPr>
          <w:b/>
          <w:bCs/>
        </w:rPr>
        <w:t>Discontinuity</w:t>
      </w:r>
      <w:r w:rsidRPr="004F4A00">
        <w:t>: real differences in how God accomplishes things. 1</w:t>
      </w:r>
    </w:p>
    <w:p w14:paraId="71244BB6" w14:textId="77777777" w:rsidR="007071C3" w:rsidRPr="004F4A00" w:rsidRDefault="007071C3" w:rsidP="007071C3">
      <w:pPr>
        <w:numPr>
          <w:ilvl w:val="0"/>
          <w:numId w:val="22"/>
        </w:numPr>
      </w:pPr>
      <w:r w:rsidRPr="004F4A00">
        <w:rPr>
          <w:b/>
          <w:bCs/>
        </w:rPr>
        <w:t>Fulfillment &amp; transcendence</w:t>
      </w:r>
      <w:r w:rsidRPr="004F4A00">
        <w:t>: a kind of perfection and completion that goes beyond what existed before. 1</w:t>
      </w:r>
    </w:p>
    <w:p w14:paraId="187969E6" w14:textId="77777777" w:rsidR="007071C3" w:rsidRPr="004F4A00" w:rsidRDefault="007071C3" w:rsidP="007071C3">
      <w:r w:rsidRPr="004F4A00">
        <w:t>So, for example, the mystery of Christ stands in conformity with prophetic foreshadowings, yet it also presents differences “with regard to the institutions” of the Old Testament. 1</w:t>
      </w:r>
    </w:p>
    <w:p w14:paraId="04E05BDF" w14:textId="77777777" w:rsidR="007071C3" w:rsidRPr="004F4A00" w:rsidRDefault="007071C3" w:rsidP="007071C3">
      <w:pPr>
        <w:rPr>
          <w:b/>
          <w:bCs/>
        </w:rPr>
      </w:pPr>
      <w:r w:rsidRPr="004F4A00">
        <w:rPr>
          <w:b/>
          <w:bCs/>
        </w:rPr>
        <w:t>The apostles used Jewish interpretive patterns</w:t>
      </w:r>
    </w:p>
    <w:p w14:paraId="2E314025" w14:textId="77777777" w:rsidR="007071C3" w:rsidRPr="004F4A00" w:rsidRDefault="007071C3" w:rsidP="007071C3">
      <w:pPr>
        <w:numPr>
          <w:ilvl w:val="0"/>
          <w:numId w:val="23"/>
        </w:numPr>
      </w:pPr>
      <w:r w:rsidRPr="004F4A00">
        <w:t>Early Christian claims about Christ are tied to the fact that Jesus and the apostles treated the Scriptures of Israel as authoritative and determinative. 4</w:t>
      </w:r>
    </w:p>
    <w:p w14:paraId="3276A5E2" w14:textId="77777777" w:rsidR="007071C3" w:rsidRPr="004F4A00" w:rsidRDefault="007071C3" w:rsidP="007071C3">
      <w:pPr>
        <w:numPr>
          <w:ilvl w:val="0"/>
          <w:numId w:val="23"/>
        </w:numPr>
      </w:pPr>
      <w:r w:rsidRPr="004F4A00">
        <w:lastRenderedPageBreak/>
        <w:t>The New Testament authors sometimes use </w:t>
      </w:r>
      <w:r w:rsidRPr="004F4A00">
        <w:rPr>
          <w:b/>
          <w:bCs/>
        </w:rPr>
        <w:t>rabbinic methods</w:t>
      </w:r>
      <w:r w:rsidRPr="004F4A00">
        <w:t> of interpretation to show how Israel’s Scriptures lead to Christ as the key. 4</w:t>
      </w:r>
    </w:p>
    <w:p w14:paraId="0CC68BCC" w14:textId="77777777" w:rsidR="007071C3" w:rsidRPr="004F4A00" w:rsidRDefault="007071C3" w:rsidP="007071C3">
      <w:pPr>
        <w:numPr>
          <w:ilvl w:val="0"/>
          <w:numId w:val="23"/>
        </w:numPr>
      </w:pPr>
      <w:r w:rsidRPr="004F4A00">
        <w:t>The Church’s own historical memory is that early Christianity already had a “Scriptures” framework centered on Christ, later developing what became a distinct “New Testament canon” (while still presupposing Israel’s Bible). 4</w:t>
      </w:r>
    </w:p>
    <w:p w14:paraId="37EDC988" w14:textId="77777777" w:rsidR="007071C3" w:rsidRPr="004F4A00" w:rsidRDefault="007071C3" w:rsidP="007071C3">
      <w:pPr>
        <w:rPr>
          <w:b/>
          <w:bCs/>
        </w:rPr>
      </w:pPr>
      <w:r w:rsidRPr="004F4A00">
        <w:rPr>
          <w:b/>
          <w:bCs/>
        </w:rPr>
        <w:t>A practical takeaway for reading the Old Testament</w:t>
      </w:r>
    </w:p>
    <w:p w14:paraId="385937A1" w14:textId="77777777" w:rsidR="007071C3" w:rsidRPr="004F4A00" w:rsidRDefault="007071C3" w:rsidP="007071C3">
      <w:r w:rsidRPr="004F4A00">
        <w:t>When studying the Old Testament, ask:</w:t>
      </w:r>
    </w:p>
    <w:p w14:paraId="51B7F16E" w14:textId="77777777" w:rsidR="007071C3" w:rsidRPr="004F4A00" w:rsidRDefault="007071C3" w:rsidP="007071C3">
      <w:pPr>
        <w:numPr>
          <w:ilvl w:val="0"/>
          <w:numId w:val="24"/>
        </w:numPr>
      </w:pPr>
      <w:r w:rsidRPr="004F4A00">
        <w:rPr>
          <w:b/>
          <w:bCs/>
        </w:rPr>
        <w:t>What dimension is at work here?</w:t>
      </w:r>
      <w:r w:rsidRPr="004F4A00">
        <w:t> continuity, discontinuity, or fulfillment/transcendence? 1</w:t>
      </w:r>
    </w:p>
    <w:p w14:paraId="18B5EFEA" w14:textId="77777777" w:rsidR="007071C3" w:rsidRPr="004F4A00" w:rsidRDefault="007071C3" w:rsidP="007071C3">
      <w:pPr>
        <w:numPr>
          <w:ilvl w:val="0"/>
          <w:numId w:val="24"/>
        </w:numPr>
      </w:pPr>
      <w:r w:rsidRPr="004F4A00">
        <w:rPr>
          <w:b/>
          <w:bCs/>
        </w:rPr>
        <w:t>How does the New Testament treat this text—citing it, applying it, or showing its deeper intention?</w:t>
      </w:r>
      <w:r w:rsidRPr="004F4A00">
        <w:t> 1</w:t>
      </w:r>
    </w:p>
    <w:p w14:paraId="25699677" w14:textId="77777777" w:rsidR="00A25EEA" w:rsidRPr="00A25EEA" w:rsidRDefault="00A25EEA" w:rsidP="00A25EEA">
      <w:pPr>
        <w:rPr>
          <w:rFonts w:ascii="Arial" w:hAnsi="Arial" w:cs="Arial"/>
          <w:b/>
          <w:bCs/>
          <w:color w:val="EE0000"/>
          <w:shd w:val="clear" w:color="auto" w:fill="FFFFFF"/>
        </w:rPr>
      </w:pPr>
    </w:p>
    <w:p w14:paraId="79719749" w14:textId="14E77319" w:rsidR="00DC3256" w:rsidRPr="004F4A00" w:rsidRDefault="00DC3256" w:rsidP="00DC3256">
      <w:pPr>
        <w:rPr>
          <w:b/>
          <w:bCs/>
        </w:rPr>
      </w:pPr>
      <w:r w:rsidRPr="004F4A00">
        <w:rPr>
          <w:b/>
          <w:bCs/>
        </w:rPr>
        <w:t>Worship &amp; Life</w:t>
      </w:r>
      <w:r w:rsidR="000F00DA">
        <w:rPr>
          <w:b/>
          <w:bCs/>
        </w:rPr>
        <w:t xml:space="preserve"> </w:t>
      </w:r>
      <w:r w:rsidRPr="000F00DA">
        <w:t>—</w:t>
      </w:r>
      <w:r w:rsidR="000F00DA">
        <w:t xml:space="preserve"> </w:t>
      </w:r>
      <w:r w:rsidRPr="000F00DA">
        <w:t>Jewish Patterns Behind Christian Prayer</w:t>
      </w:r>
    </w:p>
    <w:p w14:paraId="15C5C668" w14:textId="77777777" w:rsidR="00DC3256" w:rsidRPr="004F4A00" w:rsidRDefault="00DC3256" w:rsidP="00DC3256">
      <w:pPr>
        <w:rPr>
          <w:b/>
          <w:bCs/>
        </w:rPr>
      </w:pPr>
      <w:r w:rsidRPr="004F4A00">
        <w:rPr>
          <w:b/>
          <w:bCs/>
        </w:rPr>
        <w:t>Sabbath, synagogue rhythms, and early Christian continuity</w:t>
      </w:r>
    </w:p>
    <w:p w14:paraId="5F59330F" w14:textId="77777777" w:rsidR="00DC3256" w:rsidRPr="004F4A00" w:rsidRDefault="00DC3256" w:rsidP="00DC3256">
      <w:r w:rsidRPr="004F4A00">
        <w:t>A liturgical study notes that early communities lived a </w:t>
      </w:r>
      <w:r w:rsidRPr="004F4A00">
        <w:rPr>
          <w:b/>
          <w:bCs/>
        </w:rPr>
        <w:t>sense of continuity with Jewish tradition alongside growing Christian novelty</w:t>
      </w:r>
      <w:r w:rsidRPr="004F4A00">
        <w:t>, and that even after the Temple’s destruction, communities in Syria and Palestine continued to observe Jewish cultic practices together with Christian ones—such as </w:t>
      </w:r>
      <w:r w:rsidRPr="004F4A00">
        <w:rPr>
          <w:b/>
          <w:bCs/>
        </w:rPr>
        <w:t>“sabbath and Sunday,” “synagogue and Eucharist,” “circumcision and baptism.”</w:t>
      </w:r>
      <w:r w:rsidRPr="004F4A00">
        <w:t> 5</w:t>
      </w:r>
    </w:p>
    <w:p w14:paraId="7C08B7E3" w14:textId="77777777" w:rsidR="00DC3256" w:rsidRPr="004F4A00" w:rsidRDefault="00DC3256" w:rsidP="00DC3256">
      <w:r w:rsidRPr="004F4A00">
        <w:t>This helps explain why early Christianity looked, in many ways, like the same family of worship—yet with unmistakable Christian identity. 5</w:t>
      </w:r>
    </w:p>
    <w:p w14:paraId="75837FD0" w14:textId="77777777" w:rsidR="00DC3256" w:rsidRPr="004F4A00" w:rsidRDefault="00DC3256" w:rsidP="00DC3256">
      <w:pPr>
        <w:rPr>
          <w:b/>
          <w:bCs/>
        </w:rPr>
      </w:pPr>
      <w:r w:rsidRPr="004F4A00">
        <w:rPr>
          <w:b/>
          <w:bCs/>
        </w:rPr>
        <w:t>Eucharist roots in Jewish meal-prayer and sacrifice-symbolism</w:t>
      </w:r>
    </w:p>
    <w:p w14:paraId="50CB549C" w14:textId="77777777" w:rsidR="00DC3256" w:rsidRPr="004F4A00" w:rsidRDefault="00DC3256" w:rsidP="00DC3256">
      <w:r w:rsidRPr="004F4A00">
        <w:t>The Eucharist is not only “a new Christian invention”—it also develops from Jewish patterns of meal and blessing.</w:t>
      </w:r>
    </w:p>
    <w:p w14:paraId="2379BCDD" w14:textId="77777777" w:rsidR="00DC3256" w:rsidRPr="004F4A00" w:rsidRDefault="00DC3256" w:rsidP="00DC3256">
      <w:r w:rsidRPr="004F4A00">
        <w:t>A liturgical handbook summarizes Jewish/Hebrew roots of the Eucharist as found </w:t>
      </w:r>
      <w:r w:rsidRPr="004F4A00">
        <w:rPr>
          <w:b/>
          <w:bCs/>
        </w:rPr>
        <w:t>primarily in</w:t>
      </w:r>
      <w:r w:rsidRPr="004F4A00">
        <w:t>:</w:t>
      </w:r>
    </w:p>
    <w:p w14:paraId="104F3C1C" w14:textId="77777777" w:rsidR="00DC3256" w:rsidRPr="004F4A00" w:rsidRDefault="00DC3256" w:rsidP="00DC3256">
      <w:pPr>
        <w:numPr>
          <w:ilvl w:val="0"/>
          <w:numId w:val="12"/>
        </w:numPr>
      </w:pPr>
      <w:r w:rsidRPr="004F4A00">
        <w:rPr>
          <w:b/>
          <w:bCs/>
        </w:rPr>
        <w:t>meal</w:t>
      </w:r>
      <w:r w:rsidRPr="004F4A00">
        <w:t>,</w:t>
      </w:r>
    </w:p>
    <w:p w14:paraId="4AC1BF22" w14:textId="77777777" w:rsidR="00DC3256" w:rsidRPr="004F4A00" w:rsidRDefault="00DC3256" w:rsidP="00DC3256">
      <w:pPr>
        <w:numPr>
          <w:ilvl w:val="0"/>
          <w:numId w:val="12"/>
        </w:numPr>
      </w:pPr>
      <w:r w:rsidRPr="004F4A00">
        <w:rPr>
          <w:b/>
          <w:bCs/>
        </w:rPr>
        <w:t>meal blessing prayers</w:t>
      </w:r>
      <w:r w:rsidRPr="004F4A00">
        <w:t>,</w:t>
      </w:r>
    </w:p>
    <w:p w14:paraId="05CE67B4" w14:textId="77777777" w:rsidR="00DC3256" w:rsidRPr="004F4A00" w:rsidRDefault="00DC3256" w:rsidP="00DC3256">
      <w:pPr>
        <w:numPr>
          <w:ilvl w:val="0"/>
          <w:numId w:val="12"/>
        </w:numPr>
      </w:pPr>
      <w:r w:rsidRPr="004F4A00">
        <w:t>the </w:t>
      </w:r>
      <w:r w:rsidRPr="004F4A00">
        <w:rPr>
          <w:b/>
          <w:bCs/>
        </w:rPr>
        <w:t>memorial command</w:t>
      </w:r>
      <w:r w:rsidRPr="004F4A00">
        <w:t>,</w:t>
      </w:r>
    </w:p>
    <w:p w14:paraId="5A6D0A87" w14:textId="77777777" w:rsidR="00DC3256" w:rsidRPr="004F4A00" w:rsidRDefault="00DC3256" w:rsidP="00DC3256">
      <w:pPr>
        <w:numPr>
          <w:ilvl w:val="0"/>
          <w:numId w:val="12"/>
        </w:numPr>
      </w:pPr>
      <w:r w:rsidRPr="004F4A00">
        <w:t>and symbolism of </w:t>
      </w:r>
      <w:r w:rsidRPr="004F4A00">
        <w:rPr>
          <w:b/>
          <w:bCs/>
        </w:rPr>
        <w:t>bread and wine</w:t>
      </w:r>
      <w:r w:rsidRPr="004F4A00">
        <w:t>. 3</w:t>
      </w:r>
    </w:p>
    <w:p w14:paraId="2439C858" w14:textId="77777777" w:rsidR="00DC3256" w:rsidRPr="004F4A00" w:rsidRDefault="00DC3256" w:rsidP="00DC3256">
      <w:r w:rsidRPr="004F4A00">
        <w:lastRenderedPageBreak/>
        <w:t>It also points to Jewish practices of sacrifice—especially </w:t>
      </w:r>
      <w:r w:rsidRPr="004F4A00">
        <w:rPr>
          <w:b/>
          <w:bCs/>
        </w:rPr>
        <w:t>communion sacrifice</w:t>
      </w:r>
      <w:r w:rsidRPr="004F4A00">
        <w:t>—and the joining of </w:t>
      </w:r>
      <w:r w:rsidRPr="004F4A00">
        <w:rPr>
          <w:b/>
          <w:bCs/>
        </w:rPr>
        <w:t>prayers of praise</w:t>
      </w:r>
      <w:r w:rsidRPr="004F4A00">
        <w:t> to the meal. 3</w:t>
      </w:r>
    </w:p>
    <w:p w14:paraId="57C78FA4" w14:textId="77777777" w:rsidR="00DC3256" w:rsidRPr="004F4A00" w:rsidRDefault="00DC3256" w:rsidP="00DC3256">
      <w:r w:rsidRPr="004F4A00">
        <w:t>So, when early Christians celebrated the Eucharist, they were participating in a recognizable Jewish “grammar” (meal + blessing + memory), now fulfilled in Christ. 3</w:t>
      </w:r>
    </w:p>
    <w:p w14:paraId="1DDE5ED9" w14:textId="77777777" w:rsidR="00DC3256" w:rsidRPr="004F4A00" w:rsidRDefault="00000000" w:rsidP="00DC3256">
      <w:r>
        <w:pict w14:anchorId="6489C683">
          <v:rect id="_x0000_i1027" style="width:0;height:0" o:hralign="center" o:hrstd="t" o:hr="t" fillcolor="#a0a0a0" stroked="f"/>
        </w:pict>
      </w:r>
    </w:p>
    <w:p w14:paraId="76E95D41" w14:textId="77777777" w:rsidR="00DC3256" w:rsidRPr="004F4A00" w:rsidRDefault="00DC3256" w:rsidP="00DC3256">
      <w:pPr>
        <w:rPr>
          <w:b/>
          <w:bCs/>
        </w:rPr>
      </w:pPr>
      <w:r w:rsidRPr="004F4A00">
        <w:rPr>
          <w:b/>
          <w:bCs/>
        </w:rPr>
        <w:t>Handout: A Concrete Example Track—Psalms and “righteousness”</w:t>
      </w:r>
    </w:p>
    <w:p w14:paraId="71AB902E" w14:textId="77777777" w:rsidR="00DC3256" w:rsidRPr="004F4A00" w:rsidRDefault="00DC3256" w:rsidP="00DC3256">
      <w:r w:rsidRPr="004F4A00">
        <w:t>To see Jewish ethical language inside the Bible that Christians inherited, consider the Psalms’ recurring themes of “righteousness/justice.”</w:t>
      </w:r>
    </w:p>
    <w:p w14:paraId="5DC7216E" w14:textId="77777777" w:rsidR="00DC3256" w:rsidRPr="004F4A00" w:rsidRDefault="00DC3256" w:rsidP="00DC3256">
      <w:r w:rsidRPr="004F4A00">
        <w:t>A study on Psalms notes that:</w:t>
      </w:r>
    </w:p>
    <w:p w14:paraId="3B5A6861" w14:textId="77777777" w:rsidR="00DC3256" w:rsidRPr="004F4A00" w:rsidRDefault="00DC3256" w:rsidP="00DC3256">
      <w:pPr>
        <w:numPr>
          <w:ilvl w:val="0"/>
          <w:numId w:val="13"/>
        </w:numPr>
      </w:pPr>
      <w:r w:rsidRPr="004F4A00">
        <w:t>There is broad Jewish-Christian consensus on “doing right” themes (e.g., love of God and neighbor), while other psalms about “being right with God” can diverge in reception and interpretation. 6</w:t>
      </w:r>
    </w:p>
    <w:p w14:paraId="16632EE7" w14:textId="77777777" w:rsidR="00DC3256" w:rsidRPr="004F4A00" w:rsidRDefault="00DC3256" w:rsidP="00DC3256">
      <w:pPr>
        <w:numPr>
          <w:ilvl w:val="0"/>
          <w:numId w:val="13"/>
        </w:numPr>
      </w:pPr>
      <w:r w:rsidRPr="004F4A00">
        <w:t>In the Psalter, “justice and righteousness” often describes </w:t>
      </w:r>
      <w:r w:rsidRPr="004F4A00">
        <w:rPr>
          <w:b/>
          <w:bCs/>
        </w:rPr>
        <w:t>God</w:t>
      </w:r>
      <w:r w:rsidRPr="004F4A00">
        <w:t>, and “doing right” for others is sometimes framed in explicitly </w:t>
      </w:r>
      <w:r w:rsidRPr="004F4A00">
        <w:rPr>
          <w:b/>
          <w:bCs/>
        </w:rPr>
        <w:t>kingly</w:t>
      </w:r>
      <w:r w:rsidRPr="004F4A00">
        <w:t> terms (e.g., royal psalms protecting the poor). 6</w:t>
      </w:r>
    </w:p>
    <w:p w14:paraId="760B0957" w14:textId="77777777" w:rsidR="00DC3256" w:rsidRPr="004F4A00" w:rsidRDefault="00DC3256" w:rsidP="00DC3256">
      <w:r w:rsidRPr="004F4A00">
        <w:t>Even this narrow example shows why Christian reading of the Old Testament requires both </w:t>
      </w:r>
      <w:r w:rsidRPr="004F4A00">
        <w:rPr>
          <w:b/>
          <w:bCs/>
        </w:rPr>
        <w:t>continuity</w:t>
      </w:r>
      <w:r w:rsidRPr="004F4A00">
        <w:t> (shared Scripture) and </w:t>
      </w:r>
      <w:r w:rsidRPr="004F4A00">
        <w:rPr>
          <w:b/>
          <w:bCs/>
        </w:rPr>
        <w:t>careful theological discernment</w:t>
      </w:r>
      <w:r w:rsidRPr="004F4A00">
        <w:t> (how various texts function in Israel, and how Christ fulfills them). 1 6</w:t>
      </w:r>
    </w:p>
    <w:p w14:paraId="4E7514AB" w14:textId="77777777" w:rsidR="00B57CEE" w:rsidRDefault="00000000" w:rsidP="00DC3256">
      <w:r>
        <w:pict w14:anchorId="149168FB">
          <v:rect id="_x0000_i1028" style="width:0;height:0" o:hralign="center" o:bullet="t" o:hrstd="t" o:hr="t" fillcolor="#a0a0a0" stroked="f"/>
        </w:pict>
      </w:r>
    </w:p>
    <w:p w14:paraId="5974AD55" w14:textId="51EEBA7C" w:rsidR="00DC3256" w:rsidRPr="00B57CEE" w:rsidRDefault="00DC3256" w:rsidP="00DC3256">
      <w:r w:rsidRPr="004F4A00">
        <w:rPr>
          <w:b/>
          <w:bCs/>
        </w:rPr>
        <w:t xml:space="preserve"> How to Study This Well (method notes)</w:t>
      </w:r>
    </w:p>
    <w:p w14:paraId="6C2A6DD8" w14:textId="77777777" w:rsidR="00DC3256" w:rsidRPr="004F4A00" w:rsidRDefault="00DC3256" w:rsidP="00DC3256">
      <w:pPr>
        <w:rPr>
          <w:b/>
          <w:bCs/>
        </w:rPr>
      </w:pPr>
      <w:r w:rsidRPr="004F4A00">
        <w:rPr>
          <w:b/>
          <w:bCs/>
        </w:rPr>
        <w:t>Read with both accuracy and Church faith</w:t>
      </w:r>
    </w:p>
    <w:p w14:paraId="32C4DAC0" w14:textId="77777777" w:rsidR="00DC3256" w:rsidRPr="004F4A00" w:rsidRDefault="00DC3256" w:rsidP="00DC3256">
      <w:r w:rsidRPr="004F4A00">
        <w:t>Pope Pius XII stresses that spiritual benefit from Scripture is “genuine and solid” in proportion to </w:t>
      </w:r>
      <w:r w:rsidRPr="004F4A00">
        <w:rPr>
          <w:b/>
          <w:bCs/>
        </w:rPr>
        <w:t>“certain and accurate knowledge of what the sacred author has said,”</w:t>
      </w:r>
      <w:r w:rsidRPr="004F4A00">
        <w:t> and he lists tools like philology, geography, history, archaeology, textual criticism, and the sciences—so that God’s truth “may shine forth” for minds and hearts. 7</w:t>
      </w:r>
    </w:p>
    <w:p w14:paraId="4508C527" w14:textId="77777777" w:rsidR="00DC3256" w:rsidRPr="004F4A00" w:rsidRDefault="00DC3256" w:rsidP="00DC3256">
      <w:pPr>
        <w:rPr>
          <w:b/>
          <w:bCs/>
        </w:rPr>
      </w:pPr>
      <w:r w:rsidRPr="004F4A00">
        <w:rPr>
          <w:b/>
          <w:bCs/>
        </w:rPr>
        <w:t>Then connect texts to Christ’s fulfillment—without reducing everything to one-liners</w:t>
      </w:r>
    </w:p>
    <w:p w14:paraId="7C8034FE" w14:textId="77777777" w:rsidR="00DC3256" w:rsidRPr="004F4A00" w:rsidRDefault="00DC3256" w:rsidP="00DC3256">
      <w:r w:rsidRPr="004F4A00">
        <w:t>Verbum Domini explains that fulfillment includes </w:t>
      </w:r>
      <w:r w:rsidRPr="004F4A00">
        <w:rPr>
          <w:b/>
          <w:bCs/>
        </w:rPr>
        <w:t>continuity, discontinuity, and transcendence</w:t>
      </w:r>
      <w:r w:rsidRPr="004F4A00">
        <w:t>, so study should not be forced into a single simplistic pattern. 1</w:t>
      </w:r>
    </w:p>
    <w:p w14:paraId="5D7DED95" w14:textId="77777777" w:rsidR="00DC3256" w:rsidRPr="004F4A00" w:rsidRDefault="00000000" w:rsidP="00DC3256">
      <w:r>
        <w:pict w14:anchorId="29753369">
          <v:rect id="_x0000_i1029" style="width:0;height:0" o:hralign="center" o:hrstd="t" o:hr="t" fillcolor="#a0a0a0" stroked="f"/>
        </w:pict>
      </w:r>
    </w:p>
    <w:p w14:paraId="7CDE6FAB" w14:textId="77777777" w:rsidR="001B6D4D" w:rsidRDefault="001B6D4D" w:rsidP="00DC3256">
      <w:pPr>
        <w:rPr>
          <w:b/>
          <w:bCs/>
        </w:rPr>
      </w:pPr>
    </w:p>
    <w:p w14:paraId="431049F7" w14:textId="13FD70D6" w:rsidR="00DC3256" w:rsidRPr="004F4A00" w:rsidRDefault="00DC3256" w:rsidP="00DC3256">
      <w:pPr>
        <w:rPr>
          <w:b/>
          <w:bCs/>
        </w:rPr>
      </w:pPr>
      <w:r w:rsidRPr="004F4A00">
        <w:rPr>
          <w:b/>
          <w:bCs/>
        </w:rPr>
        <w:lastRenderedPageBreak/>
        <w:t>Worksheet: Questions for your notes (use with any Old Testament passage)</w:t>
      </w:r>
    </w:p>
    <w:p w14:paraId="62F26497" w14:textId="77777777" w:rsidR="00DC3256" w:rsidRPr="004F4A00" w:rsidRDefault="00DC3256" w:rsidP="00DC3256">
      <w:pPr>
        <w:numPr>
          <w:ilvl w:val="0"/>
          <w:numId w:val="14"/>
        </w:numPr>
      </w:pPr>
      <w:r w:rsidRPr="004F4A00">
        <w:rPr>
          <w:b/>
          <w:bCs/>
        </w:rPr>
        <w:t>What is the Jewish context of this passage?</w:t>
      </w:r>
      <w:r w:rsidRPr="004F4A00">
        <w:t> (Who speaks? to whom? within what worship or covenant setting?) 7</w:t>
      </w:r>
    </w:p>
    <w:p w14:paraId="0809E939" w14:textId="77777777" w:rsidR="00DC3256" w:rsidRPr="004F4A00" w:rsidRDefault="00DC3256" w:rsidP="00DC3256">
      <w:pPr>
        <w:numPr>
          <w:ilvl w:val="0"/>
          <w:numId w:val="14"/>
        </w:numPr>
      </w:pPr>
      <w:r w:rsidRPr="004F4A00">
        <w:rPr>
          <w:b/>
          <w:bCs/>
        </w:rPr>
        <w:t>Is the New Testament treating this text with continuity, discontinuity, or fulfillment/transcendence (or all three)?</w:t>
      </w:r>
      <w:r w:rsidRPr="004F4A00">
        <w:t> 1</w:t>
      </w:r>
    </w:p>
    <w:p w14:paraId="7F44E68D" w14:textId="77777777" w:rsidR="00DC3256" w:rsidRPr="004F4A00" w:rsidRDefault="00DC3256" w:rsidP="00DC3256">
      <w:pPr>
        <w:numPr>
          <w:ilvl w:val="0"/>
          <w:numId w:val="14"/>
        </w:numPr>
      </w:pPr>
      <w:r w:rsidRPr="004F4A00">
        <w:rPr>
          <w:b/>
          <w:bCs/>
        </w:rPr>
        <w:t>How does it fit the “Scriptures cannot be rejected” principle?</w:t>
      </w:r>
      <w:r w:rsidRPr="004F4A00">
        <w:t> 1</w:t>
      </w:r>
    </w:p>
    <w:p w14:paraId="114DADEE" w14:textId="77777777" w:rsidR="00DC3256" w:rsidRPr="004F4A00" w:rsidRDefault="00DC3256" w:rsidP="00DC3256">
      <w:pPr>
        <w:numPr>
          <w:ilvl w:val="0"/>
          <w:numId w:val="14"/>
        </w:numPr>
      </w:pPr>
      <w:r w:rsidRPr="004F4A00">
        <w:rPr>
          <w:b/>
          <w:bCs/>
        </w:rPr>
        <w:t>Does it illuminate Christ’s identity and mission as the heir/fulfillment of Israel’s Scriptures?</w:t>
      </w:r>
      <w:r w:rsidRPr="004F4A00">
        <w:t> 4 1</w:t>
      </w:r>
    </w:p>
    <w:p w14:paraId="6C163CEE" w14:textId="77777777" w:rsidR="00DC3256" w:rsidRPr="004F4A00" w:rsidRDefault="00DC3256" w:rsidP="00DC3256">
      <w:pPr>
        <w:numPr>
          <w:ilvl w:val="0"/>
          <w:numId w:val="14"/>
        </w:numPr>
      </w:pPr>
      <w:r w:rsidRPr="004F4A00">
        <w:rPr>
          <w:b/>
          <w:bCs/>
        </w:rPr>
        <w:t>Does the theme show up in early worship life</w:t>
      </w:r>
      <w:r w:rsidRPr="004F4A00">
        <w:t> (meal, blessing, praise, covenant memorial), especially as it relates to the Eucharist? 3</w:t>
      </w:r>
    </w:p>
    <w:p w14:paraId="2C2C5C84" w14:textId="77777777" w:rsidR="00DC3256" w:rsidRPr="004F4A00" w:rsidRDefault="00000000" w:rsidP="00DC3256">
      <w:r>
        <w:pict w14:anchorId="10420EE6">
          <v:rect id="_x0000_i1030" style="width:0;height:0" o:hralign="center" o:hrstd="t" o:hr="t" fillcolor="#a0a0a0" stroked="f"/>
        </w:pict>
      </w:r>
    </w:p>
    <w:p w14:paraId="3CE5F6B7" w14:textId="77777777" w:rsidR="00DC3256" w:rsidRPr="004F4A00" w:rsidRDefault="00DC3256" w:rsidP="00DC3256">
      <w:pPr>
        <w:rPr>
          <w:b/>
          <w:bCs/>
        </w:rPr>
      </w:pPr>
      <w:r w:rsidRPr="004F4A00">
        <w:rPr>
          <w:b/>
          <w:bCs/>
        </w:rPr>
        <w:t>Mini-Reading Plan (3 sessions)</w:t>
      </w:r>
    </w:p>
    <w:p w14:paraId="5D369E40" w14:textId="77777777" w:rsidR="00DC3256" w:rsidRPr="004F4A00" w:rsidRDefault="00DC3256" w:rsidP="00DC3256">
      <w:pPr>
        <w:rPr>
          <w:b/>
          <w:bCs/>
        </w:rPr>
      </w:pPr>
      <w:r w:rsidRPr="004F4A00">
        <w:rPr>
          <w:b/>
          <w:bCs/>
        </w:rPr>
        <w:t>Session 1: “Why the Old Testament is not optional”</w:t>
      </w:r>
    </w:p>
    <w:p w14:paraId="1361D9F0" w14:textId="77777777" w:rsidR="00DC3256" w:rsidRPr="004F4A00" w:rsidRDefault="00DC3256" w:rsidP="00DC3256">
      <w:pPr>
        <w:numPr>
          <w:ilvl w:val="0"/>
          <w:numId w:val="15"/>
        </w:numPr>
      </w:pPr>
      <w:r w:rsidRPr="004F4A00">
        <w:t>Focus: NT acknowledges OT; roots of Christianity; resistance to Marcionism. 1 4</w:t>
      </w:r>
    </w:p>
    <w:p w14:paraId="2BF29A1D" w14:textId="77777777" w:rsidR="00DC3256" w:rsidRPr="004F4A00" w:rsidRDefault="00DC3256" w:rsidP="00DC3256">
      <w:pPr>
        <w:rPr>
          <w:b/>
          <w:bCs/>
        </w:rPr>
      </w:pPr>
      <w:r w:rsidRPr="004F4A00">
        <w:rPr>
          <w:b/>
          <w:bCs/>
        </w:rPr>
        <w:t>Session 2: “Fulfillment—continuity + discontinuity + transcendence”</w:t>
      </w:r>
    </w:p>
    <w:p w14:paraId="150F20C8" w14:textId="77777777" w:rsidR="00DC3256" w:rsidRPr="004F4A00" w:rsidRDefault="00DC3256" w:rsidP="00DC3256">
      <w:pPr>
        <w:numPr>
          <w:ilvl w:val="0"/>
          <w:numId w:val="16"/>
        </w:numPr>
      </w:pPr>
      <w:r w:rsidRPr="004F4A00">
        <w:t>Focus: interpretive dimensions of “fulfillment.” 1</w:t>
      </w:r>
    </w:p>
    <w:p w14:paraId="00694EC2" w14:textId="77777777" w:rsidR="00DC3256" w:rsidRPr="004F4A00" w:rsidRDefault="00DC3256" w:rsidP="00DC3256">
      <w:pPr>
        <w:rPr>
          <w:b/>
          <w:bCs/>
        </w:rPr>
      </w:pPr>
      <w:r w:rsidRPr="004F4A00">
        <w:rPr>
          <w:b/>
          <w:bCs/>
        </w:rPr>
        <w:t>Session 3: “Jewish worship patterns and the Eucharist”</w:t>
      </w:r>
    </w:p>
    <w:p w14:paraId="62FF217F" w14:textId="77777777" w:rsidR="00DC3256" w:rsidRPr="004F4A00" w:rsidRDefault="00DC3256" w:rsidP="00DC3256">
      <w:pPr>
        <w:numPr>
          <w:ilvl w:val="0"/>
          <w:numId w:val="17"/>
        </w:numPr>
      </w:pPr>
      <w:r w:rsidRPr="004F4A00">
        <w:t>Focus: meal/blessing/memorial symbolism and sacrifice symbolism. 3</w:t>
      </w:r>
    </w:p>
    <w:p w14:paraId="70B4E7BE" w14:textId="77777777" w:rsidR="00DC3256" w:rsidRPr="004F4A00" w:rsidRDefault="00000000" w:rsidP="00DC3256">
      <w:r>
        <w:pict w14:anchorId="51425988">
          <v:rect id="_x0000_i1031" style="width:0;height:0" o:hralign="center" o:hrstd="t" o:hr="t" fillcolor="#a0a0a0" stroked="f"/>
        </w:pict>
      </w:r>
    </w:p>
    <w:p w14:paraId="4421A639" w14:textId="77777777" w:rsidR="00D533FF" w:rsidRPr="00D533FF" w:rsidRDefault="00D533FF" w:rsidP="00D533FF">
      <w:pPr>
        <w:rPr>
          <w:rFonts w:ascii="Arial" w:hAnsi="Arial" w:cs="Arial"/>
          <w:color w:val="27272A"/>
          <w:shd w:val="clear" w:color="auto" w:fill="FFFFFF"/>
        </w:rPr>
      </w:pPr>
      <w:r w:rsidRPr="00053DD1">
        <w:rPr>
          <w:rFonts w:ascii="Arial" w:hAnsi="Arial" w:cs="Arial"/>
          <w:b/>
          <w:bCs/>
          <w:color w:val="27272A"/>
          <w:shd w:val="clear" w:color="auto" w:fill="FFFFFF"/>
        </w:rPr>
        <w:t>The Second Temple period</w:t>
      </w:r>
      <w:r w:rsidRPr="00D533FF">
        <w:rPr>
          <w:rFonts w:ascii="Arial" w:hAnsi="Arial" w:cs="Arial"/>
          <w:color w:val="27272A"/>
          <w:shd w:val="clear" w:color="auto" w:fill="FFFFFF"/>
        </w:rPr>
        <w:t xml:space="preserve"> (the world Jesus was born into)</w:t>
      </w:r>
    </w:p>
    <w:p w14:paraId="4F147264" w14:textId="24EB57EF"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 xml:space="preserve">Early Christianity arose during the Second Temple period, when the Temple in Jerusalem was central to Jewish worship. After the return from exile, the Temple was rebuilt and completed in 516 B.C. </w:t>
      </w:r>
      <w:r w:rsidR="001A0B0C">
        <w:rPr>
          <w:rStyle w:val="FootnoteReference"/>
          <w:rFonts w:ascii="Arial" w:hAnsi="Arial" w:cs="Arial"/>
          <w:color w:val="27272A"/>
          <w:shd w:val="clear" w:color="auto" w:fill="FFFFFF"/>
        </w:rPr>
        <w:footnoteReference w:id="22"/>
      </w:r>
    </w:p>
    <w:p w14:paraId="56561ED2" w14:textId="574ED11B"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 xml:space="preserve">In this period, major Jewish religious life was shaped around the Temple’s sacrificial worship and pilgrimage festivals. The three major national festivals—Passover, Pentecost, and Tabernacles—were occasions for special Temple service, and “all males were supposed to appear in Jerusalem” for these feasts. </w:t>
      </w:r>
      <w:r w:rsidR="009D6DBF">
        <w:rPr>
          <w:rStyle w:val="FootnoteReference"/>
          <w:rFonts w:ascii="Arial" w:hAnsi="Arial" w:cs="Arial"/>
          <w:color w:val="27272A"/>
          <w:shd w:val="clear" w:color="auto" w:fill="FFFFFF"/>
        </w:rPr>
        <w:footnoteReference w:id="23"/>
      </w:r>
    </w:p>
    <w:p w14:paraId="40E952CE" w14:textId="77777777" w:rsidR="00D533FF" w:rsidRPr="006F4F30" w:rsidRDefault="00D533FF" w:rsidP="00D533FF">
      <w:pPr>
        <w:rPr>
          <w:rFonts w:ascii="Arial" w:hAnsi="Arial" w:cs="Arial"/>
          <w:b/>
          <w:bCs/>
          <w:color w:val="27272A"/>
          <w:shd w:val="clear" w:color="auto" w:fill="FFFFFF"/>
        </w:rPr>
      </w:pPr>
      <w:r w:rsidRPr="006F4F30">
        <w:rPr>
          <w:rFonts w:ascii="Arial" w:hAnsi="Arial" w:cs="Arial"/>
          <w:b/>
          <w:bCs/>
          <w:color w:val="27272A"/>
          <w:shd w:val="clear" w:color="auto" w:fill="FFFFFF"/>
        </w:rPr>
        <w:lastRenderedPageBreak/>
        <w:t>The Temple in Jerusalem</w:t>
      </w:r>
    </w:p>
    <w:p w14:paraId="5AEC3CDC" w14:textId="7FB29AEE"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 xml:space="preserve">The Temple of Jerusalem had a defined sacred structure, with the Holy Place and the Holy of Holies, and it was the place where Israel’s Temple worship took place. </w:t>
      </w:r>
      <w:r w:rsidR="00B16F6F">
        <w:rPr>
          <w:rStyle w:val="FootnoteReference"/>
          <w:rFonts w:ascii="Arial" w:hAnsi="Arial" w:cs="Arial"/>
          <w:color w:val="27272A"/>
          <w:shd w:val="clear" w:color="auto" w:fill="FFFFFF"/>
        </w:rPr>
        <w:footnoteReference w:id="24"/>
      </w:r>
    </w:p>
    <w:p w14:paraId="589BE800" w14:textId="68F61E61"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 xml:space="preserve">(Your draft’s general claim that the Temple was “the absolute center” of Jewish religious life is consistent with the fact that national festivals were celebrated there and that male pilgrimage to Jerusalem was expected for the major feasts.) </w:t>
      </w:r>
      <w:r w:rsidR="00EC400A">
        <w:rPr>
          <w:rStyle w:val="FootnoteReference"/>
          <w:rFonts w:ascii="Arial" w:hAnsi="Arial" w:cs="Arial"/>
          <w:color w:val="27272A"/>
          <w:shd w:val="clear" w:color="auto" w:fill="FFFFFF"/>
        </w:rPr>
        <w:footnoteReference w:id="25"/>
      </w:r>
    </w:p>
    <w:p w14:paraId="7020323F" w14:textId="77777777" w:rsidR="00D533FF" w:rsidRPr="00471D9E" w:rsidRDefault="00D533FF" w:rsidP="00D533FF">
      <w:pPr>
        <w:rPr>
          <w:rFonts w:ascii="Arial" w:hAnsi="Arial" w:cs="Arial"/>
          <w:b/>
          <w:bCs/>
          <w:color w:val="27272A"/>
          <w:shd w:val="clear" w:color="auto" w:fill="FFFFFF"/>
        </w:rPr>
      </w:pPr>
      <w:r w:rsidRPr="00471D9E">
        <w:rPr>
          <w:rFonts w:ascii="Arial" w:hAnsi="Arial" w:cs="Arial"/>
          <w:b/>
          <w:bCs/>
          <w:color w:val="27272A"/>
          <w:shd w:val="clear" w:color="auto" w:fill="FFFFFF"/>
        </w:rPr>
        <w:t>The synagogue (Jewish religious and educational life outside Jerusalem)</w:t>
      </w:r>
    </w:p>
    <w:p w14:paraId="60B06FD0" w14:textId="4807DEF2"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 xml:space="preserve">Besides the Temple, the synagogue served as the key institution for Jewish religious assembly and teaching throughout the land and in the Diaspora. It was a “place of assemblage,” and it also functioned as a center for instruction and communal life. </w:t>
      </w:r>
      <w:r w:rsidR="00231777">
        <w:rPr>
          <w:rStyle w:val="FootnoteReference"/>
          <w:rFonts w:ascii="Arial" w:hAnsi="Arial" w:cs="Arial"/>
          <w:color w:val="27272A"/>
          <w:shd w:val="clear" w:color="auto" w:fill="FFFFFF"/>
        </w:rPr>
        <w:footnoteReference w:id="26"/>
      </w:r>
    </w:p>
    <w:p w14:paraId="006C17EE" w14:textId="67898B11"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 xml:space="preserve">In fact, the New Testament indicates that Moses was “read every sabbath” in synagogues across cities. </w:t>
      </w:r>
      <w:r w:rsidR="00ED4276">
        <w:rPr>
          <w:rStyle w:val="FootnoteReference"/>
          <w:rFonts w:ascii="Arial" w:hAnsi="Arial" w:cs="Arial"/>
          <w:color w:val="27272A"/>
          <w:shd w:val="clear" w:color="auto" w:fill="FFFFFF"/>
        </w:rPr>
        <w:footnoteReference w:id="27"/>
      </w:r>
    </w:p>
    <w:p w14:paraId="4DDEB9D6" w14:textId="77777777"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The diversity of first-century Judaism</w:t>
      </w:r>
    </w:p>
    <w:p w14:paraId="3E99F377" w14:textId="57360493"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 xml:space="preserve">First-century Judaism was not a single uniform pattern; different groups and emphases existed. A key internal fault line was the role of oral traditions (often described as “the traditions of the elders”) alongside the written Law. </w:t>
      </w:r>
      <w:r w:rsidR="00ED4276">
        <w:rPr>
          <w:rStyle w:val="FootnoteReference"/>
          <w:rFonts w:ascii="Arial" w:hAnsi="Arial" w:cs="Arial"/>
          <w:color w:val="27272A"/>
          <w:shd w:val="clear" w:color="auto" w:fill="FFFFFF"/>
        </w:rPr>
        <w:footnoteReference w:id="28"/>
      </w:r>
    </w:p>
    <w:p w14:paraId="331DE716" w14:textId="77777777" w:rsidR="00D533FF" w:rsidRPr="009B15C6" w:rsidRDefault="00D533FF" w:rsidP="00D533FF">
      <w:pPr>
        <w:rPr>
          <w:rFonts w:ascii="Arial" w:hAnsi="Arial" w:cs="Arial"/>
          <w:b/>
          <w:bCs/>
          <w:color w:val="27272A"/>
          <w:shd w:val="clear" w:color="auto" w:fill="FFFFFF"/>
        </w:rPr>
      </w:pPr>
      <w:r w:rsidRPr="009B15C6">
        <w:rPr>
          <w:rFonts w:ascii="Arial" w:hAnsi="Arial" w:cs="Arial"/>
          <w:b/>
          <w:bCs/>
          <w:color w:val="27272A"/>
          <w:shd w:val="clear" w:color="auto" w:fill="FFFFFF"/>
        </w:rPr>
        <w:t>Pharisees (and scribes)</w:t>
      </w:r>
    </w:p>
    <w:p w14:paraId="617150DF" w14:textId="01E36EDB"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 xml:space="preserve">In the sources we have, the Pharisees/scribes are strongly associated with the emphasis on “Traditions of the Elders,” forming a “fence to the Law.” </w:t>
      </w:r>
      <w:r w:rsidR="00490581">
        <w:rPr>
          <w:rStyle w:val="FootnoteReference"/>
          <w:rFonts w:ascii="Arial" w:hAnsi="Arial" w:cs="Arial"/>
          <w:color w:val="27272A"/>
          <w:shd w:val="clear" w:color="auto" w:fill="FFFFFF"/>
        </w:rPr>
        <w:footnoteReference w:id="29"/>
      </w:r>
    </w:p>
    <w:p w14:paraId="53387166" w14:textId="77777777" w:rsidR="00D533FF" w:rsidRPr="009B15C6" w:rsidRDefault="00D533FF" w:rsidP="00D533FF">
      <w:pPr>
        <w:rPr>
          <w:rFonts w:ascii="Arial" w:hAnsi="Arial" w:cs="Arial"/>
          <w:b/>
          <w:bCs/>
          <w:color w:val="27272A"/>
          <w:shd w:val="clear" w:color="auto" w:fill="FFFFFF"/>
        </w:rPr>
      </w:pPr>
      <w:r w:rsidRPr="009B15C6">
        <w:rPr>
          <w:rFonts w:ascii="Arial" w:hAnsi="Arial" w:cs="Arial"/>
          <w:b/>
          <w:bCs/>
          <w:color w:val="27272A"/>
          <w:shd w:val="clear" w:color="auto" w:fill="FFFFFF"/>
        </w:rPr>
        <w:t>Sadducees</w:t>
      </w:r>
    </w:p>
    <w:p w14:paraId="7325B661" w14:textId="4FB57DD8"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The Sadducees are described as a politico-religious sect dominant among the priestly class in the Greek and Roman period. They are distinguished by:</w:t>
      </w:r>
    </w:p>
    <w:p w14:paraId="08D2911E" w14:textId="77777777"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a tendency to adhere more to the “letter of the Law,”</w:t>
      </w:r>
    </w:p>
    <w:p w14:paraId="1115D257" w14:textId="77777777"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rejection of the “oral traditions” maintained by the Pharisees,</w:t>
      </w:r>
    </w:p>
    <w:p w14:paraId="0D330E0E" w14:textId="76970196"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 xml:space="preserve">and denial of beliefs such as the resurrection, immortality of the soul, and angels. </w:t>
      </w:r>
      <w:r w:rsidR="00D40119">
        <w:rPr>
          <w:rStyle w:val="FootnoteReference"/>
          <w:rFonts w:ascii="Arial" w:hAnsi="Arial" w:cs="Arial"/>
          <w:color w:val="27272A"/>
          <w:shd w:val="clear" w:color="auto" w:fill="FFFFFF"/>
        </w:rPr>
        <w:footnoteReference w:id="30"/>
      </w:r>
    </w:p>
    <w:p w14:paraId="205F1532" w14:textId="2FDA5001"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lastRenderedPageBreak/>
        <w:t xml:space="preserve">The provided sources also note that the divergent interpretations between Pharisees and Sadducees generated “heated controversies,” especially regarding future life. </w:t>
      </w:r>
      <w:r w:rsidR="000D67D5">
        <w:rPr>
          <w:rStyle w:val="FootnoteReference"/>
          <w:rFonts w:ascii="Arial" w:hAnsi="Arial" w:cs="Arial"/>
          <w:color w:val="27272A"/>
          <w:shd w:val="clear" w:color="auto" w:fill="FFFFFF"/>
        </w:rPr>
        <w:footnoteReference w:id="31"/>
      </w:r>
    </w:p>
    <w:p w14:paraId="7ABCEA04" w14:textId="77777777" w:rsidR="00D533FF" w:rsidRPr="009B15C6" w:rsidRDefault="00D533FF" w:rsidP="00D533FF">
      <w:pPr>
        <w:rPr>
          <w:rFonts w:ascii="Arial" w:hAnsi="Arial" w:cs="Arial"/>
          <w:b/>
          <w:bCs/>
          <w:color w:val="27272A"/>
          <w:shd w:val="clear" w:color="auto" w:fill="FFFFFF"/>
        </w:rPr>
      </w:pPr>
      <w:r w:rsidRPr="009B15C6">
        <w:rPr>
          <w:rFonts w:ascii="Arial" w:hAnsi="Arial" w:cs="Arial"/>
          <w:b/>
          <w:bCs/>
          <w:color w:val="27272A"/>
          <w:shd w:val="clear" w:color="auto" w:fill="FFFFFF"/>
        </w:rPr>
        <w:t>Essenes and Zealots (what your draft should change)</w:t>
      </w:r>
    </w:p>
    <w:p w14:paraId="5DC611AD" w14:textId="7BE8FFD9"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Your draft identifies an Essene “ascetic withdrawal” and mentions Dead Sea Scrolls and Qumran. However, none of that is supported in the provided references.</w:t>
      </w:r>
    </w:p>
    <w:p w14:paraId="12A0F7D0" w14:textId="16565810"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 xml:space="preserve">What we can say from the provided material is that Essenes are mentioned as holding eschatological beliefs (e.g., preexistence of souls and a bliss/woe state according to deeds). </w:t>
      </w:r>
      <w:r w:rsidR="00397BA6">
        <w:rPr>
          <w:rStyle w:val="FootnoteReference"/>
          <w:rFonts w:ascii="Arial" w:hAnsi="Arial" w:cs="Arial"/>
          <w:color w:val="27272A"/>
          <w:shd w:val="clear" w:color="auto" w:fill="FFFFFF"/>
        </w:rPr>
        <w:footnoteReference w:id="32"/>
      </w:r>
    </w:p>
    <w:p w14:paraId="3B8D920C" w14:textId="056ADF23" w:rsidR="00D533FF" w:rsidRPr="00D533FF" w:rsidRDefault="009B15C6" w:rsidP="00D533FF">
      <w:pPr>
        <w:rPr>
          <w:rFonts w:ascii="Arial" w:hAnsi="Arial" w:cs="Arial"/>
          <w:color w:val="27272A"/>
          <w:shd w:val="clear" w:color="auto" w:fill="FFFFFF"/>
        </w:rPr>
      </w:pPr>
      <w:r w:rsidRPr="00D533FF">
        <w:rPr>
          <w:rFonts w:ascii="Arial" w:hAnsi="Arial" w:cs="Arial"/>
          <w:color w:val="27272A"/>
          <w:shd w:val="clear" w:color="auto" w:fill="FFFFFF"/>
        </w:rPr>
        <w:t>So,</w:t>
      </w:r>
      <w:r w:rsidR="00D533FF" w:rsidRPr="00D533FF">
        <w:rPr>
          <w:rFonts w:ascii="Arial" w:hAnsi="Arial" w:cs="Arial"/>
          <w:color w:val="27272A"/>
          <w:shd w:val="clear" w:color="auto" w:fill="FFFFFF"/>
        </w:rPr>
        <w:t xml:space="preserve"> the Essenes section should be rewritten more cautiously and not assert Qumran-specific claims unless you supply sources for them.</w:t>
      </w:r>
    </w:p>
    <w:p w14:paraId="1158E3C6" w14:textId="562197CF" w:rsidR="00471D9E"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Your Zealots section similarly includes details (political program, views of Rome, violent rebellion) that are not supported by the provided references. A correction would be to either remove that section or rewrite it without those specifics.</w:t>
      </w:r>
    </w:p>
    <w:p w14:paraId="2EEB2ECC" w14:textId="77777777" w:rsidR="00D533FF" w:rsidRPr="00397BA6" w:rsidRDefault="00D533FF" w:rsidP="00D533FF">
      <w:pPr>
        <w:rPr>
          <w:rFonts w:ascii="Arial" w:hAnsi="Arial" w:cs="Arial"/>
          <w:b/>
          <w:bCs/>
          <w:color w:val="27272A"/>
          <w:shd w:val="clear" w:color="auto" w:fill="FFFFFF"/>
        </w:rPr>
      </w:pPr>
      <w:r w:rsidRPr="00397BA6">
        <w:rPr>
          <w:rFonts w:ascii="Arial" w:hAnsi="Arial" w:cs="Arial"/>
          <w:b/>
          <w:bCs/>
          <w:color w:val="27272A"/>
          <w:shd w:val="clear" w:color="auto" w:fill="FFFFFF"/>
        </w:rPr>
        <w:t>Crucial Jewish concepts that shaped Christianity</w:t>
      </w:r>
    </w:p>
    <w:p w14:paraId="34B5A19D" w14:textId="0A4EA507"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Early Christians generally did not reject Judaism’s Scriptures or covenantal framework; rather, they reread them in light of Christ.</w:t>
      </w:r>
    </w:p>
    <w:p w14:paraId="782EBFC2" w14:textId="350E7688"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 xml:space="preserve">A key background feature of Judaism (as described here) is the watchword of legal righteousness and the concern for faithful observance—through separation, purifications, and “traditional enactments.” </w:t>
      </w:r>
      <w:r w:rsidR="00FF5D00">
        <w:rPr>
          <w:rStyle w:val="FootnoteReference"/>
          <w:rFonts w:ascii="Arial" w:hAnsi="Arial" w:cs="Arial"/>
          <w:color w:val="27272A"/>
          <w:shd w:val="clear" w:color="auto" w:fill="FFFFFF"/>
        </w:rPr>
        <w:footnoteReference w:id="33"/>
      </w:r>
    </w:p>
    <w:p w14:paraId="347F6D5D" w14:textId="77777777" w:rsidR="00D533FF" w:rsidRPr="00D533FF" w:rsidRDefault="00D533FF" w:rsidP="00D533FF">
      <w:pPr>
        <w:rPr>
          <w:rFonts w:ascii="Arial" w:hAnsi="Arial" w:cs="Arial"/>
          <w:color w:val="27272A"/>
          <w:shd w:val="clear" w:color="auto" w:fill="FFFFFF"/>
        </w:rPr>
      </w:pPr>
      <w:r w:rsidRPr="00471D9E">
        <w:rPr>
          <w:rFonts w:ascii="Arial" w:hAnsi="Arial" w:cs="Arial"/>
          <w:b/>
          <w:bCs/>
          <w:color w:val="27272A"/>
          <w:shd w:val="clear" w:color="auto" w:fill="FFFFFF"/>
        </w:rPr>
        <w:t>The transition</w:t>
      </w:r>
      <w:r w:rsidRPr="00D533FF">
        <w:rPr>
          <w:rFonts w:ascii="Arial" w:hAnsi="Arial" w:cs="Arial"/>
          <w:color w:val="27272A"/>
          <w:shd w:val="clear" w:color="auto" w:fill="FFFFFF"/>
        </w:rPr>
        <w:t>: how Jewish Christianity related to Gentiles</w:t>
      </w:r>
    </w:p>
    <w:p w14:paraId="0A137EA2" w14:textId="6AC93ED3"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Your draft’s general narrative (early church rooted in Jewish worship, then widening to Gentiles) is broadly coherent, but some of your specific event-sequence details (e.g., Stephen “triggered persecution that scattered believers” and precise boundary-shattering mechanisms) are not supported by the provided citations.</w:t>
      </w:r>
    </w:p>
    <w:p w14:paraId="41BF01CB" w14:textId="423776C1"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The one part we can correct with certainty from the provided material is how Christian worship developed in relation to the synagogue model:</w:t>
      </w:r>
    </w:p>
    <w:p w14:paraId="57B4AC79" w14:textId="77777777"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The Church “substituted Sunday for the Sabbath,”</w:t>
      </w:r>
    </w:p>
    <w:p w14:paraId="49499518" w14:textId="77777777"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rejected the Jewish clean/unclean distinction “in the very beginning,”</w:t>
      </w:r>
    </w:p>
    <w:p w14:paraId="46FCDEF2" w14:textId="3630EB3C" w:rsidR="00D3242C" w:rsidRPr="00E05E04"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lastRenderedPageBreak/>
        <w:t xml:space="preserve">yet borrowed synagogue meeting patterns—psalms, Sacred Books, reading, and exhortation/homily. </w:t>
      </w:r>
      <w:r w:rsidR="00FF5D00">
        <w:rPr>
          <w:rStyle w:val="FootnoteReference"/>
          <w:rFonts w:ascii="Arial" w:hAnsi="Arial" w:cs="Arial"/>
          <w:color w:val="27272A"/>
          <w:shd w:val="clear" w:color="auto" w:fill="FFFFFF"/>
        </w:rPr>
        <w:footnoteReference w:id="34"/>
      </w:r>
    </w:p>
    <w:p w14:paraId="68B4F34B" w14:textId="2C72B0FF" w:rsidR="00D533FF" w:rsidRPr="00471D9E" w:rsidRDefault="00D533FF" w:rsidP="00D533FF">
      <w:pPr>
        <w:rPr>
          <w:rFonts w:ascii="Arial" w:hAnsi="Arial" w:cs="Arial"/>
          <w:b/>
          <w:bCs/>
          <w:color w:val="27272A"/>
          <w:shd w:val="clear" w:color="auto" w:fill="FFFFFF"/>
        </w:rPr>
      </w:pPr>
      <w:r w:rsidRPr="00471D9E">
        <w:rPr>
          <w:rFonts w:ascii="Arial" w:hAnsi="Arial" w:cs="Arial"/>
          <w:b/>
          <w:bCs/>
          <w:color w:val="27272A"/>
          <w:shd w:val="clear" w:color="auto" w:fill="FFFFFF"/>
        </w:rPr>
        <w:t>The final break (and lasting roots)</w:t>
      </w:r>
    </w:p>
    <w:p w14:paraId="23AB2186" w14:textId="77D6CCFC"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 xml:space="preserve">It’s correct that the destruction of Jerusalem was catastrophic for Temple-centered worship. After the fall of Jerusalem (A.D. 70), the sources describe the end of Judea as a distinct political district and subsequent changes for Jewish religious life. </w:t>
      </w:r>
      <w:r w:rsidR="00EA4121">
        <w:rPr>
          <w:rStyle w:val="FootnoteReference"/>
          <w:rFonts w:ascii="Arial" w:hAnsi="Arial" w:cs="Arial"/>
          <w:color w:val="27272A"/>
          <w:shd w:val="clear" w:color="auto" w:fill="FFFFFF"/>
        </w:rPr>
        <w:footnoteReference w:id="35"/>
      </w:r>
      <w:r w:rsidRPr="00D533FF">
        <w:rPr>
          <w:rFonts w:ascii="Arial" w:hAnsi="Arial" w:cs="Arial"/>
          <w:color w:val="27272A"/>
          <w:shd w:val="clear" w:color="auto" w:fill="FFFFFF"/>
        </w:rPr>
        <w:t xml:space="preserve"> </w:t>
      </w:r>
      <w:r w:rsidR="00E644A0">
        <w:rPr>
          <w:rStyle w:val="FootnoteReference"/>
          <w:rFonts w:ascii="Arial" w:hAnsi="Arial" w:cs="Arial"/>
          <w:color w:val="27272A"/>
          <w:shd w:val="clear" w:color="auto" w:fill="FFFFFF"/>
        </w:rPr>
        <w:footnoteReference w:id="36"/>
      </w:r>
    </w:p>
    <w:p w14:paraId="4F030310" w14:textId="42EB54B9"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 xml:space="preserve">However, your draft also states that “rabbinic Judaism emerged… centered on the synagogue and the oral law” directly as a consequence of 70 CE. That particular causal formulation is not explicitly supported by the provided excerpts. What you can support from the references is that the synagogue became a national feature, especially after exile, and that synagogue worship existed early (including New Testament evidence that Moses was read every sabbath). </w:t>
      </w:r>
      <w:r w:rsidR="00EE27B6">
        <w:rPr>
          <w:rStyle w:val="FootnoteReference"/>
          <w:rFonts w:ascii="Arial" w:hAnsi="Arial" w:cs="Arial"/>
          <w:color w:val="27272A"/>
          <w:shd w:val="clear" w:color="auto" w:fill="FFFFFF"/>
        </w:rPr>
        <w:footnoteReference w:id="37"/>
      </w:r>
    </w:p>
    <w:p w14:paraId="315C24D3" w14:textId="51F58AF2"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Finally, your closing “olive shoots” claim (Romans 11:17) is a biblical statement and is fine as a scriptural metaphor, but the provided references here do not supply that text; you can keep it as a biblical quote without needing these encyclopedic citations.</w:t>
      </w:r>
    </w:p>
    <w:p w14:paraId="36FD8D3E" w14:textId="77777777"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What I changed (summary of the corrections)</w:t>
      </w:r>
    </w:p>
    <w:p w14:paraId="38204E27" w14:textId="2C84BBF2"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 xml:space="preserve">Removed/softened Essenes details that weren’t supported (Qumran/Dead Sea Scrolls; focus only on what’s in the provided material). </w:t>
      </w:r>
      <w:r w:rsidR="005E5B1A">
        <w:rPr>
          <w:rStyle w:val="FootnoteReference"/>
          <w:rFonts w:ascii="Arial" w:hAnsi="Arial" w:cs="Arial"/>
          <w:color w:val="27272A"/>
          <w:shd w:val="clear" w:color="auto" w:fill="FFFFFF"/>
        </w:rPr>
        <w:footnoteReference w:id="38"/>
      </w:r>
    </w:p>
    <w:p w14:paraId="4A6304B6" w14:textId="77777777"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Removed the Zealots section’s specific claims (since no provided sources back them).</w:t>
      </w:r>
    </w:p>
    <w:p w14:paraId="53B88C16" w14:textId="014260AA"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 xml:space="preserve">Kept and cited: Second Temple timeline (516 B.C.), Temple festivals/pilgrimage, synagogue function, Pharisee vs Sadducee oral-law emphasis, and Sadducee denial of resurrection/angels. </w:t>
      </w:r>
      <w:r w:rsidR="005679F0">
        <w:rPr>
          <w:rStyle w:val="FootnoteReference"/>
          <w:rFonts w:ascii="Arial" w:hAnsi="Arial" w:cs="Arial"/>
          <w:color w:val="27272A"/>
          <w:shd w:val="clear" w:color="auto" w:fill="FFFFFF"/>
        </w:rPr>
        <w:footnoteReference w:id="39"/>
      </w:r>
      <w:r w:rsidRPr="00D533FF">
        <w:rPr>
          <w:rFonts w:ascii="Arial" w:hAnsi="Arial" w:cs="Arial"/>
          <w:color w:val="27272A"/>
          <w:shd w:val="clear" w:color="auto" w:fill="FFFFFF"/>
        </w:rPr>
        <w:t xml:space="preserve"> </w:t>
      </w:r>
      <w:r w:rsidR="00940258">
        <w:rPr>
          <w:rStyle w:val="FootnoteReference"/>
          <w:rFonts w:ascii="Arial" w:hAnsi="Arial" w:cs="Arial"/>
          <w:color w:val="27272A"/>
          <w:shd w:val="clear" w:color="auto" w:fill="FFFFFF"/>
        </w:rPr>
        <w:footnoteReference w:id="40"/>
      </w:r>
      <w:r w:rsidRPr="00D533FF">
        <w:rPr>
          <w:rFonts w:ascii="Arial" w:hAnsi="Arial" w:cs="Arial"/>
          <w:color w:val="27272A"/>
          <w:shd w:val="clear" w:color="auto" w:fill="FFFFFF"/>
        </w:rPr>
        <w:t xml:space="preserve"> </w:t>
      </w:r>
      <w:r w:rsidR="003C69CF">
        <w:rPr>
          <w:rStyle w:val="FootnoteReference"/>
          <w:rFonts w:ascii="Arial" w:hAnsi="Arial" w:cs="Arial"/>
          <w:color w:val="27272A"/>
          <w:shd w:val="clear" w:color="auto" w:fill="FFFFFF"/>
        </w:rPr>
        <w:footnoteReference w:id="41"/>
      </w:r>
      <w:r w:rsidRPr="00D533FF">
        <w:rPr>
          <w:rFonts w:ascii="Arial" w:hAnsi="Arial" w:cs="Arial"/>
          <w:color w:val="27272A"/>
          <w:shd w:val="clear" w:color="auto" w:fill="FFFFFF"/>
        </w:rPr>
        <w:t xml:space="preserve"> </w:t>
      </w:r>
      <w:r w:rsidR="00917FEC">
        <w:rPr>
          <w:rStyle w:val="FootnoteReference"/>
          <w:rFonts w:ascii="Arial" w:hAnsi="Arial" w:cs="Arial"/>
          <w:color w:val="27272A"/>
          <w:shd w:val="clear" w:color="auto" w:fill="FFFFFF"/>
        </w:rPr>
        <w:footnoteReference w:id="42"/>
      </w:r>
      <w:r w:rsidRPr="00D533FF">
        <w:rPr>
          <w:rFonts w:ascii="Arial" w:hAnsi="Arial" w:cs="Arial"/>
          <w:color w:val="27272A"/>
          <w:shd w:val="clear" w:color="auto" w:fill="FFFFFF"/>
        </w:rPr>
        <w:t xml:space="preserve"> </w:t>
      </w:r>
      <w:r w:rsidR="00162601">
        <w:rPr>
          <w:rStyle w:val="FootnoteReference"/>
          <w:rFonts w:ascii="Arial" w:hAnsi="Arial" w:cs="Arial"/>
          <w:color w:val="27272A"/>
          <w:shd w:val="clear" w:color="auto" w:fill="FFFFFF"/>
        </w:rPr>
        <w:footnoteReference w:id="43"/>
      </w:r>
    </w:p>
    <w:p w14:paraId="69E31D41" w14:textId="77777777" w:rsidR="00D533FF" w:rsidRP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t>Tightened worship-transition language to match what’s explicitly supported: Sunday replacing Sabbath; clean/unclean rejected; synagogue meeting pattern used. 8</w:t>
      </w:r>
    </w:p>
    <w:p w14:paraId="7CCAD691" w14:textId="48E62AB8" w:rsidR="00D533FF" w:rsidRDefault="00D533FF" w:rsidP="00D533FF">
      <w:pPr>
        <w:rPr>
          <w:rFonts w:ascii="Arial" w:hAnsi="Arial" w:cs="Arial"/>
          <w:color w:val="27272A"/>
          <w:shd w:val="clear" w:color="auto" w:fill="FFFFFF"/>
        </w:rPr>
      </w:pPr>
      <w:r w:rsidRPr="00D533FF">
        <w:rPr>
          <w:rFonts w:ascii="Arial" w:hAnsi="Arial" w:cs="Arial"/>
          <w:color w:val="27272A"/>
          <w:shd w:val="clear" w:color="auto" w:fill="FFFFFF"/>
        </w:rPr>
        <w:lastRenderedPageBreak/>
        <w:t>If you paste the next version you want to submit (or tell me whether this is for a school paper, blog, or presentation), the revision can be formatted to your target length and style while staying within the supported claims.</w:t>
      </w:r>
    </w:p>
    <w:p w14:paraId="4DBC0F94" w14:textId="77777777" w:rsidR="008D16D0" w:rsidRPr="00D533FF" w:rsidRDefault="008D16D0" w:rsidP="00D533FF">
      <w:pPr>
        <w:rPr>
          <w:rFonts w:ascii="Arial" w:hAnsi="Arial" w:cs="Arial"/>
          <w:color w:val="27272A"/>
          <w:shd w:val="clear" w:color="auto" w:fill="FFFFFF"/>
        </w:rPr>
      </w:pPr>
    </w:p>
    <w:p w14:paraId="3B5C76CB" w14:textId="77777777" w:rsidR="008D16D0" w:rsidRPr="008D16D0" w:rsidRDefault="008B6B62" w:rsidP="00D533FF">
      <w:pPr>
        <w:pStyle w:val="ListParagraph"/>
        <w:numPr>
          <w:ilvl w:val="0"/>
          <w:numId w:val="5"/>
        </w:numPr>
        <w:rPr>
          <w:rFonts w:ascii="Arial" w:hAnsi="Arial" w:cs="Arial"/>
          <w:color w:val="EE0000"/>
          <w:shd w:val="clear" w:color="auto" w:fill="FFFFFF"/>
        </w:rPr>
      </w:pPr>
      <w:r w:rsidRPr="008D16D0">
        <w:rPr>
          <w:rFonts w:ascii="Arial" w:hAnsi="Arial" w:cs="Arial"/>
          <w:b/>
          <w:bCs/>
          <w:color w:val="EE0000"/>
          <w:shd w:val="clear" w:color="auto" w:fill="FFFFFF"/>
        </w:rPr>
        <w:t xml:space="preserve">Early Christianity did not begin as a new religion set beside Judaism. It arose within Judaism: </w:t>
      </w:r>
    </w:p>
    <w:p w14:paraId="0A029C35" w14:textId="7E4515A6" w:rsidR="008B6B62" w:rsidRPr="00D533FF" w:rsidRDefault="00785142" w:rsidP="008D16D0">
      <w:pPr>
        <w:pStyle w:val="ListParagraph"/>
        <w:ind w:left="360"/>
        <w:rPr>
          <w:rFonts w:ascii="Arial" w:hAnsi="Arial" w:cs="Arial"/>
          <w:color w:val="27272A"/>
          <w:shd w:val="clear" w:color="auto" w:fill="FFFFFF"/>
        </w:rPr>
      </w:pPr>
      <w:r w:rsidRPr="00D533FF">
        <w:rPr>
          <w:rFonts w:ascii="Arial" w:hAnsi="Arial" w:cs="Arial"/>
          <w:color w:val="27272A"/>
          <w:shd w:val="clear" w:color="auto" w:fill="FFFFFF"/>
        </w:rPr>
        <w:t>The</w:t>
      </w:r>
      <w:r w:rsidR="008B6B62" w:rsidRPr="00D533FF">
        <w:rPr>
          <w:rFonts w:ascii="Arial" w:hAnsi="Arial" w:cs="Arial"/>
          <w:color w:val="27272A"/>
          <w:shd w:val="clear" w:color="auto" w:fill="FFFFFF"/>
        </w:rPr>
        <w:t xml:space="preserve"> New Testament and the infant Church emerged from the Jewish world and its way of reading Scripture.</w:t>
      </w:r>
      <w:r w:rsidR="008B6B62" w:rsidRPr="00D533FF">
        <w:rPr>
          <w:rFonts w:ascii="Arial" w:hAnsi="Arial" w:cs="Arial"/>
          <w:b/>
          <w:bCs/>
          <w:color w:val="27272A"/>
          <w:shd w:val="clear" w:color="auto" w:fill="FFFFFF"/>
        </w:rPr>
        <w:t> </w:t>
      </w:r>
      <w:r w:rsidR="002D77D3" w:rsidRPr="00E0770E">
        <w:rPr>
          <w:rStyle w:val="FootnoteReference"/>
          <w:rFonts w:ascii="Arial" w:hAnsi="Arial" w:cs="Arial"/>
          <w:color w:val="27272A"/>
          <w:shd w:val="clear" w:color="auto" w:fill="FFFFFF"/>
        </w:rPr>
        <w:footnoteReference w:id="44"/>
      </w:r>
    </w:p>
    <w:p w14:paraId="212F4365" w14:textId="77777777" w:rsidR="008B6B62" w:rsidRPr="008B6B62" w:rsidRDefault="008B6B62" w:rsidP="008B6B62">
      <w:pPr>
        <w:rPr>
          <w:rFonts w:ascii="Arial" w:hAnsi="Arial" w:cs="Arial"/>
          <w:b/>
          <w:bCs/>
          <w:color w:val="27272A"/>
          <w:shd w:val="clear" w:color="auto" w:fill="FFFFFF"/>
        </w:rPr>
      </w:pPr>
      <w:r w:rsidRPr="008B6B62">
        <w:rPr>
          <w:rFonts w:ascii="Arial" w:hAnsi="Arial" w:cs="Arial"/>
          <w:b/>
          <w:bCs/>
          <w:color w:val="27272A"/>
          <w:shd w:val="clear" w:color="auto" w:fill="FFFFFF"/>
        </w:rPr>
        <w:t>The Jewish setting of early Christianity</w:t>
      </w:r>
    </w:p>
    <w:p w14:paraId="2D393EA0" w14:textId="08DBAD8D" w:rsidR="008B6B62" w:rsidRPr="008B6B62" w:rsidRDefault="008B6B62" w:rsidP="008B6B62">
      <w:pPr>
        <w:rPr>
          <w:rFonts w:ascii="Arial" w:hAnsi="Arial" w:cs="Arial"/>
          <w:color w:val="27272A"/>
          <w:shd w:val="clear" w:color="auto" w:fill="FFFFFF"/>
        </w:rPr>
      </w:pPr>
      <w:r w:rsidRPr="008B6B62">
        <w:rPr>
          <w:rFonts w:ascii="Arial" w:hAnsi="Arial" w:cs="Arial"/>
          <w:color w:val="27272A"/>
          <w:shd w:val="clear" w:color="auto" w:fill="FFFFFF"/>
        </w:rPr>
        <w:t>The Church’s earliest life and thinking belonged to the same “matrix” that produced the Old Testament’s final form and the interpretive world of the first Christians. As the Pontifical Biblical Commission notes, Judaism of the centuries just before the Common Era “provided the matrix for the origin of the New Testament and the infant church.” </w:t>
      </w:r>
      <w:r w:rsidR="002D77D3">
        <w:rPr>
          <w:rStyle w:val="FootnoteReference"/>
          <w:rFonts w:ascii="Arial" w:hAnsi="Arial" w:cs="Arial"/>
          <w:color w:val="27272A"/>
          <w:shd w:val="clear" w:color="auto" w:fill="FFFFFF"/>
        </w:rPr>
        <w:footnoteReference w:id="45"/>
      </w:r>
    </w:p>
    <w:p w14:paraId="4FBC4B0F" w14:textId="2C511C5D" w:rsidR="00EE27B6" w:rsidRPr="00780D38" w:rsidRDefault="008B6B62" w:rsidP="008B6B62">
      <w:pPr>
        <w:rPr>
          <w:rFonts w:ascii="Arial" w:hAnsi="Arial" w:cs="Arial"/>
          <w:color w:val="27272A"/>
          <w:shd w:val="clear" w:color="auto" w:fill="FFFFFF"/>
        </w:rPr>
      </w:pPr>
      <w:r w:rsidRPr="008B6B62">
        <w:rPr>
          <w:rFonts w:ascii="Arial" w:hAnsi="Arial" w:cs="Arial"/>
          <w:color w:val="27272A"/>
          <w:shd w:val="clear" w:color="auto" w:fill="FFFFFF"/>
        </w:rPr>
        <w:t xml:space="preserve">This continuity appears especially in how Christians received and interpreted Israel’s Scriptures: Christian reading differs in its starting point (faith in the Lord Jesus), but it developed within the Jewish world’s scriptural practices (e.g., </w:t>
      </w:r>
      <w:r w:rsidR="00785142" w:rsidRPr="008B6B62">
        <w:rPr>
          <w:rFonts w:ascii="Arial" w:hAnsi="Arial" w:cs="Arial"/>
          <w:color w:val="27272A"/>
          <w:shd w:val="clear" w:color="auto" w:fill="FFFFFF"/>
        </w:rPr>
        <w:t>rereading’s</w:t>
      </w:r>
      <w:r w:rsidRPr="008B6B62">
        <w:rPr>
          <w:rFonts w:ascii="Arial" w:hAnsi="Arial" w:cs="Arial"/>
          <w:color w:val="27272A"/>
          <w:shd w:val="clear" w:color="auto" w:fill="FFFFFF"/>
        </w:rPr>
        <w:t xml:space="preserve"> and homiletic techniques). </w:t>
      </w:r>
      <w:r w:rsidR="007E517A">
        <w:rPr>
          <w:rStyle w:val="FootnoteReference"/>
          <w:rFonts w:ascii="Arial" w:hAnsi="Arial" w:cs="Arial"/>
          <w:color w:val="27272A"/>
          <w:shd w:val="clear" w:color="auto" w:fill="FFFFFF"/>
        </w:rPr>
        <w:footnoteReference w:id="46"/>
      </w:r>
    </w:p>
    <w:p w14:paraId="763D2328" w14:textId="1D869985" w:rsidR="008B6B62" w:rsidRPr="00785142" w:rsidRDefault="008B6B62" w:rsidP="008B6B62">
      <w:pPr>
        <w:rPr>
          <w:rFonts w:ascii="Arial" w:hAnsi="Arial" w:cs="Arial"/>
          <w:b/>
          <w:bCs/>
          <w:color w:val="27272A"/>
          <w:shd w:val="clear" w:color="auto" w:fill="FFFFFF"/>
        </w:rPr>
      </w:pPr>
      <w:r w:rsidRPr="00785142">
        <w:rPr>
          <w:rFonts w:ascii="Arial" w:hAnsi="Arial" w:cs="Arial"/>
          <w:b/>
          <w:bCs/>
          <w:color w:val="27272A"/>
          <w:shd w:val="clear" w:color="auto" w:fill="FFFFFF"/>
        </w:rPr>
        <w:t>From Jewish sect to Gentile inclusion: a gradual development</w:t>
      </w:r>
    </w:p>
    <w:p w14:paraId="227AB4B0" w14:textId="14D4B624" w:rsidR="008B6B62" w:rsidRPr="008B6B62" w:rsidRDefault="008B6B62" w:rsidP="008B6B62">
      <w:pPr>
        <w:rPr>
          <w:rFonts w:ascii="Arial" w:hAnsi="Arial" w:cs="Arial"/>
          <w:color w:val="27272A"/>
          <w:shd w:val="clear" w:color="auto" w:fill="FFFFFF"/>
        </w:rPr>
      </w:pPr>
      <w:r w:rsidRPr="008B6B62">
        <w:rPr>
          <w:rFonts w:ascii="Arial" w:hAnsi="Arial" w:cs="Arial"/>
          <w:color w:val="27272A"/>
          <w:shd w:val="clear" w:color="auto" w:fill="FFFFFF"/>
        </w:rPr>
        <w:t>As Gentiles entered the Christian movement, a decisive debate arose: whether non-Jews had to become Jews first (for example, by taking on circumcision and the Mosaic legal requirements) in order to belong to Christ. In general terms, the Church’s historical development affirmed that a “non-Jew did not have to become first a Jew in order to confess Christ.” </w:t>
      </w:r>
      <w:r w:rsidR="00AA7F2E">
        <w:rPr>
          <w:rStyle w:val="FootnoteReference"/>
          <w:rFonts w:ascii="Arial" w:hAnsi="Arial" w:cs="Arial"/>
          <w:color w:val="27272A"/>
          <w:shd w:val="clear" w:color="auto" w:fill="FFFFFF"/>
        </w:rPr>
        <w:footnoteReference w:id="47"/>
      </w:r>
    </w:p>
    <w:p w14:paraId="587280DA" w14:textId="51F8975F" w:rsidR="008B6B62" w:rsidRPr="008B6B62" w:rsidRDefault="008B6B62" w:rsidP="008B6B62">
      <w:pPr>
        <w:rPr>
          <w:rFonts w:ascii="Arial" w:hAnsi="Arial" w:cs="Arial"/>
          <w:color w:val="27272A"/>
          <w:shd w:val="clear" w:color="auto" w:fill="FFFFFF"/>
        </w:rPr>
      </w:pPr>
      <w:r w:rsidRPr="008B6B62">
        <w:rPr>
          <w:rFonts w:ascii="Arial" w:hAnsi="Arial" w:cs="Arial"/>
          <w:color w:val="27272A"/>
          <w:shd w:val="clear" w:color="auto" w:fill="FFFFFF"/>
        </w:rPr>
        <w:t>A key episode connected with this shift is Cornelius. According to a Catholic Encyclopedia summary of Acts 10–11, Cornelius was a Gentile who worshipped the one true God but was not affiliated with Judaism by circumcision; his baptism marked a significant opening “to the uncircumcised Gentiles without the obligation of submitting to the Jewish ceremonial laws.” </w:t>
      </w:r>
      <w:r w:rsidR="00E0770E">
        <w:rPr>
          <w:rStyle w:val="FootnoteReference"/>
          <w:rFonts w:ascii="Arial" w:hAnsi="Arial" w:cs="Arial"/>
          <w:color w:val="27272A"/>
          <w:shd w:val="clear" w:color="auto" w:fill="FFFFFF"/>
        </w:rPr>
        <w:footnoteReference w:id="48"/>
      </w:r>
    </w:p>
    <w:p w14:paraId="3BC61EE3" w14:textId="77777777" w:rsidR="008B6B62" w:rsidRPr="008B6B62" w:rsidRDefault="008B6B62" w:rsidP="008B6B62">
      <w:pPr>
        <w:rPr>
          <w:rFonts w:ascii="Arial" w:hAnsi="Arial" w:cs="Arial"/>
          <w:color w:val="27272A"/>
          <w:shd w:val="clear" w:color="auto" w:fill="FFFFFF"/>
        </w:rPr>
      </w:pPr>
      <w:r w:rsidRPr="00785142">
        <w:rPr>
          <w:rFonts w:ascii="Arial" w:hAnsi="Arial" w:cs="Arial"/>
          <w:b/>
          <w:bCs/>
          <w:color w:val="27272A"/>
          <w:shd w:val="clear" w:color="auto" w:fill="FFFFFF"/>
        </w:rPr>
        <w:t>The Council of Jerusalem:</w:t>
      </w:r>
      <w:r w:rsidRPr="008B6B62">
        <w:rPr>
          <w:rFonts w:ascii="Arial" w:hAnsi="Arial" w:cs="Arial"/>
          <w:color w:val="27272A"/>
          <w:shd w:val="clear" w:color="auto" w:fill="FFFFFF"/>
        </w:rPr>
        <w:t xml:space="preserve"> what Gentile believers needed to observe</w:t>
      </w:r>
    </w:p>
    <w:p w14:paraId="3A9BAF53" w14:textId="0E707AC9" w:rsidR="008B6B62" w:rsidRPr="008B6B62" w:rsidRDefault="008B6B62" w:rsidP="008B6B62">
      <w:pPr>
        <w:rPr>
          <w:rFonts w:ascii="Arial" w:hAnsi="Arial" w:cs="Arial"/>
          <w:color w:val="27272A"/>
          <w:shd w:val="clear" w:color="auto" w:fill="FFFFFF"/>
        </w:rPr>
      </w:pPr>
      <w:r w:rsidRPr="008B6B62">
        <w:rPr>
          <w:rFonts w:ascii="Arial" w:hAnsi="Arial" w:cs="Arial"/>
          <w:color w:val="27272A"/>
          <w:shd w:val="clear" w:color="auto" w:fill="FFFFFF"/>
        </w:rPr>
        <w:lastRenderedPageBreak/>
        <w:t>The question came to a head in the “Council of Jerusalem” (Acts 15). Some required circumcision and keeping the Mosaic Law; the apostles and elders discussed the matter in light of what God had done among the Gentiles. </w:t>
      </w:r>
      <w:r w:rsidR="003F2A77">
        <w:rPr>
          <w:rStyle w:val="FootnoteReference"/>
          <w:rFonts w:ascii="Arial" w:hAnsi="Arial" w:cs="Arial"/>
          <w:color w:val="27272A"/>
          <w:shd w:val="clear" w:color="auto" w:fill="FFFFFF"/>
        </w:rPr>
        <w:footnoteReference w:id="49"/>
      </w:r>
    </w:p>
    <w:p w14:paraId="01A1DA39" w14:textId="2535E6F7" w:rsidR="008B6B62" w:rsidRPr="008B6B62" w:rsidRDefault="008B6B62" w:rsidP="008B6B62">
      <w:pPr>
        <w:rPr>
          <w:rFonts w:ascii="Arial" w:hAnsi="Arial" w:cs="Arial"/>
          <w:color w:val="27272A"/>
          <w:shd w:val="clear" w:color="auto" w:fill="FFFFFF"/>
        </w:rPr>
      </w:pPr>
      <w:r w:rsidRPr="008B6B62">
        <w:rPr>
          <w:rFonts w:ascii="Arial" w:hAnsi="Arial" w:cs="Arial"/>
          <w:color w:val="27272A"/>
          <w:shd w:val="clear" w:color="auto" w:fill="FFFFFF"/>
        </w:rPr>
        <w:t>Peter’s reasoning was that God made “no distinction” between Jews and Gentiles in granting the Holy Spirit, and therefore Gentiles were not to be “put” under a “yoke” that even Israel had struggled to bear; rather, salvation comes through grace by the Lord Jesus. </w:t>
      </w:r>
      <w:r w:rsidR="00105D8D">
        <w:rPr>
          <w:rStyle w:val="FootnoteReference"/>
          <w:rFonts w:ascii="Arial" w:hAnsi="Arial" w:cs="Arial"/>
          <w:color w:val="27272A"/>
          <w:shd w:val="clear" w:color="auto" w:fill="FFFFFF"/>
        </w:rPr>
        <w:footnoteReference w:id="50"/>
      </w:r>
    </w:p>
    <w:p w14:paraId="393D72BB" w14:textId="01410FC1" w:rsidR="008B6B62" w:rsidRPr="008B6B62" w:rsidRDefault="008B6B62" w:rsidP="008B6B62">
      <w:pPr>
        <w:rPr>
          <w:rFonts w:ascii="Arial" w:hAnsi="Arial" w:cs="Arial"/>
          <w:color w:val="27272A"/>
          <w:shd w:val="clear" w:color="auto" w:fill="FFFFFF"/>
        </w:rPr>
      </w:pPr>
      <w:r w:rsidRPr="008B6B62">
        <w:rPr>
          <w:rFonts w:ascii="Arial" w:hAnsi="Arial" w:cs="Arial"/>
          <w:color w:val="27272A"/>
          <w:shd w:val="clear" w:color="auto" w:fill="FFFFFF"/>
        </w:rPr>
        <w:t>Finally, the council decided not to impose “further burden than these essentials,” specifically abstaining from things connected with idolatry (sacrificed to idols), and from fornication, blood, and what is strangled. </w:t>
      </w:r>
      <w:r w:rsidR="00105D8D">
        <w:rPr>
          <w:rStyle w:val="FootnoteReference"/>
          <w:rFonts w:ascii="Arial" w:hAnsi="Arial" w:cs="Arial"/>
          <w:color w:val="27272A"/>
          <w:shd w:val="clear" w:color="auto" w:fill="FFFFFF"/>
        </w:rPr>
        <w:footnoteReference w:id="51"/>
      </w:r>
    </w:p>
    <w:p w14:paraId="0567485B" w14:textId="4603FFD5" w:rsidR="008B6B62" w:rsidRPr="008B6B62" w:rsidRDefault="008B6B62" w:rsidP="008B6B62">
      <w:pPr>
        <w:rPr>
          <w:rFonts w:ascii="Arial" w:hAnsi="Arial" w:cs="Arial"/>
          <w:color w:val="27272A"/>
          <w:shd w:val="clear" w:color="auto" w:fill="FFFFFF"/>
        </w:rPr>
      </w:pPr>
      <w:r w:rsidRPr="008B6B62">
        <w:rPr>
          <w:rFonts w:ascii="Arial" w:hAnsi="Arial" w:cs="Arial"/>
          <w:color w:val="27272A"/>
          <w:shd w:val="clear" w:color="auto" w:fill="FFFFFF"/>
        </w:rPr>
        <w:t>Pope Benedict XVI describes this same issue as the question of whether circumcision was compulsory for Gentiles, and he emphasizes that the assembly sought to ensure freedom from binding Gentiles to Mosaic norms, especially those connected with purification, clean/unclean foods, and the Sabbath. </w:t>
      </w:r>
      <w:r w:rsidR="00105D8D">
        <w:rPr>
          <w:rStyle w:val="FootnoteReference"/>
          <w:rFonts w:ascii="Arial" w:hAnsi="Arial" w:cs="Arial"/>
          <w:color w:val="27272A"/>
          <w:shd w:val="clear" w:color="auto" w:fill="FFFFFF"/>
        </w:rPr>
        <w:footnoteReference w:id="52"/>
      </w:r>
    </w:p>
    <w:p w14:paraId="664F7085" w14:textId="77777777" w:rsidR="008B6B62" w:rsidRPr="008B6B62" w:rsidRDefault="008B6B62" w:rsidP="008B6B62">
      <w:pPr>
        <w:rPr>
          <w:rFonts w:ascii="Arial" w:hAnsi="Arial" w:cs="Arial"/>
          <w:color w:val="27272A"/>
          <w:shd w:val="clear" w:color="auto" w:fill="FFFFFF"/>
        </w:rPr>
      </w:pPr>
      <w:r w:rsidRPr="008B6B62">
        <w:rPr>
          <w:rFonts w:ascii="Arial" w:hAnsi="Arial" w:cs="Arial"/>
          <w:color w:val="27272A"/>
          <w:shd w:val="clear" w:color="auto" w:fill="FFFFFF"/>
        </w:rPr>
        <w:t>James’s role: Gentiles welcomed without severing continuity with Israel</w:t>
      </w:r>
    </w:p>
    <w:p w14:paraId="109C97A1" w14:textId="462D2C2F" w:rsidR="008B6B62" w:rsidRPr="008B6B62" w:rsidRDefault="008B6B62" w:rsidP="008B6B62">
      <w:pPr>
        <w:rPr>
          <w:rFonts w:ascii="Arial" w:hAnsi="Arial" w:cs="Arial"/>
          <w:color w:val="27272A"/>
          <w:shd w:val="clear" w:color="auto" w:fill="FFFFFF"/>
        </w:rPr>
      </w:pPr>
      <w:r w:rsidRPr="008B6B62">
        <w:rPr>
          <w:rFonts w:ascii="Arial" w:hAnsi="Arial" w:cs="Arial"/>
          <w:color w:val="27272A"/>
          <w:shd w:val="clear" w:color="auto" w:fill="FFFFFF"/>
        </w:rPr>
        <w:t>At the Council of Jerusalem, James’s contribution was decisive for how the Church understood the Gentile mission. One study notes that James appears as the one who “ensures that the opening to the Gentiles is not acquired at the price of making the Church cease to belong to the people of Israel,” presenting Gentile entry as integration in fulfillment of Israel’s prophetic hope. </w:t>
      </w:r>
      <w:r w:rsidR="004C20FE">
        <w:rPr>
          <w:rStyle w:val="FootnoteReference"/>
          <w:rFonts w:ascii="Arial" w:hAnsi="Arial" w:cs="Arial"/>
          <w:color w:val="27272A"/>
          <w:shd w:val="clear" w:color="auto" w:fill="FFFFFF"/>
        </w:rPr>
        <w:footnoteReference w:id="53"/>
      </w:r>
    </w:p>
    <w:p w14:paraId="6271B1E2" w14:textId="77777777" w:rsidR="008B6B62" w:rsidRPr="008B6B62" w:rsidRDefault="008B6B62" w:rsidP="008B6B62">
      <w:pPr>
        <w:rPr>
          <w:rFonts w:ascii="Arial" w:hAnsi="Arial" w:cs="Arial"/>
          <w:color w:val="27272A"/>
          <w:shd w:val="clear" w:color="auto" w:fill="FFFFFF"/>
        </w:rPr>
      </w:pPr>
      <w:r w:rsidRPr="008B6B62">
        <w:rPr>
          <w:rFonts w:ascii="Arial" w:hAnsi="Arial" w:cs="Arial"/>
          <w:color w:val="27272A"/>
          <w:shd w:val="clear" w:color="auto" w:fill="FFFFFF"/>
        </w:rPr>
        <w:t>Worship and Scripture: continuity and development</w:t>
      </w:r>
    </w:p>
    <w:p w14:paraId="3EC2265C" w14:textId="75B2A62F" w:rsidR="008B6B62" w:rsidRPr="008B6B62" w:rsidRDefault="008B6B62" w:rsidP="008B6B62">
      <w:pPr>
        <w:rPr>
          <w:rFonts w:ascii="Arial" w:hAnsi="Arial" w:cs="Arial"/>
          <w:color w:val="27272A"/>
          <w:shd w:val="clear" w:color="auto" w:fill="FFFFFF"/>
        </w:rPr>
      </w:pPr>
      <w:r w:rsidRPr="008B6B62">
        <w:rPr>
          <w:rFonts w:ascii="Arial" w:hAnsi="Arial" w:cs="Arial"/>
          <w:color w:val="27272A"/>
          <w:shd w:val="clear" w:color="auto" w:fill="FFFFFF"/>
        </w:rPr>
        <w:t>Early Christian worship and sacramental life developed within the Jewish cultural and interpretive world rather than appearing from nowhere. For example, a liturgical study on the Didache concludes that in Christianity “it remains” a development and unfolding of Judaism. </w:t>
      </w:r>
      <w:r w:rsidR="008C4272">
        <w:rPr>
          <w:rStyle w:val="FootnoteReference"/>
          <w:rFonts w:ascii="Arial" w:hAnsi="Arial" w:cs="Arial"/>
          <w:color w:val="27272A"/>
          <w:shd w:val="clear" w:color="auto" w:fill="FFFFFF"/>
        </w:rPr>
        <w:footnoteReference w:id="54"/>
      </w:r>
    </w:p>
    <w:p w14:paraId="3946698B" w14:textId="56C6FD36" w:rsidR="008B6B62" w:rsidRPr="008B6B62" w:rsidRDefault="008B6B62" w:rsidP="008B6B62">
      <w:pPr>
        <w:rPr>
          <w:rFonts w:ascii="Arial" w:hAnsi="Arial" w:cs="Arial"/>
          <w:color w:val="27272A"/>
          <w:shd w:val="clear" w:color="auto" w:fill="FFFFFF"/>
        </w:rPr>
      </w:pPr>
      <w:r w:rsidRPr="008B6B62">
        <w:rPr>
          <w:rFonts w:ascii="Arial" w:hAnsi="Arial" w:cs="Arial"/>
          <w:color w:val="27272A"/>
          <w:shd w:val="clear" w:color="auto" w:fill="FFFFFF"/>
        </w:rPr>
        <w:t>Similarly, research on how the Eucharistic tradition developed notes connections to Jewish prayers of thanksgiving (e.g., the Birkat ha-Mazon) and explains how Christian ritual thanksgiving comes to be understood as irreducible to the Jewish ritual meal. </w:t>
      </w:r>
      <w:r w:rsidR="00D95A1A">
        <w:rPr>
          <w:rStyle w:val="FootnoteReference"/>
          <w:rFonts w:ascii="Arial" w:hAnsi="Arial" w:cs="Arial"/>
          <w:color w:val="27272A"/>
          <w:shd w:val="clear" w:color="auto" w:fill="FFFFFF"/>
        </w:rPr>
        <w:footnoteReference w:id="55"/>
      </w:r>
    </w:p>
    <w:p w14:paraId="5D4BD655" w14:textId="77777777" w:rsidR="008B6B62" w:rsidRPr="008B6B62" w:rsidRDefault="008B6B62" w:rsidP="008B6B62">
      <w:pPr>
        <w:rPr>
          <w:rFonts w:ascii="Arial" w:hAnsi="Arial" w:cs="Arial"/>
          <w:color w:val="27272A"/>
          <w:shd w:val="clear" w:color="auto" w:fill="FFFFFF"/>
        </w:rPr>
      </w:pPr>
      <w:r w:rsidRPr="008B6B62">
        <w:rPr>
          <w:rFonts w:ascii="Arial" w:hAnsi="Arial" w:cs="Arial"/>
          <w:color w:val="27272A"/>
          <w:shd w:val="clear" w:color="auto" w:fill="FFFFFF"/>
        </w:rPr>
        <w:lastRenderedPageBreak/>
        <w:t>Early Jewish-Christian groups (and why they weren’t all the same)</w:t>
      </w:r>
    </w:p>
    <w:p w14:paraId="416A56BE" w14:textId="77777777" w:rsidR="008B6B62" w:rsidRPr="008B6B62" w:rsidRDefault="008B6B62" w:rsidP="008B6B62">
      <w:pPr>
        <w:rPr>
          <w:rFonts w:ascii="Arial" w:hAnsi="Arial" w:cs="Arial"/>
          <w:color w:val="27272A"/>
          <w:shd w:val="clear" w:color="auto" w:fill="FFFFFF"/>
        </w:rPr>
      </w:pPr>
      <w:r w:rsidRPr="008B6B62">
        <w:rPr>
          <w:rFonts w:ascii="Arial" w:hAnsi="Arial" w:cs="Arial"/>
          <w:color w:val="27272A"/>
          <w:shd w:val="clear" w:color="auto" w:fill="FFFFFF"/>
        </w:rPr>
        <w:t>Not all Jewish believers in Jesus were identical in their practices or theology. A well-known example is the distinction between “Nazarenes” and “Ebionites” described in ancient sources.</w:t>
      </w:r>
    </w:p>
    <w:p w14:paraId="278E8507" w14:textId="0546D39D" w:rsidR="008B6B62" w:rsidRPr="008B6B62" w:rsidRDefault="008B6B62" w:rsidP="008B6B62">
      <w:pPr>
        <w:numPr>
          <w:ilvl w:val="0"/>
          <w:numId w:val="9"/>
        </w:numPr>
        <w:rPr>
          <w:rFonts w:ascii="Arial" w:hAnsi="Arial" w:cs="Arial"/>
          <w:color w:val="27272A"/>
          <w:shd w:val="clear" w:color="auto" w:fill="FFFFFF"/>
        </w:rPr>
      </w:pPr>
      <w:r w:rsidRPr="008B6B62">
        <w:rPr>
          <w:rFonts w:ascii="Arial" w:hAnsi="Arial" w:cs="Arial"/>
          <w:color w:val="27272A"/>
          <w:shd w:val="clear" w:color="auto" w:fill="FFFFFF"/>
        </w:rPr>
        <w:t>Jerome (writing within a late-4th/early-5th century context) describes the Nazarenes as believing in Christ the Son of God, while criticizing the idea that they wish to be both Jews and Christians without truly being either.</w:t>
      </w:r>
    </w:p>
    <w:p w14:paraId="21921465" w14:textId="0093518A" w:rsidR="008B6B62" w:rsidRPr="008B6B62" w:rsidRDefault="008B6B62" w:rsidP="008B6B62">
      <w:pPr>
        <w:numPr>
          <w:ilvl w:val="0"/>
          <w:numId w:val="9"/>
        </w:numPr>
        <w:rPr>
          <w:rFonts w:ascii="Arial" w:hAnsi="Arial" w:cs="Arial"/>
          <w:color w:val="27272A"/>
          <w:shd w:val="clear" w:color="auto" w:fill="FFFFFF"/>
        </w:rPr>
      </w:pPr>
      <w:r w:rsidRPr="008B6B62">
        <w:rPr>
          <w:rFonts w:ascii="Arial" w:hAnsi="Arial" w:cs="Arial"/>
          <w:color w:val="27272A"/>
          <w:shd w:val="clear" w:color="auto" w:fill="FFFFFF"/>
        </w:rPr>
        <w:t>The Catholic Encyclopedia entry on the Ebionites notes that these groups were marked by Judaistic errors and that they rejected Christ’s divinity and pre-existence (though details vary across subgroups). </w:t>
      </w:r>
    </w:p>
    <w:p w14:paraId="7C2518AA" w14:textId="77777777" w:rsidR="008B6B62" w:rsidRPr="008B6B62" w:rsidRDefault="008B6B62" w:rsidP="008B6B62">
      <w:pPr>
        <w:rPr>
          <w:rFonts w:ascii="Arial" w:hAnsi="Arial" w:cs="Arial"/>
          <w:color w:val="27272A"/>
          <w:shd w:val="clear" w:color="auto" w:fill="FFFFFF"/>
        </w:rPr>
      </w:pPr>
      <w:r w:rsidRPr="008B6B62">
        <w:rPr>
          <w:rFonts w:ascii="Arial" w:hAnsi="Arial" w:cs="Arial"/>
          <w:color w:val="27272A"/>
          <w:shd w:val="clear" w:color="auto" w:fill="FFFFFF"/>
        </w:rPr>
        <w:t>Corrected takeaway</w:t>
      </w:r>
    </w:p>
    <w:p w14:paraId="6D4C426E" w14:textId="59835C0E" w:rsidR="009A4A98" w:rsidRPr="009B15C6" w:rsidRDefault="000C3532" w:rsidP="00EA7AE2">
      <w:pPr>
        <w:rPr>
          <w:rFonts w:ascii="Arial" w:hAnsi="Arial" w:cs="Arial"/>
          <w:color w:val="27272A"/>
          <w:shd w:val="clear" w:color="auto" w:fill="FFFFFF"/>
        </w:rPr>
      </w:pPr>
      <w:r w:rsidRPr="008B6B62">
        <w:rPr>
          <w:rFonts w:ascii="Arial" w:hAnsi="Arial" w:cs="Arial"/>
          <w:color w:val="27272A"/>
          <w:shd w:val="clear" w:color="auto" w:fill="FFFFFF"/>
        </w:rPr>
        <w:t>So,</w:t>
      </w:r>
      <w:r w:rsidR="008B6B62" w:rsidRPr="008B6B62">
        <w:rPr>
          <w:rFonts w:ascii="Arial" w:hAnsi="Arial" w:cs="Arial"/>
          <w:color w:val="27272A"/>
          <w:shd w:val="clear" w:color="auto" w:fill="FFFFFF"/>
        </w:rPr>
        <w:t xml:space="preserve"> the most defensible correction to your original text is this: the early Church’s move toward Gentile inclusion was real and historically significant, but it was neither an overnight “new religion” nor a simple break from Judaism. Instead, it was a complex transition within the Jewish world—centered especially on questions of how Gentiles relate to Mosaic Law—resolved in large part by the Council of Jerusalem and lived out in worship and Scripture through continuity and development. </w:t>
      </w:r>
      <w:r>
        <w:rPr>
          <w:rStyle w:val="FootnoteReference"/>
          <w:rFonts w:ascii="Arial" w:hAnsi="Arial" w:cs="Arial"/>
          <w:color w:val="27272A"/>
          <w:shd w:val="clear" w:color="auto" w:fill="FFFFFF"/>
        </w:rPr>
        <w:footnoteReference w:id="56"/>
      </w:r>
      <w:r w:rsidR="008B6B62" w:rsidRPr="008B6B62">
        <w:rPr>
          <w:rFonts w:ascii="Arial" w:hAnsi="Arial" w:cs="Arial"/>
          <w:color w:val="27272A"/>
          <w:shd w:val="clear" w:color="auto" w:fill="FFFFFF"/>
        </w:rPr>
        <w:t> </w:t>
      </w:r>
      <w:r w:rsidR="00C37806">
        <w:rPr>
          <w:rStyle w:val="FootnoteReference"/>
          <w:rFonts w:ascii="Arial" w:hAnsi="Arial" w:cs="Arial"/>
          <w:color w:val="27272A"/>
          <w:shd w:val="clear" w:color="auto" w:fill="FFFFFF"/>
        </w:rPr>
        <w:footnoteReference w:id="57"/>
      </w:r>
      <w:r w:rsidR="008B6B62" w:rsidRPr="008B6B62">
        <w:rPr>
          <w:rFonts w:ascii="Arial" w:hAnsi="Arial" w:cs="Arial"/>
          <w:color w:val="27272A"/>
          <w:shd w:val="clear" w:color="auto" w:fill="FFFFFF"/>
        </w:rPr>
        <w:t> </w:t>
      </w:r>
      <w:r w:rsidR="00085FA8">
        <w:rPr>
          <w:rStyle w:val="FootnoteReference"/>
          <w:rFonts w:ascii="Arial" w:hAnsi="Arial" w:cs="Arial"/>
          <w:color w:val="27272A"/>
          <w:shd w:val="clear" w:color="auto" w:fill="FFFFFF"/>
        </w:rPr>
        <w:footnoteReference w:id="58"/>
      </w:r>
      <w:r w:rsidR="008B6B62" w:rsidRPr="008B6B62">
        <w:rPr>
          <w:rFonts w:ascii="Arial" w:hAnsi="Arial" w:cs="Arial"/>
          <w:color w:val="27272A"/>
          <w:shd w:val="clear" w:color="auto" w:fill="FFFFFF"/>
        </w:rPr>
        <w:t> </w:t>
      </w:r>
      <w:r w:rsidR="00085FA8">
        <w:rPr>
          <w:rStyle w:val="FootnoteReference"/>
          <w:rFonts w:ascii="Arial" w:hAnsi="Arial" w:cs="Arial"/>
          <w:color w:val="27272A"/>
          <w:shd w:val="clear" w:color="auto" w:fill="FFFFFF"/>
        </w:rPr>
        <w:footnoteReference w:id="59"/>
      </w:r>
    </w:p>
    <w:p w14:paraId="7E0332BD" w14:textId="77777777" w:rsidR="00FD342A" w:rsidRPr="00FD342A" w:rsidRDefault="006C5090" w:rsidP="00FB1B09">
      <w:pPr>
        <w:pStyle w:val="ListParagraph"/>
        <w:numPr>
          <w:ilvl w:val="0"/>
          <w:numId w:val="5"/>
        </w:numPr>
        <w:rPr>
          <w:rFonts w:ascii="Arial" w:hAnsi="Arial" w:cs="Arial"/>
          <w:color w:val="27272A"/>
          <w:shd w:val="clear" w:color="auto" w:fill="FFFFFF"/>
        </w:rPr>
      </w:pPr>
      <w:r w:rsidRPr="00FD342A">
        <w:rPr>
          <w:rFonts w:ascii="Arial" w:hAnsi="Arial" w:cs="Arial"/>
          <w:b/>
          <w:bCs/>
          <w:color w:val="EE0000"/>
          <w:shd w:val="clear" w:color="auto" w:fill="FFFFFF"/>
        </w:rPr>
        <w:t>Life and Teachings of Jesus:</w:t>
      </w:r>
      <w:r w:rsidRPr="00FD342A">
        <w:rPr>
          <w:rFonts w:ascii="Arial" w:hAnsi="Arial" w:cs="Arial"/>
          <w:color w:val="EE0000"/>
          <w:shd w:val="clear" w:color="auto" w:fill="FFFFFF"/>
        </w:rPr>
        <w:t xml:space="preserve"> </w:t>
      </w:r>
    </w:p>
    <w:p w14:paraId="2E77F5B4" w14:textId="7674E85D" w:rsidR="009A4A98" w:rsidRPr="00FD342A" w:rsidRDefault="006C5090" w:rsidP="00FD342A">
      <w:pPr>
        <w:rPr>
          <w:rFonts w:ascii="Arial" w:hAnsi="Arial" w:cs="Arial"/>
          <w:color w:val="27272A"/>
          <w:shd w:val="clear" w:color="auto" w:fill="FFFFFF"/>
        </w:rPr>
      </w:pPr>
      <w:r w:rsidRPr="00FD342A">
        <w:rPr>
          <w:rFonts w:ascii="Arial" w:hAnsi="Arial" w:cs="Arial"/>
          <w:color w:val="27272A"/>
          <w:shd w:val="clear" w:color="auto" w:fill="FFFFFF"/>
        </w:rPr>
        <w:t>The Incarnation, public ministry, the Paschal Mystery, and the establishment of the New Covenant.</w:t>
      </w:r>
    </w:p>
    <w:p w14:paraId="3B277DC4" w14:textId="77777777" w:rsidR="00F40A42" w:rsidRPr="00F40A42" w:rsidRDefault="00F40A42" w:rsidP="00F40A42">
      <w:pPr>
        <w:rPr>
          <w:rFonts w:ascii="Arial" w:hAnsi="Arial" w:cs="Arial"/>
          <w:b/>
          <w:bCs/>
          <w:color w:val="27272A"/>
          <w:shd w:val="clear" w:color="auto" w:fill="FFFFFF"/>
        </w:rPr>
      </w:pPr>
      <w:r w:rsidRPr="00F40A42">
        <w:rPr>
          <w:rFonts w:ascii="Arial" w:hAnsi="Arial" w:cs="Arial"/>
          <w:b/>
          <w:bCs/>
          <w:color w:val="27272A"/>
          <w:shd w:val="clear" w:color="auto" w:fill="FFFFFF"/>
        </w:rPr>
        <w:t>The Incarnation (The Word Became Flesh)</w:t>
      </w:r>
    </w:p>
    <w:p w14:paraId="75108ABD" w14:textId="50BE3538"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The Church teaches that the </w:t>
      </w:r>
      <w:r w:rsidRPr="00F40A42">
        <w:rPr>
          <w:rFonts w:ascii="Arial" w:hAnsi="Arial" w:cs="Arial"/>
          <w:b/>
          <w:bCs/>
          <w:color w:val="27272A"/>
          <w:shd w:val="clear" w:color="auto" w:fill="FFFFFF"/>
        </w:rPr>
        <w:t>Incarnation</w:t>
      </w:r>
      <w:r w:rsidRPr="00F40A42">
        <w:rPr>
          <w:rFonts w:ascii="Arial" w:hAnsi="Arial" w:cs="Arial"/>
          <w:color w:val="27272A"/>
          <w:shd w:val="clear" w:color="auto" w:fill="FFFFFF"/>
        </w:rPr>
        <w:t> is the fact that </w:t>
      </w:r>
      <w:r w:rsidRPr="00F40A42">
        <w:rPr>
          <w:rFonts w:ascii="Arial" w:hAnsi="Arial" w:cs="Arial"/>
          <w:b/>
          <w:bCs/>
          <w:color w:val="27272A"/>
          <w:shd w:val="clear" w:color="auto" w:fill="FFFFFF"/>
        </w:rPr>
        <w:t>the Son of God assumed a human nature in order to accomplish our salvation</w:t>
      </w:r>
      <w:r w:rsidRPr="00F40A42">
        <w:rPr>
          <w:rFonts w:ascii="Arial" w:hAnsi="Arial" w:cs="Arial"/>
          <w:color w:val="27272A"/>
          <w:shd w:val="clear" w:color="auto" w:fill="FFFFFF"/>
        </w:rPr>
        <w:t>.</w:t>
      </w:r>
      <w:r w:rsidR="00D70A92">
        <w:rPr>
          <w:rStyle w:val="FootnoteReference"/>
          <w:rFonts w:ascii="Arial" w:hAnsi="Arial" w:cs="Arial"/>
          <w:color w:val="27272A"/>
          <w:shd w:val="clear" w:color="auto" w:fill="FFFFFF"/>
        </w:rPr>
        <w:footnoteReference w:id="60"/>
      </w:r>
    </w:p>
    <w:p w14:paraId="16A759E4" w14:textId="4FFD2783"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This is expressed in Scripture as: </w:t>
      </w:r>
      <w:r w:rsidRPr="00F40A42">
        <w:rPr>
          <w:rFonts w:ascii="Arial" w:hAnsi="Arial" w:cs="Arial"/>
          <w:b/>
          <w:bCs/>
          <w:color w:val="27272A"/>
          <w:shd w:val="clear" w:color="auto" w:fill="FFFFFF"/>
        </w:rPr>
        <w:t>“The Word became flesh and lived among us.”</w:t>
      </w:r>
      <w:r w:rsidR="00255B40">
        <w:rPr>
          <w:rStyle w:val="FootnoteReference"/>
          <w:rFonts w:ascii="Arial" w:hAnsi="Arial" w:cs="Arial"/>
          <w:b/>
          <w:bCs/>
          <w:color w:val="27272A"/>
          <w:shd w:val="clear" w:color="auto" w:fill="FFFFFF"/>
        </w:rPr>
        <w:footnoteReference w:id="61"/>
      </w:r>
    </w:p>
    <w:p w14:paraId="2D304297" w14:textId="77777777" w:rsidR="00F40A42" w:rsidRPr="00F40A42" w:rsidRDefault="00F40A42" w:rsidP="00F40A42">
      <w:pPr>
        <w:rPr>
          <w:rFonts w:ascii="Arial" w:hAnsi="Arial" w:cs="Arial"/>
          <w:b/>
          <w:bCs/>
          <w:color w:val="27272A"/>
          <w:shd w:val="clear" w:color="auto" w:fill="FFFFFF"/>
        </w:rPr>
      </w:pPr>
      <w:r w:rsidRPr="00F40A42">
        <w:rPr>
          <w:rFonts w:ascii="Arial" w:hAnsi="Arial" w:cs="Arial"/>
          <w:b/>
          <w:bCs/>
          <w:color w:val="27272A"/>
          <w:shd w:val="clear" w:color="auto" w:fill="FFFFFF"/>
        </w:rPr>
        <w:t>Annunciation and virginal conception</w:t>
      </w:r>
    </w:p>
    <w:p w14:paraId="2F776EA0" w14:textId="2B5931C6"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lastRenderedPageBreak/>
        <w:t>At the Annunciation, the angel tells Mary that she will conceive and bear a son, and that </w:t>
      </w:r>
      <w:r w:rsidRPr="00F40A42">
        <w:rPr>
          <w:rFonts w:ascii="Arial" w:hAnsi="Arial" w:cs="Arial"/>
          <w:b/>
          <w:bCs/>
          <w:color w:val="27272A"/>
          <w:shd w:val="clear" w:color="auto" w:fill="FFFFFF"/>
        </w:rPr>
        <w:t>the Holy Spirit will come upon you</w:t>
      </w:r>
      <w:r w:rsidRPr="00F40A42">
        <w:rPr>
          <w:rFonts w:ascii="Arial" w:hAnsi="Arial" w:cs="Arial"/>
          <w:color w:val="27272A"/>
          <w:shd w:val="clear" w:color="auto" w:fill="FFFFFF"/>
        </w:rPr>
        <w:t xml:space="preserve">; </w:t>
      </w:r>
      <w:r w:rsidR="000F44CC" w:rsidRPr="00F40A42">
        <w:rPr>
          <w:rFonts w:ascii="Arial" w:hAnsi="Arial" w:cs="Arial"/>
          <w:color w:val="27272A"/>
          <w:shd w:val="clear" w:color="auto" w:fill="FFFFFF"/>
        </w:rPr>
        <w:t>therefore,</w:t>
      </w:r>
      <w:r w:rsidRPr="00F40A42">
        <w:rPr>
          <w:rFonts w:ascii="Arial" w:hAnsi="Arial" w:cs="Arial"/>
          <w:color w:val="27272A"/>
          <w:shd w:val="clear" w:color="auto" w:fill="FFFFFF"/>
        </w:rPr>
        <w:t xml:space="preserve"> the child to be born will be </w:t>
      </w:r>
      <w:r w:rsidRPr="00F40A42">
        <w:rPr>
          <w:rFonts w:ascii="Arial" w:hAnsi="Arial" w:cs="Arial"/>
          <w:b/>
          <w:bCs/>
          <w:color w:val="27272A"/>
          <w:shd w:val="clear" w:color="auto" w:fill="FFFFFF"/>
        </w:rPr>
        <w:t>holy</w:t>
      </w:r>
      <w:r w:rsidRPr="00F40A42">
        <w:rPr>
          <w:rFonts w:ascii="Arial" w:hAnsi="Arial" w:cs="Arial"/>
          <w:color w:val="27272A"/>
          <w:shd w:val="clear" w:color="auto" w:fill="FFFFFF"/>
        </w:rPr>
        <w:t> and called </w:t>
      </w:r>
      <w:r w:rsidRPr="00F40A42">
        <w:rPr>
          <w:rFonts w:ascii="Arial" w:hAnsi="Arial" w:cs="Arial"/>
          <w:b/>
          <w:bCs/>
          <w:color w:val="27272A"/>
          <w:shd w:val="clear" w:color="auto" w:fill="FFFFFF"/>
        </w:rPr>
        <w:t>Son of God</w:t>
      </w:r>
      <w:r w:rsidRPr="00F40A42">
        <w:rPr>
          <w:rFonts w:ascii="Arial" w:hAnsi="Arial" w:cs="Arial"/>
          <w:color w:val="27272A"/>
          <w:shd w:val="clear" w:color="auto" w:fill="FFFFFF"/>
        </w:rPr>
        <w:t>. </w:t>
      </w:r>
      <w:r w:rsidR="00255B40">
        <w:rPr>
          <w:rStyle w:val="FootnoteReference"/>
          <w:rFonts w:ascii="Arial" w:hAnsi="Arial" w:cs="Arial"/>
          <w:color w:val="27272A"/>
          <w:shd w:val="clear" w:color="auto" w:fill="FFFFFF"/>
        </w:rPr>
        <w:footnoteReference w:id="62"/>
      </w:r>
    </w:p>
    <w:p w14:paraId="13DBCCD0" w14:textId="328288DF"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Matthew’s account states that Mary was found to be with child </w:t>
      </w:r>
      <w:r w:rsidRPr="00F40A42">
        <w:rPr>
          <w:rFonts w:ascii="Arial" w:hAnsi="Arial" w:cs="Arial"/>
          <w:b/>
          <w:bCs/>
          <w:color w:val="27272A"/>
          <w:shd w:val="clear" w:color="auto" w:fill="FFFFFF"/>
        </w:rPr>
        <w:t>“from the Holy Spirit,”</w:t>
      </w:r>
      <w:r w:rsidRPr="00F40A42">
        <w:rPr>
          <w:rFonts w:ascii="Arial" w:hAnsi="Arial" w:cs="Arial"/>
          <w:color w:val="27272A"/>
          <w:shd w:val="clear" w:color="auto" w:fill="FFFFFF"/>
        </w:rPr>
        <w:t> and that the child is to be named </w:t>
      </w:r>
      <w:r w:rsidRPr="00F40A42">
        <w:rPr>
          <w:rFonts w:ascii="Arial" w:hAnsi="Arial" w:cs="Arial"/>
          <w:b/>
          <w:bCs/>
          <w:color w:val="27272A"/>
          <w:shd w:val="clear" w:color="auto" w:fill="FFFFFF"/>
        </w:rPr>
        <w:t>Jesus</w:t>
      </w:r>
      <w:r w:rsidRPr="00F40A42">
        <w:rPr>
          <w:rFonts w:ascii="Arial" w:hAnsi="Arial" w:cs="Arial"/>
          <w:color w:val="27272A"/>
          <w:shd w:val="clear" w:color="auto" w:fill="FFFFFF"/>
        </w:rPr>
        <w:t> because </w:t>
      </w:r>
      <w:r w:rsidRPr="00F40A42">
        <w:rPr>
          <w:rFonts w:ascii="Arial" w:hAnsi="Arial" w:cs="Arial"/>
          <w:b/>
          <w:bCs/>
          <w:color w:val="27272A"/>
          <w:shd w:val="clear" w:color="auto" w:fill="FFFFFF"/>
        </w:rPr>
        <w:t>“he will save his people from their sins.”</w:t>
      </w:r>
      <w:r w:rsidRPr="00F40A42">
        <w:rPr>
          <w:rFonts w:ascii="Arial" w:hAnsi="Arial" w:cs="Arial"/>
          <w:color w:val="27272A"/>
          <w:shd w:val="clear" w:color="auto" w:fill="FFFFFF"/>
        </w:rPr>
        <w:t> </w:t>
      </w:r>
      <w:r w:rsidR="003533AE">
        <w:rPr>
          <w:rStyle w:val="FootnoteReference"/>
          <w:rFonts w:ascii="Arial" w:hAnsi="Arial" w:cs="Arial"/>
          <w:color w:val="27272A"/>
          <w:shd w:val="clear" w:color="auto" w:fill="FFFFFF"/>
        </w:rPr>
        <w:footnoteReference w:id="63"/>
      </w:r>
    </w:p>
    <w:p w14:paraId="724D157C" w14:textId="77777777" w:rsidR="00F40A42" w:rsidRPr="00F40A42" w:rsidRDefault="00F40A42" w:rsidP="00F40A42">
      <w:pPr>
        <w:rPr>
          <w:rFonts w:ascii="Arial" w:hAnsi="Arial" w:cs="Arial"/>
          <w:b/>
          <w:bCs/>
          <w:color w:val="27272A"/>
          <w:shd w:val="clear" w:color="auto" w:fill="FFFFFF"/>
        </w:rPr>
      </w:pPr>
      <w:r w:rsidRPr="00F40A42">
        <w:rPr>
          <w:rFonts w:ascii="Arial" w:hAnsi="Arial" w:cs="Arial"/>
          <w:b/>
          <w:bCs/>
          <w:color w:val="27272A"/>
          <w:shd w:val="clear" w:color="auto" w:fill="FFFFFF"/>
        </w:rPr>
        <w:t>Why the Incarnation?</w:t>
      </w:r>
    </w:p>
    <w:p w14:paraId="123E32A8" w14:textId="0B93BCED"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The Catechism explains the purpose in explicitly soteriological (salvific) terms: the Word became man so that </w:t>
      </w:r>
      <w:r w:rsidRPr="00F40A42">
        <w:rPr>
          <w:rFonts w:ascii="Arial" w:hAnsi="Arial" w:cs="Arial"/>
          <w:b/>
          <w:bCs/>
          <w:color w:val="27272A"/>
          <w:shd w:val="clear" w:color="auto" w:fill="FFFFFF"/>
        </w:rPr>
        <w:t>humans may become “partakers of the divine nature,”</w:t>
      </w:r>
      <w:r w:rsidRPr="00F40A42">
        <w:rPr>
          <w:rFonts w:ascii="Arial" w:hAnsi="Arial" w:cs="Arial"/>
          <w:color w:val="27272A"/>
          <w:shd w:val="clear" w:color="auto" w:fill="FFFFFF"/>
        </w:rPr>
        <w:t> receiving </w:t>
      </w:r>
      <w:r w:rsidRPr="00F40A42">
        <w:rPr>
          <w:rFonts w:ascii="Arial" w:hAnsi="Arial" w:cs="Arial"/>
          <w:b/>
          <w:bCs/>
          <w:color w:val="27272A"/>
          <w:shd w:val="clear" w:color="auto" w:fill="FFFFFF"/>
        </w:rPr>
        <w:t>divine sonship</w:t>
      </w:r>
      <w:r w:rsidRPr="00F40A42">
        <w:rPr>
          <w:rFonts w:ascii="Arial" w:hAnsi="Arial" w:cs="Arial"/>
          <w:color w:val="27272A"/>
          <w:shd w:val="clear" w:color="auto" w:fill="FFFFFF"/>
        </w:rPr>
        <w:t>. </w:t>
      </w:r>
      <w:r w:rsidR="007D45BF">
        <w:rPr>
          <w:rStyle w:val="FootnoteReference"/>
          <w:rFonts w:ascii="Arial" w:hAnsi="Arial" w:cs="Arial"/>
          <w:color w:val="27272A"/>
          <w:shd w:val="clear" w:color="auto" w:fill="FFFFFF"/>
        </w:rPr>
        <w:footnoteReference w:id="64"/>
      </w:r>
    </w:p>
    <w:p w14:paraId="772A0D34" w14:textId="4EE1EF04"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The Catechism also presents the Incarnation’s mystery in the hymn of Christ’s self-emptying and obedient humility unto death on a cross. </w:t>
      </w:r>
      <w:r w:rsidR="0060344E">
        <w:rPr>
          <w:rStyle w:val="FootnoteReference"/>
          <w:rFonts w:ascii="Arial" w:hAnsi="Arial" w:cs="Arial"/>
          <w:color w:val="27272A"/>
          <w:shd w:val="clear" w:color="auto" w:fill="FFFFFF"/>
        </w:rPr>
        <w:footnoteReference w:id="65"/>
      </w:r>
    </w:p>
    <w:p w14:paraId="3ED2FE28" w14:textId="77062F4C" w:rsidR="00085FA8" w:rsidRPr="00A62BE8" w:rsidRDefault="00000000" w:rsidP="00F40A42">
      <w:pPr>
        <w:rPr>
          <w:rFonts w:ascii="Arial" w:hAnsi="Arial" w:cs="Arial"/>
          <w:color w:val="27272A"/>
          <w:shd w:val="clear" w:color="auto" w:fill="FFFFFF"/>
        </w:rPr>
      </w:pPr>
      <w:r>
        <w:rPr>
          <w:rFonts w:ascii="Arial" w:hAnsi="Arial" w:cs="Arial"/>
          <w:color w:val="27272A"/>
          <w:shd w:val="clear" w:color="auto" w:fill="FFFFFF"/>
        </w:rPr>
        <w:pict w14:anchorId="2B439246">
          <v:rect id="_x0000_i1032" style="width:0;height:0" o:hralign="center" o:hrstd="t" o:hr="t" fillcolor="#a0a0a0" stroked="f"/>
        </w:pict>
      </w:r>
    </w:p>
    <w:p w14:paraId="527DAB28" w14:textId="4E33D36E" w:rsidR="00F40A42" w:rsidRPr="00F40A42" w:rsidRDefault="00F40A42" w:rsidP="00F40A42">
      <w:pPr>
        <w:rPr>
          <w:rFonts w:ascii="Arial" w:hAnsi="Arial" w:cs="Arial"/>
          <w:b/>
          <w:bCs/>
          <w:color w:val="27272A"/>
          <w:shd w:val="clear" w:color="auto" w:fill="FFFFFF"/>
        </w:rPr>
      </w:pPr>
      <w:r w:rsidRPr="00F40A42">
        <w:rPr>
          <w:rFonts w:ascii="Arial" w:hAnsi="Arial" w:cs="Arial"/>
          <w:b/>
          <w:bCs/>
          <w:color w:val="27272A"/>
          <w:shd w:val="clear" w:color="auto" w:fill="FFFFFF"/>
        </w:rPr>
        <w:t>Public Ministry (The Kingdom of God Arrives)</w:t>
      </w:r>
    </w:p>
    <w:p w14:paraId="3A1C072E" w14:textId="02D8B630"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Jesus’ public ministry is marked by proclamation and gathering: the Catechism summarizes that Jesus </w:t>
      </w:r>
      <w:r w:rsidRPr="00F40A42">
        <w:rPr>
          <w:rFonts w:ascii="Arial" w:hAnsi="Arial" w:cs="Arial"/>
          <w:b/>
          <w:bCs/>
          <w:color w:val="27272A"/>
          <w:shd w:val="clear" w:color="auto" w:fill="FFFFFF"/>
        </w:rPr>
        <w:t>inaugurated the kingdom of heaven on earth</w:t>
      </w:r>
      <w:r w:rsidRPr="00F40A42">
        <w:rPr>
          <w:rFonts w:ascii="Arial" w:hAnsi="Arial" w:cs="Arial"/>
          <w:color w:val="27272A"/>
          <w:shd w:val="clear" w:color="auto" w:fill="FFFFFF"/>
        </w:rPr>
        <w:t> and gathers people around </w:t>
      </w:r>
      <w:r w:rsidRPr="00F40A42">
        <w:rPr>
          <w:rFonts w:ascii="Arial" w:hAnsi="Arial" w:cs="Arial"/>
          <w:b/>
          <w:bCs/>
          <w:color w:val="27272A"/>
          <w:shd w:val="clear" w:color="auto" w:fill="FFFFFF"/>
        </w:rPr>
        <w:t>his Son Jesus Christ</w:t>
      </w:r>
      <w:r w:rsidRPr="00F40A42">
        <w:rPr>
          <w:rFonts w:ascii="Arial" w:hAnsi="Arial" w:cs="Arial"/>
          <w:color w:val="27272A"/>
          <w:shd w:val="clear" w:color="auto" w:fill="FFFFFF"/>
        </w:rPr>
        <w:t>—the Church is described as the </w:t>
      </w:r>
      <w:r w:rsidRPr="00F40A42">
        <w:rPr>
          <w:rFonts w:ascii="Arial" w:hAnsi="Arial" w:cs="Arial"/>
          <w:b/>
          <w:bCs/>
          <w:color w:val="27272A"/>
          <w:shd w:val="clear" w:color="auto" w:fill="FFFFFF"/>
        </w:rPr>
        <w:t>“seed and beginning”</w:t>
      </w:r>
      <w:r w:rsidRPr="00F40A42">
        <w:rPr>
          <w:rFonts w:ascii="Arial" w:hAnsi="Arial" w:cs="Arial"/>
          <w:color w:val="27272A"/>
          <w:shd w:val="clear" w:color="auto" w:fill="FFFFFF"/>
        </w:rPr>
        <w:t> of that kingdom. </w:t>
      </w:r>
      <w:r w:rsidR="00DC7CF1">
        <w:rPr>
          <w:rStyle w:val="FootnoteReference"/>
          <w:rFonts w:ascii="Arial" w:hAnsi="Arial" w:cs="Arial"/>
          <w:color w:val="27272A"/>
          <w:shd w:val="clear" w:color="auto" w:fill="FFFFFF"/>
        </w:rPr>
        <w:footnoteReference w:id="66"/>
      </w:r>
    </w:p>
    <w:p w14:paraId="604C4DE5" w14:textId="77777777" w:rsidR="00F40A42" w:rsidRPr="00F40A42" w:rsidRDefault="00F40A42" w:rsidP="00F40A42">
      <w:pPr>
        <w:rPr>
          <w:rFonts w:ascii="Arial" w:hAnsi="Arial" w:cs="Arial"/>
          <w:b/>
          <w:bCs/>
          <w:color w:val="27272A"/>
          <w:shd w:val="clear" w:color="auto" w:fill="FFFFFF"/>
        </w:rPr>
      </w:pPr>
      <w:r w:rsidRPr="00F40A42">
        <w:rPr>
          <w:rFonts w:ascii="Arial" w:hAnsi="Arial" w:cs="Arial"/>
          <w:b/>
          <w:bCs/>
          <w:color w:val="27272A"/>
          <w:shd w:val="clear" w:color="auto" w:fill="FFFFFF"/>
        </w:rPr>
        <w:t>Repentance and belief in the Kingdom</w:t>
      </w:r>
    </w:p>
    <w:p w14:paraId="6A553064" w14:textId="588EAA99"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From the beginning of his preaching, Jesus proclaims: </w:t>
      </w:r>
      <w:r w:rsidRPr="00F40A42">
        <w:rPr>
          <w:rFonts w:ascii="Arial" w:hAnsi="Arial" w:cs="Arial"/>
          <w:b/>
          <w:bCs/>
          <w:color w:val="27272A"/>
          <w:shd w:val="clear" w:color="auto" w:fill="FFFFFF"/>
        </w:rPr>
        <w:t>“The time is fulfilled, and the kingdom of God has come near; repent, and believe in the good news.”</w:t>
      </w:r>
      <w:r w:rsidRPr="00F40A42">
        <w:rPr>
          <w:rFonts w:ascii="Arial" w:hAnsi="Arial" w:cs="Arial"/>
          <w:color w:val="27272A"/>
          <w:shd w:val="clear" w:color="auto" w:fill="FFFFFF"/>
        </w:rPr>
        <w:t> </w:t>
      </w:r>
      <w:r w:rsidR="002A203A">
        <w:rPr>
          <w:rStyle w:val="FootnoteReference"/>
          <w:rFonts w:ascii="Arial" w:hAnsi="Arial" w:cs="Arial"/>
          <w:color w:val="27272A"/>
          <w:shd w:val="clear" w:color="auto" w:fill="FFFFFF"/>
        </w:rPr>
        <w:footnoteReference w:id="67"/>
      </w:r>
    </w:p>
    <w:p w14:paraId="612E633D" w14:textId="3BB23CDB"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This same message appears in the Gospel summary: </w:t>
      </w:r>
      <w:r w:rsidRPr="00F40A42">
        <w:rPr>
          <w:rFonts w:ascii="Arial" w:hAnsi="Arial" w:cs="Arial"/>
          <w:b/>
          <w:bCs/>
          <w:color w:val="27272A"/>
          <w:shd w:val="clear" w:color="auto" w:fill="FFFFFF"/>
        </w:rPr>
        <w:t>the kingdom of heaven has come near; repent.</w:t>
      </w:r>
      <w:r w:rsidRPr="00F40A42">
        <w:rPr>
          <w:rFonts w:ascii="Arial" w:hAnsi="Arial" w:cs="Arial"/>
          <w:color w:val="27272A"/>
          <w:shd w:val="clear" w:color="auto" w:fill="FFFFFF"/>
        </w:rPr>
        <w:t> </w:t>
      </w:r>
      <w:r w:rsidR="002058A3">
        <w:rPr>
          <w:rStyle w:val="FootnoteReference"/>
          <w:rFonts w:ascii="Arial" w:hAnsi="Arial" w:cs="Arial"/>
          <w:color w:val="27272A"/>
          <w:shd w:val="clear" w:color="auto" w:fill="FFFFFF"/>
        </w:rPr>
        <w:footnoteReference w:id="68"/>
      </w:r>
    </w:p>
    <w:p w14:paraId="4BA1FF1D" w14:textId="77777777" w:rsidR="00F40A42" w:rsidRPr="00F40A42" w:rsidRDefault="00F40A42" w:rsidP="00F40A42">
      <w:pPr>
        <w:rPr>
          <w:rFonts w:ascii="Arial" w:hAnsi="Arial" w:cs="Arial"/>
          <w:b/>
          <w:bCs/>
          <w:color w:val="27272A"/>
          <w:shd w:val="clear" w:color="auto" w:fill="FFFFFF"/>
        </w:rPr>
      </w:pPr>
      <w:r w:rsidRPr="00F40A42">
        <w:rPr>
          <w:rFonts w:ascii="Arial" w:hAnsi="Arial" w:cs="Arial"/>
          <w:b/>
          <w:bCs/>
          <w:color w:val="27272A"/>
          <w:shd w:val="clear" w:color="auto" w:fill="FFFFFF"/>
        </w:rPr>
        <w:t>Baptism and temptation</w:t>
      </w:r>
    </w:p>
    <w:p w14:paraId="20C4E137" w14:textId="530C94A3"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Luke/Matthew’s Gospel portrayal in the provided texts includes Jesus being baptized and then receiving the Spirit—when Jesus comes up from the water, </w:t>
      </w:r>
      <w:r w:rsidRPr="00F40A42">
        <w:rPr>
          <w:rFonts w:ascii="Arial" w:hAnsi="Arial" w:cs="Arial"/>
          <w:b/>
          <w:bCs/>
          <w:color w:val="27272A"/>
          <w:shd w:val="clear" w:color="auto" w:fill="FFFFFF"/>
        </w:rPr>
        <w:t>the Spirit of God descends like a dove</w:t>
      </w:r>
      <w:r w:rsidRPr="00F40A42">
        <w:rPr>
          <w:rFonts w:ascii="Arial" w:hAnsi="Arial" w:cs="Arial"/>
          <w:color w:val="27272A"/>
          <w:shd w:val="clear" w:color="auto" w:fill="FFFFFF"/>
        </w:rPr>
        <w:t>, and a voice identifies him as </w:t>
      </w:r>
      <w:r w:rsidRPr="00F40A42">
        <w:rPr>
          <w:rFonts w:ascii="Arial" w:hAnsi="Arial" w:cs="Arial"/>
          <w:b/>
          <w:bCs/>
          <w:color w:val="27272A"/>
          <w:shd w:val="clear" w:color="auto" w:fill="FFFFFF"/>
        </w:rPr>
        <w:t>“my Son, the Beloved.”</w:t>
      </w:r>
      <w:r w:rsidRPr="00F40A42">
        <w:rPr>
          <w:rFonts w:ascii="Arial" w:hAnsi="Arial" w:cs="Arial"/>
          <w:color w:val="27272A"/>
          <w:shd w:val="clear" w:color="auto" w:fill="FFFFFF"/>
        </w:rPr>
        <w:t> </w:t>
      </w:r>
      <w:r w:rsidR="00DE0170">
        <w:rPr>
          <w:rStyle w:val="FootnoteReference"/>
          <w:rFonts w:ascii="Arial" w:hAnsi="Arial" w:cs="Arial"/>
          <w:color w:val="27272A"/>
          <w:shd w:val="clear" w:color="auto" w:fill="FFFFFF"/>
        </w:rPr>
        <w:footnoteReference w:id="69"/>
      </w:r>
    </w:p>
    <w:p w14:paraId="3C00C11D" w14:textId="1AB1F319"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lastRenderedPageBreak/>
        <w:t>Jesus is also led by the Spirit into the wilderness to be tempted by the devil, and after the temptation angels waited on him. </w:t>
      </w:r>
      <w:r w:rsidR="00DE0170">
        <w:rPr>
          <w:rStyle w:val="FootnoteReference"/>
          <w:rFonts w:ascii="Arial" w:hAnsi="Arial" w:cs="Arial"/>
          <w:color w:val="27272A"/>
          <w:shd w:val="clear" w:color="auto" w:fill="FFFFFF"/>
        </w:rPr>
        <w:footnoteReference w:id="70"/>
      </w:r>
    </w:p>
    <w:p w14:paraId="03FD4FFA" w14:textId="77777777" w:rsidR="00F40A42" w:rsidRPr="00F40A42" w:rsidRDefault="00F40A42" w:rsidP="00F40A42">
      <w:pPr>
        <w:rPr>
          <w:rFonts w:ascii="Arial" w:hAnsi="Arial" w:cs="Arial"/>
          <w:b/>
          <w:bCs/>
          <w:color w:val="27272A"/>
          <w:shd w:val="clear" w:color="auto" w:fill="FFFFFF"/>
        </w:rPr>
      </w:pPr>
      <w:r w:rsidRPr="00F40A42">
        <w:rPr>
          <w:rFonts w:ascii="Arial" w:hAnsi="Arial" w:cs="Arial"/>
          <w:b/>
          <w:bCs/>
          <w:color w:val="27272A"/>
          <w:shd w:val="clear" w:color="auto" w:fill="FFFFFF"/>
        </w:rPr>
        <w:t>Teaching, authority, and signs</w:t>
      </w:r>
    </w:p>
    <w:p w14:paraId="27F1E684" w14:textId="12D00288"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In the synagogue, those who heard Jesus were </w:t>
      </w:r>
      <w:r w:rsidRPr="00F40A42">
        <w:rPr>
          <w:rFonts w:ascii="Arial" w:hAnsi="Arial" w:cs="Arial"/>
          <w:b/>
          <w:bCs/>
          <w:color w:val="27272A"/>
          <w:shd w:val="clear" w:color="auto" w:fill="FFFFFF"/>
        </w:rPr>
        <w:t>“astounded at his teaching, for he taught them as one having authority.”</w:t>
      </w:r>
      <w:r w:rsidRPr="00F40A42">
        <w:rPr>
          <w:rFonts w:ascii="Arial" w:hAnsi="Arial" w:cs="Arial"/>
          <w:color w:val="27272A"/>
          <w:shd w:val="clear" w:color="auto" w:fill="FFFFFF"/>
        </w:rPr>
        <w:t> </w:t>
      </w:r>
      <w:r w:rsidR="008C6408">
        <w:rPr>
          <w:rStyle w:val="FootnoteReference"/>
          <w:rFonts w:ascii="Arial" w:hAnsi="Arial" w:cs="Arial"/>
          <w:color w:val="27272A"/>
          <w:shd w:val="clear" w:color="auto" w:fill="FFFFFF"/>
        </w:rPr>
        <w:footnoteReference w:id="71"/>
      </w:r>
    </w:p>
    <w:p w14:paraId="06250E61" w14:textId="5DD695A1"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His ministry includes proclamation of the kingdom and actions of mercy: in Galilee he teaches and </w:t>
      </w:r>
      <w:r w:rsidRPr="00F40A42">
        <w:rPr>
          <w:rFonts w:ascii="Arial" w:hAnsi="Arial" w:cs="Arial"/>
          <w:b/>
          <w:bCs/>
          <w:color w:val="27272A"/>
          <w:shd w:val="clear" w:color="auto" w:fill="FFFFFF"/>
        </w:rPr>
        <w:t>“cure[s] every disease and every sickness”</w:t>
      </w:r>
      <w:r w:rsidRPr="00F40A42">
        <w:rPr>
          <w:rFonts w:ascii="Arial" w:hAnsi="Arial" w:cs="Arial"/>
          <w:color w:val="27272A"/>
          <w:shd w:val="clear" w:color="auto" w:fill="FFFFFF"/>
        </w:rPr>
        <w:t> and people bring the sick and he cures them. </w:t>
      </w:r>
      <w:r w:rsidR="007A0EE8">
        <w:rPr>
          <w:rStyle w:val="FootnoteReference"/>
          <w:rFonts w:ascii="Arial" w:hAnsi="Arial" w:cs="Arial"/>
          <w:color w:val="27272A"/>
          <w:shd w:val="clear" w:color="auto" w:fill="FFFFFF"/>
        </w:rPr>
        <w:footnoteReference w:id="72"/>
      </w:r>
    </w:p>
    <w:p w14:paraId="56A54A19" w14:textId="3E7A5782"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The Gospels also describe his authority over evil spirits, as Jesus casts out demons and prevents them from speaking, because they knew him. </w:t>
      </w:r>
      <w:r w:rsidR="009955D6">
        <w:rPr>
          <w:rStyle w:val="FootnoteReference"/>
          <w:rFonts w:ascii="Arial" w:hAnsi="Arial" w:cs="Arial"/>
          <w:color w:val="27272A"/>
          <w:shd w:val="clear" w:color="auto" w:fill="FFFFFF"/>
        </w:rPr>
        <w:footnoteReference w:id="73"/>
      </w:r>
    </w:p>
    <w:p w14:paraId="1E187707" w14:textId="202C1CCE"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He likewise heals a leper, and the leper is made clean immediately. </w:t>
      </w:r>
      <w:r w:rsidR="009955D6">
        <w:rPr>
          <w:rStyle w:val="FootnoteReference"/>
          <w:rFonts w:ascii="Arial" w:hAnsi="Arial" w:cs="Arial"/>
          <w:color w:val="27272A"/>
          <w:shd w:val="clear" w:color="auto" w:fill="FFFFFF"/>
        </w:rPr>
        <w:footnoteReference w:id="74"/>
      </w:r>
    </w:p>
    <w:p w14:paraId="2B9B0822" w14:textId="77777777" w:rsidR="00F40A42" w:rsidRPr="00F40A42" w:rsidRDefault="00F40A42" w:rsidP="00F40A42">
      <w:pPr>
        <w:rPr>
          <w:rFonts w:ascii="Arial" w:hAnsi="Arial" w:cs="Arial"/>
          <w:b/>
          <w:bCs/>
          <w:color w:val="27272A"/>
          <w:shd w:val="clear" w:color="auto" w:fill="FFFFFF"/>
        </w:rPr>
      </w:pPr>
      <w:r w:rsidRPr="00F40A42">
        <w:rPr>
          <w:rFonts w:ascii="Arial" w:hAnsi="Arial" w:cs="Arial"/>
          <w:b/>
          <w:bCs/>
          <w:color w:val="27272A"/>
          <w:shd w:val="clear" w:color="auto" w:fill="FFFFFF"/>
        </w:rPr>
        <w:t>Calling disciples</w:t>
      </w:r>
    </w:p>
    <w:p w14:paraId="2D69C025" w14:textId="78950EFC" w:rsidR="009A4A98" w:rsidRPr="008D16D0"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The Gospel accounts show Jesus calling disciples to follow him—for example, </w:t>
      </w:r>
      <w:r w:rsidRPr="00F40A42">
        <w:rPr>
          <w:rFonts w:ascii="Arial" w:hAnsi="Arial" w:cs="Arial"/>
          <w:b/>
          <w:bCs/>
          <w:color w:val="27272A"/>
          <w:shd w:val="clear" w:color="auto" w:fill="FFFFFF"/>
        </w:rPr>
        <w:t>“Follow me, and I will make you fish for people,”</w:t>
      </w:r>
      <w:r w:rsidRPr="00F40A42">
        <w:rPr>
          <w:rFonts w:ascii="Arial" w:hAnsi="Arial" w:cs="Arial"/>
          <w:color w:val="27272A"/>
          <w:shd w:val="clear" w:color="auto" w:fill="FFFFFF"/>
        </w:rPr>
        <w:t> and the disciples immediately follow. </w:t>
      </w:r>
      <w:r w:rsidR="00381D27">
        <w:rPr>
          <w:rStyle w:val="FootnoteReference"/>
          <w:rFonts w:ascii="Arial" w:hAnsi="Arial" w:cs="Arial"/>
          <w:color w:val="27272A"/>
          <w:shd w:val="clear" w:color="auto" w:fill="FFFFFF"/>
        </w:rPr>
        <w:footnoteReference w:id="75"/>
      </w:r>
    </w:p>
    <w:p w14:paraId="2699DE2F" w14:textId="3CA1FCBD" w:rsidR="00F40A42" w:rsidRPr="00F40A42" w:rsidRDefault="00F40A42" w:rsidP="00F40A42">
      <w:pPr>
        <w:rPr>
          <w:rFonts w:ascii="Arial" w:hAnsi="Arial" w:cs="Arial"/>
          <w:b/>
          <w:bCs/>
          <w:color w:val="27272A"/>
          <w:shd w:val="clear" w:color="auto" w:fill="FFFFFF"/>
        </w:rPr>
      </w:pPr>
      <w:r w:rsidRPr="00F40A42">
        <w:rPr>
          <w:rFonts w:ascii="Arial" w:hAnsi="Arial" w:cs="Arial"/>
          <w:b/>
          <w:bCs/>
          <w:color w:val="27272A"/>
          <w:shd w:val="clear" w:color="auto" w:fill="FFFFFF"/>
        </w:rPr>
        <w:t>The Paschal Mystery (Cross and Resurrection)</w:t>
      </w:r>
    </w:p>
    <w:p w14:paraId="77ED7A5A" w14:textId="77777777"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The Catechism states clearly that </w:t>
      </w:r>
      <w:r w:rsidRPr="00F40A42">
        <w:rPr>
          <w:rFonts w:ascii="Arial" w:hAnsi="Arial" w:cs="Arial"/>
          <w:b/>
          <w:bCs/>
          <w:color w:val="27272A"/>
          <w:shd w:val="clear" w:color="auto" w:fill="FFFFFF"/>
        </w:rPr>
        <w:t>the Paschal mystery of Christ’s cross and Resurrection stands at the centre of the Good News</w:t>
      </w:r>
      <w:r w:rsidRPr="00F40A42">
        <w:rPr>
          <w:rFonts w:ascii="Arial" w:hAnsi="Arial" w:cs="Arial"/>
          <w:color w:val="27272A"/>
          <w:shd w:val="clear" w:color="auto" w:fill="FFFFFF"/>
        </w:rPr>
        <w:t> that the apostles (and the Church following them) are to proclaim. 10</w:t>
      </w:r>
    </w:p>
    <w:p w14:paraId="6C7BC142" w14:textId="77777777"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It also emphasizes that God’s saving plan was accomplished </w:t>
      </w:r>
      <w:r w:rsidRPr="00F40A42">
        <w:rPr>
          <w:rFonts w:ascii="Arial" w:hAnsi="Arial" w:cs="Arial"/>
          <w:b/>
          <w:bCs/>
          <w:color w:val="27272A"/>
          <w:shd w:val="clear" w:color="auto" w:fill="FFFFFF"/>
        </w:rPr>
        <w:t>“once for all”</w:t>
      </w:r>
      <w:r w:rsidRPr="00F40A42">
        <w:rPr>
          <w:rFonts w:ascii="Arial" w:hAnsi="Arial" w:cs="Arial"/>
          <w:color w:val="27272A"/>
          <w:shd w:val="clear" w:color="auto" w:fill="FFFFFF"/>
        </w:rPr>
        <w:t> by the redemptive death of Jesus Christ. 10</w:t>
      </w:r>
    </w:p>
    <w:p w14:paraId="62B1F6D6" w14:textId="77777777"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The Catechism further teaches that Jesus’ sufferings took concrete historical form in his rejection and his being handed over, mocked, scourged, and crucified. 11</w:t>
      </w:r>
    </w:p>
    <w:p w14:paraId="6057654E" w14:textId="77777777" w:rsidR="00F40A42" w:rsidRPr="00F40A42" w:rsidRDefault="00F40A42" w:rsidP="00F40A42">
      <w:pPr>
        <w:rPr>
          <w:rFonts w:ascii="Arial" w:hAnsi="Arial" w:cs="Arial"/>
          <w:b/>
          <w:bCs/>
          <w:color w:val="27272A"/>
          <w:shd w:val="clear" w:color="auto" w:fill="FFFFFF"/>
        </w:rPr>
      </w:pPr>
      <w:r w:rsidRPr="00F40A42">
        <w:rPr>
          <w:rFonts w:ascii="Arial" w:hAnsi="Arial" w:cs="Arial"/>
          <w:b/>
          <w:bCs/>
          <w:color w:val="27272A"/>
          <w:shd w:val="clear" w:color="auto" w:fill="FFFFFF"/>
        </w:rPr>
        <w:t>The Eucharistic institution within the Paschal context (the New Covenant in His blood)</w:t>
      </w:r>
    </w:p>
    <w:p w14:paraId="13D63AF4" w14:textId="77777777"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At the Last Supper, Jesus gives sacramental words that the Catechism connects to the Paschal mystery by Scripture itself:</w:t>
      </w:r>
      <w:r w:rsidRPr="00F40A42">
        <w:rPr>
          <w:rFonts w:ascii="Arial" w:hAnsi="Arial" w:cs="Arial"/>
          <w:color w:val="27272A"/>
          <w:shd w:val="clear" w:color="auto" w:fill="FFFFFF"/>
        </w:rPr>
        <w:br/>
        <w:t>“This is my body…,” and: “This cup… is the new covenant in my blood.” 12</w:t>
      </w:r>
    </w:p>
    <w:p w14:paraId="1CA05F69" w14:textId="77777777" w:rsidR="00F40A42" w:rsidRPr="00F40A42" w:rsidRDefault="00F40A42" w:rsidP="00F40A42">
      <w:pPr>
        <w:rPr>
          <w:rFonts w:ascii="Arial" w:hAnsi="Arial" w:cs="Arial"/>
          <w:b/>
          <w:bCs/>
          <w:color w:val="27272A"/>
          <w:shd w:val="clear" w:color="auto" w:fill="FFFFFF"/>
        </w:rPr>
      </w:pPr>
      <w:r w:rsidRPr="00F40A42">
        <w:rPr>
          <w:rFonts w:ascii="Arial" w:hAnsi="Arial" w:cs="Arial"/>
          <w:b/>
          <w:bCs/>
          <w:color w:val="27272A"/>
          <w:shd w:val="clear" w:color="auto" w:fill="FFFFFF"/>
        </w:rPr>
        <w:lastRenderedPageBreak/>
        <w:t>Gethsemane and the Passion</w:t>
      </w:r>
    </w:p>
    <w:p w14:paraId="4F78FE89" w14:textId="255E204B"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In Gethsemane, Jesus prays to the Father</w:t>
      </w:r>
      <w:r w:rsidR="00843743" w:rsidRPr="00F40A42">
        <w:rPr>
          <w:rFonts w:ascii="Arial" w:hAnsi="Arial" w:cs="Arial"/>
          <w:color w:val="27272A"/>
          <w:shd w:val="clear" w:color="auto" w:fill="FFFFFF"/>
        </w:rPr>
        <w:t>— “</w:t>
      </w:r>
      <w:r w:rsidRPr="00F40A42">
        <w:rPr>
          <w:rFonts w:ascii="Arial" w:hAnsi="Arial" w:cs="Arial"/>
          <w:color w:val="27272A"/>
          <w:shd w:val="clear" w:color="auto" w:fill="FFFFFF"/>
        </w:rPr>
        <w:t>your will be done”—and undergoes agony prior to his Passion. 13</w:t>
      </w:r>
    </w:p>
    <w:p w14:paraId="24473355" w14:textId="310AAA06"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On the cross, John’s account includes Jesus’ final words: </w:t>
      </w:r>
      <w:r w:rsidRPr="00F40A42">
        <w:rPr>
          <w:rFonts w:ascii="Arial" w:hAnsi="Arial" w:cs="Arial"/>
          <w:b/>
          <w:bCs/>
          <w:color w:val="27272A"/>
          <w:shd w:val="clear" w:color="auto" w:fill="FFFFFF"/>
        </w:rPr>
        <w:t>“It is finished.”</w:t>
      </w:r>
      <w:r w:rsidRPr="00F40A42">
        <w:rPr>
          <w:rFonts w:ascii="Arial" w:hAnsi="Arial" w:cs="Arial"/>
          <w:color w:val="27272A"/>
          <w:shd w:val="clear" w:color="auto" w:fill="FFFFFF"/>
        </w:rPr>
        <w:t> 14</w:t>
      </w:r>
    </w:p>
    <w:p w14:paraId="5A8900F2" w14:textId="77777777" w:rsidR="00F40A42" w:rsidRPr="00F40A42" w:rsidRDefault="00F40A42" w:rsidP="00F40A42">
      <w:pPr>
        <w:rPr>
          <w:rFonts w:ascii="Arial" w:hAnsi="Arial" w:cs="Arial"/>
          <w:b/>
          <w:bCs/>
          <w:color w:val="27272A"/>
          <w:shd w:val="clear" w:color="auto" w:fill="FFFFFF"/>
        </w:rPr>
      </w:pPr>
      <w:r w:rsidRPr="00F40A42">
        <w:rPr>
          <w:rFonts w:ascii="Arial" w:hAnsi="Arial" w:cs="Arial"/>
          <w:b/>
          <w:bCs/>
          <w:color w:val="27272A"/>
          <w:shd w:val="clear" w:color="auto" w:fill="FFFFFF"/>
        </w:rPr>
        <w:t>The New Covenant (Fulfillment in Christ’s blood)</w:t>
      </w:r>
    </w:p>
    <w:p w14:paraId="54F61F2D" w14:textId="77777777"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A covenant is fulfilled in Jesus by means of his sacrificial death.</w:t>
      </w:r>
    </w:p>
    <w:p w14:paraId="0116E455" w14:textId="77777777"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At the Last Supper, Jesus explicitly identifies the cup as: </w:t>
      </w:r>
      <w:r w:rsidRPr="00F40A42">
        <w:rPr>
          <w:rFonts w:ascii="Arial" w:hAnsi="Arial" w:cs="Arial"/>
          <w:b/>
          <w:bCs/>
          <w:color w:val="27272A"/>
          <w:shd w:val="clear" w:color="auto" w:fill="FFFFFF"/>
        </w:rPr>
        <w:t>“the new covenant in my blood, which is poured out for you.”</w:t>
      </w:r>
      <w:r w:rsidRPr="00F40A42">
        <w:rPr>
          <w:rFonts w:ascii="Arial" w:hAnsi="Arial" w:cs="Arial"/>
          <w:color w:val="27272A"/>
          <w:shd w:val="clear" w:color="auto" w:fill="FFFFFF"/>
        </w:rPr>
        <w:t> 12</w:t>
      </w:r>
    </w:p>
    <w:p w14:paraId="66424254" w14:textId="77777777" w:rsidR="00F40A42" w:rsidRPr="00F40A42" w:rsidRDefault="00F40A42" w:rsidP="00F40A42">
      <w:pPr>
        <w:rPr>
          <w:rFonts w:ascii="Arial" w:hAnsi="Arial" w:cs="Arial"/>
          <w:color w:val="27272A"/>
          <w:shd w:val="clear" w:color="auto" w:fill="FFFFFF"/>
        </w:rPr>
      </w:pPr>
      <w:r w:rsidRPr="00F40A42">
        <w:rPr>
          <w:rFonts w:ascii="Arial" w:hAnsi="Arial" w:cs="Arial"/>
          <w:color w:val="27272A"/>
          <w:shd w:val="clear" w:color="auto" w:fill="FFFFFF"/>
        </w:rPr>
        <w:t>Within the Catechism’s framework of the Paschal mystery, this means the saving work of Christ—</w:t>
      </w:r>
      <w:r w:rsidRPr="00F40A42">
        <w:rPr>
          <w:rFonts w:ascii="Arial" w:hAnsi="Arial" w:cs="Arial"/>
          <w:b/>
          <w:bCs/>
          <w:color w:val="27272A"/>
          <w:shd w:val="clear" w:color="auto" w:fill="FFFFFF"/>
        </w:rPr>
        <w:t>cross and Resurrection</w:t>
      </w:r>
      <w:r w:rsidRPr="00F40A42">
        <w:rPr>
          <w:rFonts w:ascii="Arial" w:hAnsi="Arial" w:cs="Arial"/>
          <w:color w:val="27272A"/>
          <w:shd w:val="clear" w:color="auto" w:fill="FFFFFF"/>
        </w:rPr>
        <w:t>—is the centre of the proclamation of the Gospel “once for all.” 10</w:t>
      </w:r>
    </w:p>
    <w:p w14:paraId="1D1DB71B" w14:textId="7BD3DA46" w:rsidR="00053DD1" w:rsidRPr="00E17E28" w:rsidRDefault="00F40A42" w:rsidP="00F40A42">
      <w:pPr>
        <w:rPr>
          <w:rFonts w:ascii="Arial" w:hAnsi="Arial" w:cs="Arial"/>
          <w:color w:val="27272A"/>
          <w:shd w:val="clear" w:color="auto" w:fill="FFFFFF"/>
        </w:rPr>
      </w:pPr>
      <w:r w:rsidRPr="00F40A42">
        <w:rPr>
          <w:rFonts w:ascii="Arial" w:hAnsi="Arial" w:cs="Arial"/>
          <w:i/>
          <w:iCs/>
          <w:color w:val="27272A"/>
          <w:shd w:val="clear" w:color="auto" w:fill="FFFFFF"/>
        </w:rPr>
        <w:t>(Note: in the material provided here, there is no direct textual support for the specific comparison points you included—e.g., “written on hearts,” “animal sacrifices,” “Holy of Holies yearly,” or the specific Jeremiah quotation—so those should be removed or cited from additional sources.)</w:t>
      </w:r>
    </w:p>
    <w:p w14:paraId="5E8C001D" w14:textId="098CE72F" w:rsidR="00F40A42" w:rsidRPr="00053DD1" w:rsidRDefault="00F40A42" w:rsidP="00F40A42">
      <w:pPr>
        <w:rPr>
          <w:rFonts w:ascii="Arial" w:hAnsi="Arial" w:cs="Arial"/>
          <w:color w:val="27272A"/>
          <w:shd w:val="clear" w:color="auto" w:fill="FFFFFF"/>
        </w:rPr>
      </w:pPr>
      <w:r w:rsidRPr="00053DD1">
        <w:rPr>
          <w:rFonts w:ascii="Arial" w:hAnsi="Arial" w:cs="Arial"/>
          <w:color w:val="27272A"/>
          <w:shd w:val="clear" w:color="auto" w:fill="FFFFFF"/>
        </w:rPr>
        <w:t>Summary Table</w:t>
      </w:r>
    </w:p>
    <w:tbl>
      <w:tblPr>
        <w:tblW w:w="11351" w:type="dxa"/>
        <w:tblInd w:w="-84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4"/>
        <w:gridCol w:w="5739"/>
        <w:gridCol w:w="4218"/>
      </w:tblGrid>
      <w:tr w:rsidR="00F40A42" w:rsidRPr="00F40A42" w14:paraId="4B6E9DA2" w14:textId="77777777" w:rsidTr="009A4A98">
        <w:trPr>
          <w:trHeight w:val="497"/>
          <w:tblHeader/>
        </w:trPr>
        <w:tc>
          <w:tcPr>
            <w:tcW w:w="0" w:type="auto"/>
            <w:tcBorders>
              <w:top w:val="single" w:sz="2" w:space="0" w:color="E4E4E7"/>
              <w:left w:val="single" w:sz="2" w:space="0" w:color="E4E4E7"/>
              <w:bottom w:val="single" w:sz="2" w:space="0" w:color="E4E4E7"/>
              <w:right w:val="single" w:sz="2" w:space="0" w:color="E4E4E7"/>
            </w:tcBorders>
            <w:shd w:val="clear" w:color="auto" w:fill="E4E4E7"/>
            <w:vAlign w:val="bottom"/>
            <w:hideMark/>
          </w:tcPr>
          <w:p w14:paraId="3BED4C4D" w14:textId="77777777" w:rsidR="00F40A42" w:rsidRPr="00F40A42" w:rsidRDefault="00F40A42" w:rsidP="009A4A98">
            <w:pPr>
              <w:jc w:val="center"/>
              <w:rPr>
                <w:rFonts w:ascii="Arial" w:hAnsi="Arial" w:cs="Arial"/>
                <w:color w:val="27272A"/>
                <w:shd w:val="clear" w:color="auto" w:fill="FFFFFF"/>
              </w:rPr>
            </w:pPr>
            <w:r w:rsidRPr="00F40A42">
              <w:rPr>
                <w:rFonts w:ascii="Arial" w:hAnsi="Arial" w:cs="Arial"/>
                <w:color w:val="27272A"/>
                <w:shd w:val="clear" w:color="auto" w:fill="FFFFFF"/>
              </w:rPr>
              <w:t>Pillar</w:t>
            </w:r>
          </w:p>
        </w:tc>
        <w:tc>
          <w:tcPr>
            <w:tcW w:w="0" w:type="auto"/>
            <w:tcBorders>
              <w:top w:val="single" w:sz="2" w:space="0" w:color="E4E4E7"/>
              <w:left w:val="single" w:sz="2" w:space="0" w:color="E4E4E7"/>
              <w:bottom w:val="single" w:sz="2" w:space="0" w:color="E4E4E7"/>
              <w:right w:val="single" w:sz="2" w:space="0" w:color="E4E4E7"/>
            </w:tcBorders>
            <w:shd w:val="clear" w:color="auto" w:fill="E4E4E7"/>
            <w:vAlign w:val="bottom"/>
            <w:hideMark/>
          </w:tcPr>
          <w:p w14:paraId="1994F1CE" w14:textId="77777777" w:rsidR="00F40A42" w:rsidRPr="00F40A42" w:rsidRDefault="00F40A42" w:rsidP="009A4A98">
            <w:pPr>
              <w:jc w:val="center"/>
              <w:rPr>
                <w:rFonts w:ascii="Arial" w:hAnsi="Arial" w:cs="Arial"/>
                <w:color w:val="27272A"/>
                <w:shd w:val="clear" w:color="auto" w:fill="FFFFFF"/>
              </w:rPr>
            </w:pPr>
            <w:r w:rsidRPr="00F40A42">
              <w:rPr>
                <w:rFonts w:ascii="Arial" w:hAnsi="Arial" w:cs="Arial"/>
                <w:color w:val="27272A"/>
                <w:shd w:val="clear" w:color="auto" w:fill="FFFFFF"/>
              </w:rPr>
              <w:t>Core Teaching (as supported here)</w:t>
            </w:r>
          </w:p>
        </w:tc>
        <w:tc>
          <w:tcPr>
            <w:tcW w:w="0" w:type="auto"/>
            <w:tcBorders>
              <w:top w:val="single" w:sz="2" w:space="0" w:color="E4E4E7"/>
              <w:left w:val="single" w:sz="2" w:space="0" w:color="E4E4E7"/>
              <w:bottom w:val="single" w:sz="2" w:space="0" w:color="E4E4E7"/>
              <w:right w:val="single" w:sz="2" w:space="0" w:color="E4E4E7"/>
            </w:tcBorders>
            <w:shd w:val="clear" w:color="auto" w:fill="E4E4E7"/>
            <w:vAlign w:val="bottom"/>
            <w:hideMark/>
          </w:tcPr>
          <w:p w14:paraId="020D186C" w14:textId="77777777" w:rsidR="00F40A42" w:rsidRPr="00F40A42" w:rsidRDefault="00F40A42" w:rsidP="009A4A98">
            <w:pPr>
              <w:jc w:val="center"/>
              <w:rPr>
                <w:rFonts w:ascii="Arial" w:hAnsi="Arial" w:cs="Arial"/>
                <w:color w:val="27272A"/>
                <w:shd w:val="clear" w:color="auto" w:fill="FFFFFF"/>
              </w:rPr>
            </w:pPr>
            <w:r w:rsidRPr="00F40A42">
              <w:rPr>
                <w:rFonts w:ascii="Arial" w:hAnsi="Arial" w:cs="Arial"/>
                <w:color w:val="27272A"/>
                <w:shd w:val="clear" w:color="auto" w:fill="FFFFFF"/>
              </w:rPr>
              <w:t>Key Event(s)</w:t>
            </w:r>
          </w:p>
        </w:tc>
      </w:tr>
      <w:tr w:rsidR="00F40A42" w:rsidRPr="00F40A42" w14:paraId="389482FB" w14:textId="77777777" w:rsidTr="009A4A98">
        <w:trPr>
          <w:trHeight w:val="1155"/>
        </w:trPr>
        <w:tc>
          <w:tcPr>
            <w:tcW w:w="0" w:type="auto"/>
            <w:tcBorders>
              <w:top w:val="single" w:sz="2" w:space="0" w:color="E4E4E7"/>
              <w:left w:val="single" w:sz="2" w:space="0" w:color="E4E4E7"/>
              <w:bottom w:val="single" w:sz="2" w:space="0" w:color="E4E4E7"/>
              <w:right w:val="single" w:sz="2" w:space="0" w:color="E4E4E7"/>
            </w:tcBorders>
            <w:hideMark/>
          </w:tcPr>
          <w:p w14:paraId="6DA224BF" w14:textId="77777777" w:rsidR="00F40A42" w:rsidRPr="00F40A42" w:rsidRDefault="00F40A42" w:rsidP="009A4A98">
            <w:pPr>
              <w:jc w:val="center"/>
              <w:rPr>
                <w:rFonts w:ascii="Arial" w:hAnsi="Arial" w:cs="Arial"/>
                <w:color w:val="27272A"/>
                <w:shd w:val="clear" w:color="auto" w:fill="FFFFFF"/>
              </w:rPr>
            </w:pPr>
            <w:r w:rsidRPr="00F40A42">
              <w:rPr>
                <w:rFonts w:ascii="Arial" w:hAnsi="Arial" w:cs="Arial"/>
                <w:color w:val="27272A"/>
                <w:shd w:val="clear" w:color="auto" w:fill="FFFFFF"/>
              </w:rPr>
              <w:t>Incarnation</w:t>
            </w:r>
          </w:p>
        </w:tc>
        <w:tc>
          <w:tcPr>
            <w:tcW w:w="0" w:type="auto"/>
            <w:tcBorders>
              <w:top w:val="single" w:sz="2" w:space="0" w:color="E4E4E7"/>
              <w:left w:val="single" w:sz="2" w:space="0" w:color="E4E4E7"/>
              <w:bottom w:val="single" w:sz="2" w:space="0" w:color="E4E4E7"/>
              <w:right w:val="single" w:sz="2" w:space="0" w:color="E4E4E7"/>
            </w:tcBorders>
            <w:hideMark/>
          </w:tcPr>
          <w:p w14:paraId="00689C84" w14:textId="77777777" w:rsidR="00F40A42" w:rsidRPr="00F40A42" w:rsidRDefault="00F40A42" w:rsidP="009A4A98">
            <w:pPr>
              <w:jc w:val="center"/>
              <w:rPr>
                <w:rFonts w:ascii="Arial" w:hAnsi="Arial" w:cs="Arial"/>
                <w:color w:val="27272A"/>
                <w:shd w:val="clear" w:color="auto" w:fill="FFFFFF"/>
              </w:rPr>
            </w:pPr>
            <w:r w:rsidRPr="00F40A42">
              <w:rPr>
                <w:rFonts w:ascii="Arial" w:hAnsi="Arial" w:cs="Arial"/>
                <w:color w:val="27272A"/>
                <w:shd w:val="clear" w:color="auto" w:fill="FFFFFF"/>
              </w:rPr>
              <w:t>The Son assumed human nature to accomplish our salvation, so we may share in divine life/divine sonship</w:t>
            </w:r>
          </w:p>
        </w:tc>
        <w:tc>
          <w:tcPr>
            <w:tcW w:w="0" w:type="auto"/>
            <w:tcBorders>
              <w:top w:val="single" w:sz="2" w:space="0" w:color="E4E4E7"/>
              <w:left w:val="single" w:sz="2" w:space="0" w:color="E4E4E7"/>
              <w:bottom w:val="single" w:sz="2" w:space="0" w:color="E4E4E7"/>
              <w:right w:val="single" w:sz="2" w:space="0" w:color="E4E4E7"/>
            </w:tcBorders>
            <w:hideMark/>
          </w:tcPr>
          <w:p w14:paraId="4849216F" w14:textId="77777777" w:rsidR="00F40A42" w:rsidRPr="00F40A42" w:rsidRDefault="00F40A42" w:rsidP="009A4A98">
            <w:pPr>
              <w:jc w:val="center"/>
              <w:rPr>
                <w:rFonts w:ascii="Arial" w:hAnsi="Arial" w:cs="Arial"/>
                <w:color w:val="27272A"/>
                <w:shd w:val="clear" w:color="auto" w:fill="FFFFFF"/>
              </w:rPr>
            </w:pPr>
            <w:r w:rsidRPr="00F40A42">
              <w:rPr>
                <w:rFonts w:ascii="Arial" w:hAnsi="Arial" w:cs="Arial"/>
                <w:color w:val="27272A"/>
                <w:shd w:val="clear" w:color="auto" w:fill="FFFFFF"/>
              </w:rPr>
              <w:t>“The Word became flesh” 1 2</w:t>
            </w:r>
          </w:p>
        </w:tc>
      </w:tr>
      <w:tr w:rsidR="00F40A42" w:rsidRPr="00F40A42" w14:paraId="16157C42" w14:textId="77777777" w:rsidTr="009A4A98">
        <w:trPr>
          <w:trHeight w:val="1155"/>
        </w:trPr>
        <w:tc>
          <w:tcPr>
            <w:tcW w:w="0" w:type="auto"/>
            <w:tcBorders>
              <w:top w:val="single" w:sz="2" w:space="0" w:color="E4E4E7"/>
              <w:left w:val="single" w:sz="2" w:space="0" w:color="E4E4E7"/>
              <w:bottom w:val="single" w:sz="2" w:space="0" w:color="E4E4E7"/>
              <w:right w:val="single" w:sz="2" w:space="0" w:color="E4E4E7"/>
            </w:tcBorders>
            <w:hideMark/>
          </w:tcPr>
          <w:p w14:paraId="3471AF60" w14:textId="77777777" w:rsidR="00F40A42" w:rsidRPr="00F40A42" w:rsidRDefault="00F40A42" w:rsidP="009A4A98">
            <w:pPr>
              <w:jc w:val="center"/>
              <w:rPr>
                <w:rFonts w:ascii="Arial" w:hAnsi="Arial" w:cs="Arial"/>
                <w:color w:val="27272A"/>
                <w:shd w:val="clear" w:color="auto" w:fill="FFFFFF"/>
              </w:rPr>
            </w:pPr>
            <w:r w:rsidRPr="00F40A42">
              <w:rPr>
                <w:rFonts w:ascii="Arial" w:hAnsi="Arial" w:cs="Arial"/>
                <w:color w:val="27272A"/>
                <w:shd w:val="clear" w:color="auto" w:fill="FFFFFF"/>
              </w:rPr>
              <w:t>Public Ministry</w:t>
            </w:r>
          </w:p>
        </w:tc>
        <w:tc>
          <w:tcPr>
            <w:tcW w:w="0" w:type="auto"/>
            <w:tcBorders>
              <w:top w:val="single" w:sz="2" w:space="0" w:color="E4E4E7"/>
              <w:left w:val="single" w:sz="2" w:space="0" w:color="E4E4E7"/>
              <w:bottom w:val="single" w:sz="2" w:space="0" w:color="E4E4E7"/>
              <w:right w:val="single" w:sz="2" w:space="0" w:color="E4E4E7"/>
            </w:tcBorders>
            <w:hideMark/>
          </w:tcPr>
          <w:p w14:paraId="0861C7B3" w14:textId="77777777" w:rsidR="00F40A42" w:rsidRPr="00F40A42" w:rsidRDefault="00F40A42" w:rsidP="009A4A98">
            <w:pPr>
              <w:jc w:val="center"/>
              <w:rPr>
                <w:rFonts w:ascii="Arial" w:hAnsi="Arial" w:cs="Arial"/>
                <w:color w:val="27272A"/>
                <w:shd w:val="clear" w:color="auto" w:fill="FFFFFF"/>
              </w:rPr>
            </w:pPr>
            <w:r w:rsidRPr="00F40A42">
              <w:rPr>
                <w:rFonts w:ascii="Arial" w:hAnsi="Arial" w:cs="Arial"/>
                <w:color w:val="27272A"/>
                <w:shd w:val="clear" w:color="auto" w:fill="FFFFFF"/>
              </w:rPr>
              <w:t>The Kingdom of God is proclaimed as near; repentance and belief; Jesus teaches with authority and shows mercy through signs</w:t>
            </w:r>
          </w:p>
        </w:tc>
        <w:tc>
          <w:tcPr>
            <w:tcW w:w="0" w:type="auto"/>
            <w:tcBorders>
              <w:top w:val="single" w:sz="2" w:space="0" w:color="E4E4E7"/>
              <w:left w:val="single" w:sz="2" w:space="0" w:color="E4E4E7"/>
              <w:bottom w:val="single" w:sz="2" w:space="0" w:color="E4E4E7"/>
              <w:right w:val="single" w:sz="2" w:space="0" w:color="E4E4E7"/>
            </w:tcBorders>
            <w:hideMark/>
          </w:tcPr>
          <w:p w14:paraId="2A36DEFE" w14:textId="77777777" w:rsidR="00F40A42" w:rsidRPr="00F40A42" w:rsidRDefault="00F40A42" w:rsidP="009A4A98">
            <w:pPr>
              <w:jc w:val="center"/>
              <w:rPr>
                <w:rFonts w:ascii="Arial" w:hAnsi="Arial" w:cs="Arial"/>
                <w:color w:val="27272A"/>
                <w:shd w:val="clear" w:color="auto" w:fill="FFFFFF"/>
              </w:rPr>
            </w:pPr>
            <w:r w:rsidRPr="00F40A42">
              <w:rPr>
                <w:rFonts w:ascii="Arial" w:hAnsi="Arial" w:cs="Arial"/>
                <w:color w:val="27272A"/>
                <w:shd w:val="clear" w:color="auto" w:fill="FFFFFF"/>
              </w:rPr>
              <w:t>Baptism/Spirit; temptation; preaching; teaching and cures 6 7 9 7</w:t>
            </w:r>
          </w:p>
        </w:tc>
      </w:tr>
      <w:tr w:rsidR="00F40A42" w:rsidRPr="00F40A42" w14:paraId="428BB097" w14:textId="77777777" w:rsidTr="009A4A98">
        <w:trPr>
          <w:trHeight w:val="818"/>
        </w:trPr>
        <w:tc>
          <w:tcPr>
            <w:tcW w:w="0" w:type="auto"/>
            <w:tcBorders>
              <w:top w:val="single" w:sz="2" w:space="0" w:color="E4E4E7"/>
              <w:left w:val="single" w:sz="2" w:space="0" w:color="E4E4E7"/>
              <w:bottom w:val="single" w:sz="2" w:space="0" w:color="E4E4E7"/>
              <w:right w:val="single" w:sz="2" w:space="0" w:color="E4E4E7"/>
            </w:tcBorders>
            <w:hideMark/>
          </w:tcPr>
          <w:p w14:paraId="514CBC7A" w14:textId="77777777" w:rsidR="00F40A42" w:rsidRPr="00F40A42" w:rsidRDefault="00F40A42" w:rsidP="009A4A98">
            <w:pPr>
              <w:jc w:val="center"/>
              <w:rPr>
                <w:rFonts w:ascii="Arial" w:hAnsi="Arial" w:cs="Arial"/>
                <w:color w:val="27272A"/>
                <w:shd w:val="clear" w:color="auto" w:fill="FFFFFF"/>
              </w:rPr>
            </w:pPr>
            <w:r w:rsidRPr="00F40A42">
              <w:rPr>
                <w:rFonts w:ascii="Arial" w:hAnsi="Arial" w:cs="Arial"/>
                <w:color w:val="27272A"/>
                <w:shd w:val="clear" w:color="auto" w:fill="FFFFFF"/>
              </w:rPr>
              <w:t>Paschal Mystery</w:t>
            </w:r>
          </w:p>
        </w:tc>
        <w:tc>
          <w:tcPr>
            <w:tcW w:w="0" w:type="auto"/>
            <w:tcBorders>
              <w:top w:val="single" w:sz="2" w:space="0" w:color="E4E4E7"/>
              <w:left w:val="single" w:sz="2" w:space="0" w:color="E4E4E7"/>
              <w:bottom w:val="single" w:sz="2" w:space="0" w:color="E4E4E7"/>
              <w:right w:val="single" w:sz="2" w:space="0" w:color="E4E4E7"/>
            </w:tcBorders>
            <w:hideMark/>
          </w:tcPr>
          <w:p w14:paraId="07E77F9F" w14:textId="387CF2CA" w:rsidR="00F40A42" w:rsidRPr="00F40A42" w:rsidRDefault="00F40A42" w:rsidP="009A4A98">
            <w:pPr>
              <w:jc w:val="center"/>
              <w:rPr>
                <w:rFonts w:ascii="Arial" w:hAnsi="Arial" w:cs="Arial"/>
                <w:color w:val="27272A"/>
                <w:shd w:val="clear" w:color="auto" w:fill="FFFFFF"/>
              </w:rPr>
            </w:pPr>
            <w:r w:rsidRPr="00F40A42">
              <w:rPr>
                <w:rFonts w:ascii="Arial" w:hAnsi="Arial" w:cs="Arial"/>
                <w:color w:val="27272A"/>
                <w:shd w:val="clear" w:color="auto" w:fill="FFFFFF"/>
              </w:rPr>
              <w:t xml:space="preserve">Cross and Resurrection at the </w:t>
            </w:r>
            <w:r w:rsidR="00843743" w:rsidRPr="00F40A42">
              <w:rPr>
                <w:rFonts w:ascii="Arial" w:hAnsi="Arial" w:cs="Arial"/>
                <w:color w:val="27272A"/>
                <w:shd w:val="clear" w:color="auto" w:fill="FFFFFF"/>
              </w:rPr>
              <w:t>Centre</w:t>
            </w:r>
            <w:r w:rsidRPr="00F40A42">
              <w:rPr>
                <w:rFonts w:ascii="Arial" w:hAnsi="Arial" w:cs="Arial"/>
                <w:color w:val="27272A"/>
                <w:shd w:val="clear" w:color="auto" w:fill="FFFFFF"/>
              </w:rPr>
              <w:t xml:space="preserve"> of the Gospel; accomplished “once for all”</w:t>
            </w:r>
          </w:p>
        </w:tc>
        <w:tc>
          <w:tcPr>
            <w:tcW w:w="0" w:type="auto"/>
            <w:tcBorders>
              <w:top w:val="single" w:sz="2" w:space="0" w:color="E4E4E7"/>
              <w:left w:val="single" w:sz="2" w:space="0" w:color="E4E4E7"/>
              <w:bottom w:val="single" w:sz="2" w:space="0" w:color="E4E4E7"/>
              <w:right w:val="single" w:sz="2" w:space="0" w:color="E4E4E7"/>
            </w:tcBorders>
            <w:hideMark/>
          </w:tcPr>
          <w:p w14:paraId="5717AE6F" w14:textId="77777777" w:rsidR="00F40A42" w:rsidRPr="00F40A42" w:rsidRDefault="00F40A42" w:rsidP="009A4A98">
            <w:pPr>
              <w:jc w:val="center"/>
              <w:rPr>
                <w:rFonts w:ascii="Arial" w:hAnsi="Arial" w:cs="Arial"/>
                <w:color w:val="27272A"/>
                <w:shd w:val="clear" w:color="auto" w:fill="FFFFFF"/>
              </w:rPr>
            </w:pPr>
            <w:r w:rsidRPr="00F40A42">
              <w:rPr>
                <w:rFonts w:ascii="Arial" w:hAnsi="Arial" w:cs="Arial"/>
                <w:color w:val="27272A"/>
                <w:shd w:val="clear" w:color="auto" w:fill="FFFFFF"/>
              </w:rPr>
              <w:t>Last Supper words; Gethsemane; crucifixion (“It is finished”) 10 12 13 14</w:t>
            </w:r>
          </w:p>
        </w:tc>
      </w:tr>
      <w:tr w:rsidR="00F40A42" w:rsidRPr="00F40A42" w14:paraId="681DFE50" w14:textId="77777777" w:rsidTr="009A4A98">
        <w:trPr>
          <w:trHeight w:val="834"/>
        </w:trPr>
        <w:tc>
          <w:tcPr>
            <w:tcW w:w="0" w:type="auto"/>
            <w:tcBorders>
              <w:top w:val="single" w:sz="2" w:space="0" w:color="E4E4E7"/>
              <w:left w:val="single" w:sz="2" w:space="0" w:color="E4E4E7"/>
              <w:bottom w:val="single" w:sz="2" w:space="0" w:color="E4E4E7"/>
              <w:right w:val="single" w:sz="2" w:space="0" w:color="E4E4E7"/>
            </w:tcBorders>
            <w:hideMark/>
          </w:tcPr>
          <w:p w14:paraId="040269A6" w14:textId="77777777" w:rsidR="00F40A42" w:rsidRPr="00F40A42" w:rsidRDefault="00F40A42" w:rsidP="009A4A98">
            <w:pPr>
              <w:jc w:val="center"/>
              <w:rPr>
                <w:rFonts w:ascii="Arial" w:hAnsi="Arial" w:cs="Arial"/>
                <w:color w:val="27272A"/>
                <w:shd w:val="clear" w:color="auto" w:fill="FFFFFF"/>
              </w:rPr>
            </w:pPr>
            <w:r w:rsidRPr="00F40A42">
              <w:rPr>
                <w:rFonts w:ascii="Arial" w:hAnsi="Arial" w:cs="Arial"/>
                <w:color w:val="27272A"/>
                <w:shd w:val="clear" w:color="auto" w:fill="FFFFFF"/>
              </w:rPr>
              <w:t>New Covenant</w:t>
            </w:r>
          </w:p>
        </w:tc>
        <w:tc>
          <w:tcPr>
            <w:tcW w:w="0" w:type="auto"/>
            <w:tcBorders>
              <w:top w:val="single" w:sz="2" w:space="0" w:color="E4E4E7"/>
              <w:left w:val="single" w:sz="2" w:space="0" w:color="E4E4E7"/>
              <w:bottom w:val="single" w:sz="2" w:space="0" w:color="E4E4E7"/>
              <w:right w:val="single" w:sz="2" w:space="0" w:color="E4E4E7"/>
            </w:tcBorders>
            <w:hideMark/>
          </w:tcPr>
          <w:p w14:paraId="6B9BC225" w14:textId="77777777" w:rsidR="00F40A42" w:rsidRPr="00F40A42" w:rsidRDefault="00F40A42" w:rsidP="009A4A98">
            <w:pPr>
              <w:jc w:val="center"/>
              <w:rPr>
                <w:rFonts w:ascii="Arial" w:hAnsi="Arial" w:cs="Arial"/>
                <w:color w:val="27272A"/>
                <w:shd w:val="clear" w:color="auto" w:fill="FFFFFF"/>
              </w:rPr>
            </w:pPr>
            <w:r w:rsidRPr="00F40A42">
              <w:rPr>
                <w:rFonts w:ascii="Arial" w:hAnsi="Arial" w:cs="Arial"/>
                <w:color w:val="27272A"/>
                <w:shd w:val="clear" w:color="auto" w:fill="FFFFFF"/>
              </w:rPr>
              <w:t>Defined in Jesus’ blood poured out for the many</w:t>
            </w:r>
          </w:p>
        </w:tc>
        <w:tc>
          <w:tcPr>
            <w:tcW w:w="0" w:type="auto"/>
            <w:tcBorders>
              <w:top w:val="single" w:sz="2" w:space="0" w:color="E4E4E7"/>
              <w:left w:val="single" w:sz="2" w:space="0" w:color="E4E4E7"/>
              <w:bottom w:val="single" w:sz="2" w:space="0" w:color="E4E4E7"/>
              <w:right w:val="single" w:sz="2" w:space="0" w:color="E4E4E7"/>
            </w:tcBorders>
            <w:hideMark/>
          </w:tcPr>
          <w:p w14:paraId="5173F229" w14:textId="77777777" w:rsidR="00F40A42" w:rsidRPr="00F40A42" w:rsidRDefault="00F40A42" w:rsidP="009A4A98">
            <w:pPr>
              <w:jc w:val="center"/>
              <w:rPr>
                <w:rFonts w:ascii="Arial" w:hAnsi="Arial" w:cs="Arial"/>
                <w:color w:val="27272A"/>
                <w:shd w:val="clear" w:color="auto" w:fill="FFFFFF"/>
              </w:rPr>
            </w:pPr>
            <w:r w:rsidRPr="00F40A42">
              <w:rPr>
                <w:rFonts w:ascii="Arial" w:hAnsi="Arial" w:cs="Arial"/>
                <w:color w:val="27272A"/>
                <w:shd w:val="clear" w:color="auto" w:fill="FFFFFF"/>
              </w:rPr>
              <w:t>“This cup… is the new covenant in my blood” 12</w:t>
            </w:r>
          </w:p>
        </w:tc>
      </w:tr>
    </w:tbl>
    <w:p w14:paraId="5B28E2E1" w14:textId="77777777" w:rsidR="00DF437A" w:rsidRDefault="00DF437A" w:rsidP="00EA7AE2">
      <w:pPr>
        <w:rPr>
          <w:rFonts w:ascii="Arial" w:hAnsi="Arial" w:cs="Arial"/>
          <w:color w:val="27272A"/>
          <w:shd w:val="clear" w:color="auto" w:fill="FFFFFF"/>
        </w:rPr>
      </w:pPr>
    </w:p>
    <w:p w14:paraId="3DF92085" w14:textId="4AB6A01A" w:rsidR="006C5090" w:rsidRDefault="00F40A42" w:rsidP="00EA7AE2">
      <w:pPr>
        <w:rPr>
          <w:rFonts w:ascii="Arial" w:hAnsi="Arial" w:cs="Arial"/>
          <w:color w:val="27272A"/>
          <w:shd w:val="clear" w:color="auto" w:fill="FFFFFF"/>
        </w:rPr>
      </w:pPr>
      <w:r w:rsidRPr="00F40A42">
        <w:rPr>
          <w:rFonts w:ascii="Arial" w:hAnsi="Arial" w:cs="Arial"/>
          <w:color w:val="27272A"/>
          <w:shd w:val="clear" w:color="auto" w:fill="FFFFFF"/>
        </w:rPr>
        <w:t xml:space="preserve">Jesus’ Incarnation brings salvation in the concrete historical work of his Paschal mystery, and the New Covenant is identified in Scripture through Jesus’ blood poured out—so that the Gospel’s </w:t>
      </w:r>
      <w:r w:rsidR="009A4A98" w:rsidRPr="00F40A42">
        <w:rPr>
          <w:rFonts w:ascii="Arial" w:hAnsi="Arial" w:cs="Arial"/>
          <w:color w:val="27272A"/>
          <w:shd w:val="clear" w:color="auto" w:fill="FFFFFF"/>
        </w:rPr>
        <w:t>Centre</w:t>
      </w:r>
      <w:r w:rsidRPr="00F40A42">
        <w:rPr>
          <w:rFonts w:ascii="Arial" w:hAnsi="Arial" w:cs="Arial"/>
          <w:color w:val="27272A"/>
          <w:shd w:val="clear" w:color="auto" w:fill="FFFFFF"/>
        </w:rPr>
        <w:t xml:space="preserve"> is his cross and Resurrection. 2 10 1</w:t>
      </w:r>
    </w:p>
    <w:p w14:paraId="2199B900" w14:textId="77777777" w:rsidR="00BE4A58" w:rsidRDefault="00BE4A58" w:rsidP="00EA7AE2">
      <w:pPr>
        <w:rPr>
          <w:rFonts w:ascii="Arial" w:hAnsi="Arial" w:cs="Arial"/>
          <w:color w:val="27272A"/>
          <w:shd w:val="clear" w:color="auto" w:fill="FFFFFF"/>
        </w:rPr>
      </w:pPr>
    </w:p>
    <w:p w14:paraId="3D5449E1" w14:textId="2A12DD62" w:rsidR="001527E8" w:rsidRPr="00DD10D4" w:rsidRDefault="001527E8" w:rsidP="00E54403">
      <w:pPr>
        <w:pStyle w:val="ListParagraph"/>
        <w:numPr>
          <w:ilvl w:val="0"/>
          <w:numId w:val="5"/>
        </w:numPr>
        <w:jc w:val="both"/>
        <w:rPr>
          <w:rFonts w:ascii="Arial" w:hAnsi="Arial" w:cs="Arial"/>
          <w:b/>
          <w:bCs/>
          <w:color w:val="27272A"/>
          <w:shd w:val="clear" w:color="auto" w:fill="FFFFFF"/>
        </w:rPr>
      </w:pPr>
      <w:r w:rsidRPr="008D16D0">
        <w:rPr>
          <w:rFonts w:ascii="Arial" w:hAnsi="Arial" w:cs="Arial"/>
          <w:b/>
          <w:bCs/>
          <w:color w:val="EE0000"/>
          <w:shd w:val="clear" w:color="auto" w:fill="FFFFFF"/>
        </w:rPr>
        <w:lastRenderedPageBreak/>
        <w:t>The Apostolic Age</w:t>
      </w:r>
      <w:r w:rsidRPr="001527E8">
        <w:rPr>
          <w:rFonts w:ascii="Arial" w:hAnsi="Arial" w:cs="Arial"/>
          <w:b/>
          <w:bCs/>
          <w:color w:val="27272A"/>
          <w:shd w:val="clear" w:color="auto" w:fill="FFFFFF"/>
        </w:rPr>
        <w:t xml:space="preserve">: </w:t>
      </w:r>
      <w:r w:rsidRPr="001527E8">
        <w:rPr>
          <w:rFonts w:ascii="Arial" w:hAnsi="Arial" w:cs="Arial"/>
          <w:color w:val="27272A"/>
          <w:shd w:val="clear" w:color="auto" w:fill="FFFFFF"/>
        </w:rPr>
        <w:t>Event of Pentecost, life in the early Jerusalem community, and the role of the Apostles as the first bishops</w:t>
      </w:r>
    </w:p>
    <w:p w14:paraId="0025F58E" w14:textId="77777777" w:rsidR="00E54403" w:rsidRPr="00E54403" w:rsidRDefault="00E54403" w:rsidP="00E54403">
      <w:pPr>
        <w:jc w:val="both"/>
        <w:rPr>
          <w:rFonts w:ascii="Arial" w:hAnsi="Arial" w:cs="Arial"/>
          <w:b/>
          <w:bCs/>
        </w:rPr>
      </w:pPr>
      <w:r w:rsidRPr="00E54403">
        <w:rPr>
          <w:rFonts w:ascii="Arial" w:hAnsi="Arial" w:cs="Arial"/>
          <w:b/>
          <w:bCs/>
        </w:rPr>
        <w:t>The Event of Pentecost (Acts 2)</w:t>
      </w:r>
    </w:p>
    <w:p w14:paraId="4B4A05CD" w14:textId="4EDD3FCE" w:rsidR="00E54403" w:rsidRPr="00E54403" w:rsidRDefault="00E54403" w:rsidP="00E54403">
      <w:pPr>
        <w:jc w:val="both"/>
        <w:rPr>
          <w:rFonts w:ascii="Arial" w:hAnsi="Arial" w:cs="Arial"/>
        </w:rPr>
      </w:pPr>
      <w:r w:rsidRPr="00E54403">
        <w:rPr>
          <w:rFonts w:ascii="Arial" w:hAnsi="Arial" w:cs="Arial"/>
        </w:rPr>
        <w:t>Pentecost is presented in Acts as the moment when the disciples receive the Holy Spirit in a decisive way, marking the beginning of the Church’s public mission. St. Luke introduces the event with the disciples “all together in one place” and then describes how the Holy Spirit comes from heaven with a sound “like the rush of a violent wind,” accompanied by “divided tongues, as of fire,” resting on each person. </w:t>
      </w:r>
      <w:r w:rsidR="009B039E">
        <w:rPr>
          <w:rStyle w:val="FootnoteReference"/>
          <w:rFonts w:ascii="Arial" w:hAnsi="Arial" w:cs="Arial"/>
        </w:rPr>
        <w:footnoteReference w:id="76"/>
      </w:r>
    </w:p>
    <w:p w14:paraId="71CD72AC" w14:textId="640BD46F" w:rsidR="00E54403" w:rsidRPr="00E54403" w:rsidRDefault="00E54403" w:rsidP="00E54403">
      <w:pPr>
        <w:jc w:val="both"/>
        <w:rPr>
          <w:rFonts w:ascii="Arial" w:hAnsi="Arial" w:cs="Arial"/>
        </w:rPr>
      </w:pPr>
      <w:r w:rsidRPr="00E54403">
        <w:rPr>
          <w:rFonts w:ascii="Arial" w:hAnsi="Arial" w:cs="Arial"/>
        </w:rPr>
        <w:t>The result is immediate and intelligible: “All of them were filled with the Holy Spirit and began to speak in other languages, as the Spirit gave them ability.” The crowd hears “each one… in [their] native language,” and lists peoples and regions whose languages are represented. This is not described as unintelligible speech, but as speaking such that different listeners can understand what is being proclaimed “about God’s deeds of power.” </w:t>
      </w:r>
      <w:r w:rsidR="00BC3E8E">
        <w:rPr>
          <w:rStyle w:val="FootnoteReference"/>
          <w:rFonts w:ascii="Arial" w:hAnsi="Arial" w:cs="Arial"/>
        </w:rPr>
        <w:footnoteReference w:id="77"/>
      </w:r>
    </w:p>
    <w:p w14:paraId="71B5199B" w14:textId="77777777" w:rsidR="00E54403" w:rsidRPr="00E54403" w:rsidRDefault="00E54403" w:rsidP="00E54403">
      <w:pPr>
        <w:jc w:val="both"/>
        <w:rPr>
          <w:rFonts w:ascii="Arial" w:hAnsi="Arial" w:cs="Arial"/>
          <w:b/>
          <w:bCs/>
        </w:rPr>
      </w:pPr>
      <w:r w:rsidRPr="00E54403">
        <w:rPr>
          <w:rFonts w:ascii="Arial" w:hAnsi="Arial" w:cs="Arial"/>
          <w:b/>
          <w:bCs/>
        </w:rPr>
        <w:t>Peter’s preaching and the response</w:t>
      </w:r>
    </w:p>
    <w:p w14:paraId="4BA44984" w14:textId="05EEBB28" w:rsidR="00E54403" w:rsidRPr="00E54403" w:rsidRDefault="00E54403" w:rsidP="00E54403">
      <w:pPr>
        <w:jc w:val="both"/>
        <w:rPr>
          <w:rFonts w:ascii="Arial" w:hAnsi="Arial" w:cs="Arial"/>
        </w:rPr>
      </w:pPr>
      <w:r w:rsidRPr="00E54403">
        <w:rPr>
          <w:rFonts w:ascii="Arial" w:hAnsi="Arial" w:cs="Arial"/>
        </w:rPr>
        <w:t>Peter explains the event using Scripture (Joel). In doing so, he refutes the accusation that the disciples are drunk, and announces that what is happening fulfills the prophecy that God will “pour out [His] Spirit upon all flesh.” </w:t>
      </w:r>
      <w:r w:rsidR="00BC3E8E">
        <w:rPr>
          <w:rStyle w:val="FootnoteReference"/>
          <w:rFonts w:ascii="Arial" w:hAnsi="Arial" w:cs="Arial"/>
        </w:rPr>
        <w:footnoteReference w:id="78"/>
      </w:r>
    </w:p>
    <w:p w14:paraId="78A530AE" w14:textId="2329D95C" w:rsidR="00E54403" w:rsidRPr="00E54403" w:rsidRDefault="00E54403" w:rsidP="00E54403">
      <w:pPr>
        <w:jc w:val="both"/>
        <w:rPr>
          <w:rFonts w:ascii="Arial" w:hAnsi="Arial" w:cs="Arial"/>
        </w:rPr>
      </w:pPr>
      <w:r w:rsidRPr="00E54403">
        <w:rPr>
          <w:rFonts w:ascii="Arial" w:hAnsi="Arial" w:cs="Arial"/>
        </w:rPr>
        <w:t>Peter then preaches Christ crucified and raised: Jesus of Nazareth</w:t>
      </w:r>
      <w:r w:rsidR="00843743">
        <w:rPr>
          <w:rFonts w:ascii="Arial" w:hAnsi="Arial" w:cs="Arial"/>
        </w:rPr>
        <w:t xml:space="preserve"> </w:t>
      </w:r>
      <w:r w:rsidR="00843743" w:rsidRPr="00E54403">
        <w:rPr>
          <w:rFonts w:ascii="Arial" w:hAnsi="Arial" w:cs="Arial"/>
        </w:rPr>
        <w:t>— “</w:t>
      </w:r>
      <w:r w:rsidRPr="00E54403">
        <w:rPr>
          <w:rFonts w:ascii="Arial" w:hAnsi="Arial" w:cs="Arial"/>
        </w:rPr>
        <w:t>attested… by God”—was “crucified and killed,” but “God raised him up.” He concludes by affirming that the hearers should recognize this Jesus as both “Lord and Messiah.” </w:t>
      </w:r>
      <w:r w:rsidR="00BC3E8E">
        <w:rPr>
          <w:rStyle w:val="FootnoteReference"/>
          <w:rFonts w:ascii="Arial" w:hAnsi="Arial" w:cs="Arial"/>
        </w:rPr>
        <w:footnoteReference w:id="79"/>
      </w:r>
    </w:p>
    <w:p w14:paraId="74497A58" w14:textId="41CFBD4E" w:rsidR="00E54403" w:rsidRPr="00E54403" w:rsidRDefault="00E54403" w:rsidP="00E54403">
      <w:pPr>
        <w:jc w:val="both"/>
        <w:rPr>
          <w:rFonts w:ascii="Arial" w:hAnsi="Arial" w:cs="Arial"/>
        </w:rPr>
      </w:pPr>
      <w:r w:rsidRPr="00E54403">
        <w:rPr>
          <w:rFonts w:ascii="Arial" w:hAnsi="Arial" w:cs="Arial"/>
        </w:rPr>
        <w:t>When the crowd hears this, they are “cut to the heart” and ask what they must do. Peter replies: “Repent, and be baptized every one of you in the name of Jesus Christ so that your sins may be forgiven; and you will receive the gift of the Holy Spirit.” About “three thousand persons were added” that day. </w:t>
      </w:r>
      <w:r w:rsidR="00BC3E8E">
        <w:rPr>
          <w:rStyle w:val="FootnoteReference"/>
          <w:rFonts w:ascii="Arial" w:hAnsi="Arial" w:cs="Arial"/>
        </w:rPr>
        <w:footnoteReference w:id="80"/>
      </w:r>
    </w:p>
    <w:p w14:paraId="771CE42E" w14:textId="77777777" w:rsidR="00DC6B33" w:rsidRDefault="00DC6B33" w:rsidP="00E54403">
      <w:pPr>
        <w:jc w:val="both"/>
        <w:rPr>
          <w:rFonts w:ascii="Arial" w:hAnsi="Arial" w:cs="Arial"/>
          <w:b/>
          <w:bCs/>
        </w:rPr>
      </w:pPr>
    </w:p>
    <w:p w14:paraId="41E77AFA" w14:textId="6100CF48" w:rsidR="00E54403" w:rsidRPr="00E54403" w:rsidRDefault="00E54403" w:rsidP="00E54403">
      <w:pPr>
        <w:jc w:val="both"/>
        <w:rPr>
          <w:rFonts w:ascii="Arial" w:hAnsi="Arial" w:cs="Arial"/>
          <w:b/>
          <w:bCs/>
        </w:rPr>
      </w:pPr>
      <w:r w:rsidRPr="00E54403">
        <w:rPr>
          <w:rFonts w:ascii="Arial" w:hAnsi="Arial" w:cs="Arial"/>
          <w:b/>
          <w:bCs/>
        </w:rPr>
        <w:t>Life in the early Jerusalem community (Acts 2:42–47; Acts 4:32–37)</w:t>
      </w:r>
    </w:p>
    <w:p w14:paraId="6865B025" w14:textId="3F8C5B19" w:rsidR="00E54403" w:rsidRPr="00E54403" w:rsidRDefault="00E54403" w:rsidP="00E54403">
      <w:pPr>
        <w:jc w:val="both"/>
        <w:rPr>
          <w:rFonts w:ascii="Arial" w:hAnsi="Arial" w:cs="Arial"/>
        </w:rPr>
      </w:pPr>
      <w:r w:rsidRPr="00E54403">
        <w:rPr>
          <w:rFonts w:ascii="Arial" w:hAnsi="Arial" w:cs="Arial"/>
        </w:rPr>
        <w:t xml:space="preserve">Acts </w:t>
      </w:r>
      <w:r w:rsidR="009409EC" w:rsidRPr="00E54403">
        <w:rPr>
          <w:rFonts w:ascii="Arial" w:hAnsi="Arial" w:cs="Arial"/>
        </w:rPr>
        <w:t>depict</w:t>
      </w:r>
      <w:r w:rsidRPr="00E54403">
        <w:rPr>
          <w:rFonts w:ascii="Arial" w:hAnsi="Arial" w:cs="Arial"/>
        </w:rPr>
        <w:t xml:space="preserve"> the earliest Jerusalem Christians as devoted to a concrete pattern of life centered on apostolic worship and teaching. The community “devoted themselves to the apostles’ teaching and fellowship, to the breaking of bread and the prayers.” Awe is </w:t>
      </w:r>
      <w:r w:rsidRPr="00E54403">
        <w:rPr>
          <w:rFonts w:ascii="Arial" w:hAnsi="Arial" w:cs="Arial"/>
        </w:rPr>
        <w:lastRenderedPageBreak/>
        <w:t>described as coming upon everyone because of “wonders and signs… being done by the apostles.” </w:t>
      </w:r>
      <w:r w:rsidR="00FF1524">
        <w:rPr>
          <w:rStyle w:val="FootnoteReference"/>
          <w:rFonts w:ascii="Arial" w:hAnsi="Arial" w:cs="Arial"/>
        </w:rPr>
        <w:footnoteReference w:id="81"/>
      </w:r>
    </w:p>
    <w:p w14:paraId="202367CA" w14:textId="7A6892AA" w:rsidR="00E54403" w:rsidRPr="00E54403" w:rsidRDefault="00E54403" w:rsidP="00E54403">
      <w:pPr>
        <w:jc w:val="both"/>
        <w:rPr>
          <w:rFonts w:ascii="Arial" w:hAnsi="Arial" w:cs="Arial"/>
        </w:rPr>
      </w:pPr>
      <w:r w:rsidRPr="00E54403">
        <w:rPr>
          <w:rFonts w:ascii="Arial" w:hAnsi="Arial" w:cs="Arial"/>
        </w:rPr>
        <w:t>The social/charitable dimension is described with spiritual clarity rather than ideological abstraction: believers “had all things in common,” and those who possessed property sold it and distributed what was needed: “they would sell their possessions and goods and distribute the proceeds to all, as any had need.” </w:t>
      </w:r>
      <w:r w:rsidR="00396223">
        <w:rPr>
          <w:rStyle w:val="FootnoteReference"/>
          <w:rFonts w:ascii="Arial" w:hAnsi="Arial" w:cs="Arial"/>
        </w:rPr>
        <w:footnoteReference w:id="82"/>
      </w:r>
    </w:p>
    <w:p w14:paraId="09517CE3" w14:textId="4D92A213" w:rsidR="00E54403" w:rsidRPr="00E54403" w:rsidRDefault="00E54403" w:rsidP="00E54403">
      <w:pPr>
        <w:jc w:val="both"/>
        <w:rPr>
          <w:rFonts w:ascii="Arial" w:hAnsi="Arial" w:cs="Arial"/>
        </w:rPr>
      </w:pPr>
      <w:r w:rsidRPr="00E54403">
        <w:rPr>
          <w:rFonts w:ascii="Arial" w:hAnsi="Arial" w:cs="Arial"/>
        </w:rPr>
        <w:t>Acts adds further detail: “no one claimed private ownership of any possessions,” and “everything they owned was held in common,” with the proceeds brought in and distributed by the apostles. </w:t>
      </w:r>
      <w:r w:rsidR="00396223">
        <w:rPr>
          <w:rStyle w:val="FootnoteReference"/>
          <w:rFonts w:ascii="Arial" w:hAnsi="Arial" w:cs="Arial"/>
        </w:rPr>
        <w:footnoteReference w:id="83"/>
      </w:r>
    </w:p>
    <w:p w14:paraId="1630D567" w14:textId="1780A153" w:rsidR="00E54403" w:rsidRPr="00E54403" w:rsidRDefault="00E54403" w:rsidP="00E54403">
      <w:pPr>
        <w:jc w:val="both"/>
        <w:rPr>
          <w:rFonts w:ascii="Arial" w:hAnsi="Arial" w:cs="Arial"/>
        </w:rPr>
      </w:pPr>
      <w:r w:rsidRPr="00E54403">
        <w:rPr>
          <w:rFonts w:ascii="Arial" w:hAnsi="Arial" w:cs="Arial"/>
        </w:rPr>
        <w:t>At the same time, the arrangement is explicitly voluntary in Acts’ presentation: the community sold what they owned, and distribution occurred “as any had need.” For Barnabas, Acts records that he sold a field and brought the money. </w:t>
      </w:r>
      <w:r w:rsidR="00121034">
        <w:rPr>
          <w:rStyle w:val="FootnoteReference"/>
          <w:rFonts w:ascii="Arial" w:hAnsi="Arial" w:cs="Arial"/>
        </w:rPr>
        <w:footnoteReference w:id="84"/>
      </w:r>
      <w:r w:rsidRPr="00E54403">
        <w:rPr>
          <w:rFonts w:ascii="Arial" w:hAnsi="Arial" w:cs="Arial"/>
        </w:rPr>
        <w:br/>
        <w:t>(Your earlier wording about “communist system” should be avoided as a historical label; the key point in Acts is voluntary charity aimed at eliminating need among believers. 3)</w:t>
      </w:r>
    </w:p>
    <w:p w14:paraId="6A778816" w14:textId="77777777" w:rsidR="00E54403" w:rsidRPr="00E54403" w:rsidRDefault="00E54403" w:rsidP="00E54403">
      <w:pPr>
        <w:jc w:val="both"/>
        <w:rPr>
          <w:rFonts w:ascii="Arial" w:hAnsi="Arial" w:cs="Arial"/>
          <w:b/>
          <w:bCs/>
        </w:rPr>
      </w:pPr>
      <w:r w:rsidRPr="00E54403">
        <w:rPr>
          <w:rFonts w:ascii="Arial" w:hAnsi="Arial" w:cs="Arial"/>
          <w:b/>
          <w:bCs/>
        </w:rPr>
        <w:t>The role of the apostles: apostolic ministry and succession</w:t>
      </w:r>
    </w:p>
    <w:p w14:paraId="06ACB2A0" w14:textId="77777777" w:rsidR="00E54403" w:rsidRPr="00E54403" w:rsidRDefault="00E54403" w:rsidP="00E54403">
      <w:pPr>
        <w:jc w:val="both"/>
        <w:rPr>
          <w:rFonts w:ascii="Arial" w:hAnsi="Arial" w:cs="Arial"/>
        </w:rPr>
      </w:pPr>
      <w:r w:rsidRPr="00E54403">
        <w:rPr>
          <w:rFonts w:ascii="Arial" w:hAnsi="Arial" w:cs="Arial"/>
        </w:rPr>
        <w:t>Your topic here is best stated in Catholic terms as the </w:t>
      </w:r>
      <w:r w:rsidRPr="00E54403">
        <w:rPr>
          <w:rFonts w:ascii="Arial" w:hAnsi="Arial" w:cs="Arial"/>
          <w:b/>
          <w:bCs/>
        </w:rPr>
        <w:t>apostolic ministry</w:t>
      </w:r>
      <w:r w:rsidRPr="00E54403">
        <w:rPr>
          <w:rFonts w:ascii="Arial" w:hAnsi="Arial" w:cs="Arial"/>
        </w:rPr>
        <w:t> given by Christ and continuing through </w:t>
      </w:r>
      <w:r w:rsidRPr="00E54403">
        <w:rPr>
          <w:rFonts w:ascii="Arial" w:hAnsi="Arial" w:cs="Arial"/>
          <w:b/>
          <w:bCs/>
        </w:rPr>
        <w:t>episcopal succession</w:t>
      </w:r>
      <w:r w:rsidRPr="00E54403">
        <w:rPr>
          <w:rFonts w:ascii="Arial" w:hAnsi="Arial" w:cs="Arial"/>
        </w:rPr>
        <w:t>, rather than claiming that “the apostles were the first bishops” in a purely later administrative sense (since the sources provided explicitly focus on the continuity of office and its threefold functions).</w:t>
      </w:r>
    </w:p>
    <w:p w14:paraId="2A4D568E" w14:textId="03DC1F93" w:rsidR="00E54403" w:rsidRPr="00E54403" w:rsidRDefault="00E54403" w:rsidP="00E54403">
      <w:pPr>
        <w:jc w:val="both"/>
        <w:rPr>
          <w:rFonts w:ascii="Arial" w:hAnsi="Arial" w:cs="Arial"/>
        </w:rPr>
      </w:pPr>
      <w:r w:rsidRPr="00E54403">
        <w:rPr>
          <w:rFonts w:ascii="Arial" w:hAnsi="Arial" w:cs="Arial"/>
        </w:rPr>
        <w:t>Catholic teaching grounds this continuity in Scripture and tradition: the Catechism teaches that to preserve the Gospel, “the apostles left bishops as their successors” and that apostolic preaching is preserved “in a continuous line of succession until the end of time.” </w:t>
      </w:r>
      <w:r w:rsidR="00C330B2">
        <w:rPr>
          <w:rStyle w:val="FootnoteReference"/>
          <w:rFonts w:ascii="Arial" w:hAnsi="Arial" w:cs="Arial"/>
        </w:rPr>
        <w:footnoteReference w:id="85"/>
      </w:r>
      <w:r w:rsidRPr="00E54403">
        <w:rPr>
          <w:rFonts w:ascii="Arial" w:hAnsi="Arial" w:cs="Arial"/>
        </w:rPr>
        <w:br/>
        <w:t>The Catechism also notes that the bishop’s ministry is tied to “the unbroken succession going back to the beginning,” identifying bishops as “transmitters of the apostolic line.” </w:t>
      </w:r>
      <w:r w:rsidR="000068C3">
        <w:rPr>
          <w:rStyle w:val="FootnoteReference"/>
          <w:rFonts w:ascii="Arial" w:hAnsi="Arial" w:cs="Arial"/>
        </w:rPr>
        <w:footnoteReference w:id="86"/>
      </w:r>
    </w:p>
    <w:p w14:paraId="73FE426D" w14:textId="4D084D33" w:rsidR="00E54403" w:rsidRPr="00E54403" w:rsidRDefault="00E54403" w:rsidP="00E54403">
      <w:pPr>
        <w:jc w:val="both"/>
        <w:rPr>
          <w:rFonts w:ascii="Arial" w:hAnsi="Arial" w:cs="Arial"/>
        </w:rPr>
      </w:pPr>
      <w:r w:rsidRPr="00E54403">
        <w:rPr>
          <w:rFonts w:ascii="Arial" w:hAnsi="Arial" w:cs="Arial"/>
        </w:rPr>
        <w:t>Canon law defines bishops as successors of the apostles: “Bishops, who by divine institution succeed to the place of the Apostles… are constituted pastors in the Church, so that they are teachers of doctrine, priests of sacred worship, and ministers of governance.” </w:t>
      </w:r>
      <w:r w:rsidR="0059118B">
        <w:rPr>
          <w:rStyle w:val="FootnoteReference"/>
          <w:rFonts w:ascii="Arial" w:hAnsi="Arial" w:cs="Arial"/>
        </w:rPr>
        <w:footnoteReference w:id="87"/>
      </w:r>
    </w:p>
    <w:p w14:paraId="7C473C51" w14:textId="5BE63B9F" w:rsidR="00E54403" w:rsidRPr="00E54403" w:rsidRDefault="00E54403" w:rsidP="00E54403">
      <w:pPr>
        <w:jc w:val="both"/>
        <w:rPr>
          <w:rFonts w:ascii="Arial" w:hAnsi="Arial" w:cs="Arial"/>
        </w:rPr>
      </w:pPr>
      <w:r w:rsidRPr="00E54403">
        <w:rPr>
          <w:rFonts w:ascii="Arial" w:hAnsi="Arial" w:cs="Arial"/>
        </w:rPr>
        <w:lastRenderedPageBreak/>
        <w:t>The Church further clarifies that this episcopal service is one ministry expressed in a </w:t>
      </w:r>
      <w:r w:rsidRPr="00E54403">
        <w:rPr>
          <w:rFonts w:ascii="Arial" w:hAnsi="Arial" w:cs="Arial"/>
          <w:b/>
          <w:bCs/>
        </w:rPr>
        <w:t>threefold</w:t>
      </w:r>
      <w:r w:rsidRPr="00E54403">
        <w:rPr>
          <w:rFonts w:ascii="Arial" w:hAnsi="Arial" w:cs="Arial"/>
        </w:rPr>
        <w:t> way—teaching, sanctifying, and ruling—without separation. </w:t>
      </w:r>
      <w:r w:rsidR="0059754C">
        <w:rPr>
          <w:rStyle w:val="FootnoteReference"/>
          <w:rFonts w:ascii="Arial" w:hAnsi="Arial" w:cs="Arial"/>
        </w:rPr>
        <w:footnoteReference w:id="88"/>
      </w:r>
    </w:p>
    <w:p w14:paraId="53E1DED8" w14:textId="79E37AE3" w:rsidR="00E54403" w:rsidRPr="00E54403" w:rsidRDefault="00E54403" w:rsidP="00E54403">
      <w:pPr>
        <w:jc w:val="both"/>
        <w:rPr>
          <w:rFonts w:ascii="Arial" w:hAnsi="Arial" w:cs="Arial"/>
        </w:rPr>
      </w:pPr>
      <w:r w:rsidRPr="00E54403">
        <w:rPr>
          <w:rFonts w:ascii="Arial" w:hAnsi="Arial" w:cs="Arial"/>
        </w:rPr>
        <w:t xml:space="preserve">St. John Paul II explains that the apostolic mission is confirmed at Pentecost and that pastoral ministry is organized according to this threefold function (teaching, sanctifying, governing), emphasizing that these functions are interconnected: “when the </w:t>
      </w:r>
      <w:r w:rsidR="00185EBA" w:rsidRPr="00E54403">
        <w:rPr>
          <w:rFonts w:ascii="Arial" w:hAnsi="Arial" w:cs="Arial"/>
        </w:rPr>
        <w:t>bishop</w:t>
      </w:r>
      <w:r w:rsidRPr="00E54403">
        <w:rPr>
          <w:rFonts w:ascii="Arial" w:hAnsi="Arial" w:cs="Arial"/>
        </w:rPr>
        <w:t xml:space="preserve"> teaches, he also sanctifies and governs… when he governs, he teaches and sanctifies.” </w:t>
      </w:r>
      <w:r w:rsidR="005E45E6">
        <w:rPr>
          <w:rStyle w:val="FootnoteReference"/>
          <w:rFonts w:ascii="Arial" w:hAnsi="Arial" w:cs="Arial"/>
        </w:rPr>
        <w:footnoteReference w:id="89"/>
      </w:r>
    </w:p>
    <w:p w14:paraId="1B2EE235" w14:textId="77777777" w:rsidR="00E54403" w:rsidRPr="00E54403" w:rsidRDefault="00E54403" w:rsidP="00E54403">
      <w:pPr>
        <w:jc w:val="both"/>
        <w:rPr>
          <w:rFonts w:ascii="Arial" w:hAnsi="Arial" w:cs="Arial"/>
          <w:b/>
          <w:bCs/>
        </w:rPr>
      </w:pPr>
      <w:r w:rsidRPr="00E54403">
        <w:rPr>
          <w:rFonts w:ascii="Arial" w:hAnsi="Arial" w:cs="Arial"/>
          <w:b/>
          <w:bCs/>
        </w:rPr>
        <w:t>Apostolic replacement and the “apostolic college”</w:t>
      </w:r>
    </w:p>
    <w:p w14:paraId="70A8C7A5" w14:textId="5D102466" w:rsidR="00E54403" w:rsidRPr="00E54403" w:rsidRDefault="00E54403" w:rsidP="00E54403">
      <w:pPr>
        <w:jc w:val="both"/>
        <w:rPr>
          <w:rFonts w:ascii="Arial" w:hAnsi="Arial" w:cs="Arial"/>
        </w:rPr>
      </w:pPr>
      <w:r w:rsidRPr="00E54403">
        <w:rPr>
          <w:rFonts w:ascii="Arial" w:hAnsi="Arial" w:cs="Arial"/>
        </w:rPr>
        <w:t xml:space="preserve">Acts </w:t>
      </w:r>
      <w:r w:rsidR="00DD10D4" w:rsidRPr="00E54403">
        <w:rPr>
          <w:rFonts w:ascii="Arial" w:hAnsi="Arial" w:cs="Arial"/>
        </w:rPr>
        <w:t>show</w:t>
      </w:r>
      <w:r w:rsidRPr="00E54403">
        <w:rPr>
          <w:rFonts w:ascii="Arial" w:hAnsi="Arial" w:cs="Arial"/>
        </w:rPr>
        <w:t xml:space="preserve"> the apostolic community acting to preserve their apostolic witness after Judas’ fall by selecting Matthias “to take the place in this ministry and apostleship.” They prayed that God would show which one He chose, and then “the lot fell on Matthias; and he was added to the eleven apostles.” </w:t>
      </w:r>
      <w:r w:rsidR="00185EBA">
        <w:rPr>
          <w:rStyle w:val="FootnoteReference"/>
          <w:rFonts w:ascii="Arial" w:hAnsi="Arial" w:cs="Arial"/>
        </w:rPr>
        <w:footnoteReference w:id="90"/>
      </w:r>
    </w:p>
    <w:p w14:paraId="15FFEE38" w14:textId="0CEC47CC" w:rsidR="00E54403" w:rsidRPr="00E54403" w:rsidRDefault="00E54403" w:rsidP="00E54403">
      <w:pPr>
        <w:jc w:val="both"/>
        <w:rPr>
          <w:rFonts w:ascii="Arial" w:hAnsi="Arial" w:cs="Arial"/>
          <w:b/>
          <w:bCs/>
        </w:rPr>
      </w:pPr>
      <w:r w:rsidRPr="00E54403">
        <w:rPr>
          <w:rFonts w:ascii="Arial" w:hAnsi="Arial" w:cs="Arial"/>
          <w:b/>
          <w:bCs/>
        </w:rPr>
        <w:t xml:space="preserve">Apostolic succession and Holy </w:t>
      </w:r>
      <w:r w:rsidR="00434F05" w:rsidRPr="00E54403">
        <w:rPr>
          <w:rFonts w:ascii="Arial" w:hAnsi="Arial" w:cs="Arial"/>
          <w:b/>
          <w:bCs/>
        </w:rPr>
        <w:t>Order</w:t>
      </w:r>
    </w:p>
    <w:p w14:paraId="166295C4" w14:textId="0C017B0D" w:rsidR="00E54403" w:rsidRPr="00E54403" w:rsidRDefault="00E54403" w:rsidP="00E54403">
      <w:pPr>
        <w:jc w:val="both"/>
        <w:rPr>
          <w:rFonts w:ascii="Arial" w:hAnsi="Arial" w:cs="Arial"/>
        </w:rPr>
      </w:pPr>
      <w:r w:rsidRPr="00E54403">
        <w:rPr>
          <w:rFonts w:ascii="Arial" w:hAnsi="Arial" w:cs="Arial"/>
        </w:rPr>
        <w:t>Finally, the Catechism explicitly links Holy Orders to apostolic succession: “Since the sacrament of Holy Orders is the sacrament of the apostolic ministry, it is for the bishops as the successors of the apostles to hand on the ‘gift of the Spirit,’… the ‘apostolic line.’” Validly ordained bishops “validly confer the three degrees of the sacrament of Holy Orders.” </w:t>
      </w:r>
      <w:r w:rsidR="00913CFC">
        <w:rPr>
          <w:rStyle w:val="FootnoteReference"/>
          <w:rFonts w:ascii="Arial" w:hAnsi="Arial" w:cs="Arial"/>
        </w:rPr>
        <w:footnoteReference w:id="91"/>
      </w:r>
    </w:p>
    <w:p w14:paraId="5F183540" w14:textId="77777777" w:rsidR="00E54403" w:rsidRPr="00E54403" w:rsidRDefault="00000000" w:rsidP="00E54403">
      <w:pPr>
        <w:jc w:val="both"/>
        <w:rPr>
          <w:rFonts w:ascii="Arial" w:hAnsi="Arial" w:cs="Arial"/>
        </w:rPr>
      </w:pPr>
      <w:r>
        <w:rPr>
          <w:rFonts w:ascii="Arial" w:hAnsi="Arial" w:cs="Arial"/>
        </w:rPr>
        <w:pict w14:anchorId="7BE7A15A">
          <v:rect id="_x0000_i1036" style="width:0;height:0" o:hralign="center" o:hrstd="t" o:hr="t" fillcolor="#a0a0a0" stroked="f"/>
        </w:pict>
      </w:r>
    </w:p>
    <w:p w14:paraId="3EBFC92B" w14:textId="77777777" w:rsidR="00E54403" w:rsidRPr="00E54403" w:rsidRDefault="00E54403" w:rsidP="00E54403">
      <w:pPr>
        <w:jc w:val="both"/>
        <w:rPr>
          <w:rFonts w:ascii="Arial" w:hAnsi="Arial" w:cs="Arial"/>
          <w:b/>
          <w:bCs/>
        </w:rPr>
      </w:pPr>
      <w:r w:rsidRPr="00E54403">
        <w:rPr>
          <w:rFonts w:ascii="Arial" w:hAnsi="Arial" w:cs="Arial"/>
          <w:b/>
          <w:bCs/>
        </w:rPr>
        <w:t>Summary of what was corrected</w:t>
      </w:r>
    </w:p>
    <w:p w14:paraId="5E954632" w14:textId="1C756214" w:rsidR="00E54403" w:rsidRPr="00E54403" w:rsidRDefault="00E54403" w:rsidP="00E54403">
      <w:pPr>
        <w:numPr>
          <w:ilvl w:val="0"/>
          <w:numId w:val="8"/>
        </w:numPr>
        <w:jc w:val="both"/>
        <w:rPr>
          <w:rFonts w:ascii="Arial" w:hAnsi="Arial" w:cs="Arial"/>
        </w:rPr>
      </w:pPr>
      <w:r w:rsidRPr="00E54403">
        <w:rPr>
          <w:rFonts w:ascii="Arial" w:hAnsi="Arial" w:cs="Arial"/>
        </w:rPr>
        <w:t>Kept and strengthened only what is directly supported by Acts 1–2 and the provided Church documents (especially Pentecost’s intelligible language, Peter’s Joel citation, the “three thousand” response, and the Jerusalem community’s practices). </w:t>
      </w:r>
      <w:r w:rsidR="00913CFC">
        <w:rPr>
          <w:rStyle w:val="FootnoteReference"/>
          <w:rFonts w:ascii="Arial" w:hAnsi="Arial" w:cs="Arial"/>
        </w:rPr>
        <w:footnoteReference w:id="92"/>
      </w:r>
      <w:r w:rsidRPr="00E54403">
        <w:rPr>
          <w:rFonts w:ascii="Arial" w:hAnsi="Arial" w:cs="Arial"/>
        </w:rPr>
        <w:t> </w:t>
      </w:r>
      <w:r w:rsidR="00913CFC">
        <w:rPr>
          <w:rStyle w:val="FootnoteReference"/>
          <w:rFonts w:ascii="Arial" w:hAnsi="Arial" w:cs="Arial"/>
        </w:rPr>
        <w:footnoteReference w:id="93"/>
      </w:r>
      <w:r w:rsidRPr="00E54403">
        <w:rPr>
          <w:rFonts w:ascii="Arial" w:hAnsi="Arial" w:cs="Arial"/>
        </w:rPr>
        <w:t> </w:t>
      </w:r>
      <w:r w:rsidR="00913CFC">
        <w:rPr>
          <w:rStyle w:val="FootnoteReference"/>
          <w:rFonts w:ascii="Arial" w:hAnsi="Arial" w:cs="Arial"/>
        </w:rPr>
        <w:footnoteReference w:id="94"/>
      </w:r>
      <w:r w:rsidRPr="00E54403">
        <w:rPr>
          <w:rFonts w:ascii="Arial" w:hAnsi="Arial" w:cs="Arial"/>
        </w:rPr>
        <w:t> </w:t>
      </w:r>
      <w:r w:rsidR="00323694">
        <w:rPr>
          <w:rStyle w:val="FootnoteReference"/>
          <w:rFonts w:ascii="Arial" w:hAnsi="Arial" w:cs="Arial"/>
        </w:rPr>
        <w:footnoteReference w:id="95"/>
      </w:r>
    </w:p>
    <w:p w14:paraId="1FB2C242" w14:textId="537BBA6F" w:rsidR="00E54403" w:rsidRPr="00E54403" w:rsidRDefault="00E54403" w:rsidP="00E54403">
      <w:pPr>
        <w:numPr>
          <w:ilvl w:val="0"/>
          <w:numId w:val="8"/>
        </w:numPr>
        <w:jc w:val="both"/>
        <w:rPr>
          <w:rFonts w:ascii="Arial" w:hAnsi="Arial" w:cs="Arial"/>
        </w:rPr>
      </w:pPr>
      <w:r w:rsidRPr="00E54403">
        <w:rPr>
          <w:rFonts w:ascii="Arial" w:hAnsi="Arial" w:cs="Arial"/>
        </w:rPr>
        <w:lastRenderedPageBreak/>
        <w:t>Reframed the “apostles as first bishops” point into the safer and more explicitly sourced Catholic formulation: </w:t>
      </w:r>
      <w:r w:rsidRPr="00E54403">
        <w:rPr>
          <w:rFonts w:ascii="Arial" w:hAnsi="Arial" w:cs="Arial"/>
          <w:b/>
          <w:bCs/>
        </w:rPr>
        <w:t>bishops succeed the apostles</w:t>
      </w:r>
      <w:r w:rsidRPr="00E54403">
        <w:rPr>
          <w:rFonts w:ascii="Arial" w:hAnsi="Arial" w:cs="Arial"/>
        </w:rPr>
        <w:t> and share the apostolic ministry in teaching, worship/sanctifying, and governance. </w:t>
      </w:r>
      <w:r w:rsidR="00323694">
        <w:rPr>
          <w:rStyle w:val="FootnoteReference"/>
          <w:rFonts w:ascii="Arial" w:hAnsi="Arial" w:cs="Arial"/>
        </w:rPr>
        <w:footnoteReference w:id="96"/>
      </w:r>
      <w:r w:rsidRPr="00E54403">
        <w:rPr>
          <w:rFonts w:ascii="Arial" w:hAnsi="Arial" w:cs="Arial"/>
        </w:rPr>
        <w:t> </w:t>
      </w:r>
      <w:r w:rsidR="00F36F63">
        <w:rPr>
          <w:rStyle w:val="FootnoteReference"/>
          <w:rFonts w:ascii="Arial" w:hAnsi="Arial" w:cs="Arial"/>
        </w:rPr>
        <w:footnoteReference w:id="97"/>
      </w:r>
      <w:r w:rsidRPr="00E54403">
        <w:rPr>
          <w:rFonts w:ascii="Arial" w:hAnsi="Arial" w:cs="Arial"/>
        </w:rPr>
        <w:t> </w:t>
      </w:r>
      <w:r w:rsidR="00F36F63">
        <w:rPr>
          <w:rStyle w:val="FootnoteReference"/>
          <w:rFonts w:ascii="Arial" w:hAnsi="Arial" w:cs="Arial"/>
        </w:rPr>
        <w:footnoteReference w:id="98"/>
      </w:r>
      <w:r w:rsidRPr="00E54403">
        <w:rPr>
          <w:rFonts w:ascii="Arial" w:hAnsi="Arial" w:cs="Arial"/>
        </w:rPr>
        <w:t> </w:t>
      </w:r>
      <w:r w:rsidR="0063017A">
        <w:rPr>
          <w:rStyle w:val="FootnoteReference"/>
          <w:rFonts w:ascii="Arial" w:hAnsi="Arial" w:cs="Arial"/>
        </w:rPr>
        <w:footnoteReference w:id="99"/>
      </w:r>
      <w:r w:rsidRPr="00E54403">
        <w:rPr>
          <w:rFonts w:ascii="Arial" w:hAnsi="Arial" w:cs="Arial"/>
        </w:rPr>
        <w:t> </w:t>
      </w:r>
      <w:r w:rsidR="00C5554B">
        <w:rPr>
          <w:rStyle w:val="FootnoteReference"/>
          <w:rFonts w:ascii="Arial" w:hAnsi="Arial" w:cs="Arial"/>
        </w:rPr>
        <w:footnoteReference w:id="100"/>
      </w:r>
    </w:p>
    <w:p w14:paraId="27D32C81" w14:textId="77777777" w:rsidR="00E54403" w:rsidRPr="00E54403" w:rsidRDefault="00E54403" w:rsidP="00E54403">
      <w:pPr>
        <w:numPr>
          <w:ilvl w:val="0"/>
          <w:numId w:val="8"/>
        </w:numPr>
        <w:jc w:val="both"/>
        <w:rPr>
          <w:rFonts w:ascii="Arial" w:hAnsi="Arial" w:cs="Arial"/>
        </w:rPr>
      </w:pPr>
      <w:r w:rsidRPr="00E54403">
        <w:rPr>
          <w:rFonts w:ascii="Arial" w:hAnsi="Arial" w:cs="Arial"/>
        </w:rPr>
        <w:t>Removed several claims that your draft made but which are not supported by the provided sources (e.g., detailed Acts 15 “binding” language, James as “first bishop of Jerusalem,” or Confirmation’s origin via Acts 8:14–17).</w:t>
      </w:r>
    </w:p>
    <w:p w14:paraId="6DF25033" w14:textId="3F8B068A" w:rsidR="008765C8" w:rsidRPr="00A62BE8" w:rsidRDefault="008B1007" w:rsidP="008B1007">
      <w:pPr>
        <w:jc w:val="both"/>
        <w:rPr>
          <w:rFonts w:ascii="Arial" w:hAnsi="Arial" w:cs="Arial"/>
        </w:rPr>
      </w:pPr>
      <w:r w:rsidRPr="008B1007">
        <w:rPr>
          <w:rFonts w:ascii="Arial" w:hAnsi="Arial" w:cs="Arial"/>
        </w:rPr>
        <w:t xml:space="preserve">St Paul’s “journey” is not only a map of roads and sea routes; it is the story of how God remade a zealous persecutor into the Apostle to the Gentiles, and how that mission carried him—through trials, imprisonment, and finally martyrdom—to Rome, where the Gospel reached the heart of the empire. </w:t>
      </w:r>
      <w:r w:rsidR="003E0308">
        <w:rPr>
          <w:rStyle w:val="FootnoteReference"/>
          <w:rFonts w:ascii="Arial" w:hAnsi="Arial" w:cs="Arial"/>
        </w:rPr>
        <w:footnoteReference w:id="101"/>
      </w:r>
      <w:r w:rsidR="003E0308">
        <w:rPr>
          <w:rStyle w:val="FootnoteReference"/>
          <w:rFonts w:ascii="Arial" w:hAnsi="Arial" w:cs="Arial"/>
        </w:rPr>
        <w:footnoteReference w:id="102"/>
      </w:r>
    </w:p>
    <w:p w14:paraId="158C08ED" w14:textId="29974F76" w:rsidR="00D67F4C" w:rsidRPr="007C6702" w:rsidRDefault="006F17C8" w:rsidP="007C6702">
      <w:pPr>
        <w:pStyle w:val="ListParagraph"/>
        <w:numPr>
          <w:ilvl w:val="0"/>
          <w:numId w:val="5"/>
        </w:numPr>
        <w:jc w:val="both"/>
        <w:rPr>
          <w:rFonts w:ascii="Arial" w:hAnsi="Arial" w:cs="Arial"/>
          <w:b/>
          <w:bCs/>
        </w:rPr>
      </w:pPr>
      <w:r w:rsidRPr="008D16D0">
        <w:rPr>
          <w:rFonts w:ascii="Arial" w:hAnsi="Arial" w:cs="Arial"/>
          <w:b/>
          <w:bCs/>
          <w:color w:val="EE0000"/>
        </w:rPr>
        <w:t xml:space="preserve">The Ministry and Missionary </w:t>
      </w:r>
      <w:r w:rsidR="00430DAA" w:rsidRPr="008D16D0">
        <w:rPr>
          <w:rFonts w:ascii="Arial" w:hAnsi="Arial" w:cs="Arial"/>
          <w:b/>
          <w:bCs/>
          <w:color w:val="EE0000"/>
        </w:rPr>
        <w:t>Journeys of Paul</w:t>
      </w:r>
      <w:r w:rsidR="00FA7212" w:rsidRPr="008D16D0">
        <w:rPr>
          <w:rFonts w:ascii="Arial" w:hAnsi="Arial" w:cs="Arial"/>
          <w:b/>
          <w:bCs/>
          <w:color w:val="EE0000"/>
        </w:rPr>
        <w:t>, the Apostle to the Gentle</w:t>
      </w:r>
      <w:r w:rsidR="008D16D0" w:rsidRPr="008D16D0">
        <w:rPr>
          <w:rFonts w:ascii="Arial" w:hAnsi="Arial" w:cs="Arial"/>
          <w:b/>
          <w:bCs/>
          <w:color w:val="EE0000"/>
        </w:rPr>
        <w:t>s</w:t>
      </w:r>
      <w:r w:rsidR="00F520FB" w:rsidRPr="007C6702">
        <w:rPr>
          <w:rFonts w:ascii="Arial" w:hAnsi="Arial" w:cs="Arial"/>
          <w:b/>
          <w:bCs/>
        </w:rPr>
        <w:t xml:space="preserve">: </w:t>
      </w:r>
      <w:r w:rsidR="00F520FB" w:rsidRPr="007C6702">
        <w:rPr>
          <w:rFonts w:ascii="Arial" w:hAnsi="Arial" w:cs="Arial"/>
        </w:rPr>
        <w:t>Paul as the Apostle to the Gentiles</w:t>
      </w:r>
      <w:r w:rsidR="0013688F" w:rsidRPr="007C6702">
        <w:rPr>
          <w:rFonts w:ascii="Arial" w:hAnsi="Arial" w:cs="Arial"/>
        </w:rPr>
        <w:t>; structural and geographic spread of Christianity across</w:t>
      </w:r>
      <w:r w:rsidR="007C6702" w:rsidRPr="007C6702">
        <w:rPr>
          <w:rFonts w:ascii="Arial" w:hAnsi="Arial" w:cs="Arial"/>
        </w:rPr>
        <w:t xml:space="preserve"> the Roman Empire.</w:t>
      </w:r>
    </w:p>
    <w:p w14:paraId="703863F8" w14:textId="568DB600" w:rsidR="008B1007" w:rsidRPr="008765C8" w:rsidRDefault="008B1007" w:rsidP="008B1007">
      <w:pPr>
        <w:jc w:val="both"/>
        <w:rPr>
          <w:rFonts w:ascii="Arial" w:hAnsi="Arial" w:cs="Arial"/>
          <w:b/>
          <w:bCs/>
        </w:rPr>
      </w:pPr>
      <w:r w:rsidRPr="008765C8">
        <w:rPr>
          <w:rFonts w:ascii="Arial" w:hAnsi="Arial" w:cs="Arial"/>
          <w:b/>
          <w:bCs/>
        </w:rPr>
        <w:t>Conversion and the new direction of his life</w:t>
      </w:r>
    </w:p>
    <w:p w14:paraId="3E60221F" w14:textId="49512FB2" w:rsidR="008B1007" w:rsidRPr="008B1007" w:rsidRDefault="008B1007" w:rsidP="008B1007">
      <w:pPr>
        <w:jc w:val="both"/>
        <w:rPr>
          <w:rFonts w:ascii="Arial" w:hAnsi="Arial" w:cs="Arial"/>
        </w:rPr>
      </w:pPr>
      <w:r w:rsidRPr="008B1007">
        <w:rPr>
          <w:rFonts w:ascii="Arial" w:hAnsi="Arial" w:cs="Arial"/>
        </w:rPr>
        <w:t xml:space="preserve">Paul began as Saul of </w:t>
      </w:r>
      <w:r w:rsidR="008765C8" w:rsidRPr="008B1007">
        <w:rPr>
          <w:rFonts w:ascii="Arial" w:hAnsi="Arial" w:cs="Arial"/>
        </w:rPr>
        <w:t>Tarsus;</w:t>
      </w:r>
      <w:r w:rsidRPr="008B1007">
        <w:rPr>
          <w:rFonts w:ascii="Arial" w:hAnsi="Arial" w:cs="Arial"/>
        </w:rPr>
        <w:t xml:space="preserve"> a Pharisee trained in strict Jewish tradition. After the turning point of Damascus, his life changed: he “became a tireless apostle of the Gospel,” and his later work is traditionally grouped into three missionary journeys plus his final voyage to Rome as a prisoner. </w:t>
      </w:r>
      <w:r w:rsidR="00101394">
        <w:rPr>
          <w:rStyle w:val="FootnoteReference"/>
          <w:rFonts w:ascii="Arial" w:hAnsi="Arial" w:cs="Arial"/>
        </w:rPr>
        <w:footnoteReference w:id="103"/>
      </w:r>
    </w:p>
    <w:p w14:paraId="5C13B282" w14:textId="77777777" w:rsidR="008B1007" w:rsidRPr="008B1007" w:rsidRDefault="008B1007" w:rsidP="008B1007">
      <w:pPr>
        <w:jc w:val="both"/>
        <w:rPr>
          <w:rFonts w:ascii="Arial" w:hAnsi="Arial" w:cs="Arial"/>
        </w:rPr>
      </w:pPr>
      <w:r w:rsidRPr="008B1007">
        <w:rPr>
          <w:rFonts w:ascii="Arial" w:hAnsi="Arial" w:cs="Arial"/>
        </w:rPr>
        <w:t>The missionary journeys (key movements and purpose)</w:t>
      </w:r>
    </w:p>
    <w:p w14:paraId="7AB41AA3" w14:textId="77777777" w:rsidR="008B1007" w:rsidRPr="008B1007" w:rsidRDefault="008B1007" w:rsidP="008B1007">
      <w:pPr>
        <w:jc w:val="both"/>
        <w:rPr>
          <w:rFonts w:ascii="Arial" w:hAnsi="Arial" w:cs="Arial"/>
        </w:rPr>
      </w:pPr>
      <w:r w:rsidRPr="008B1007">
        <w:rPr>
          <w:rFonts w:ascii="Arial" w:hAnsi="Arial" w:cs="Arial"/>
        </w:rPr>
        <w:t>Crossing into Europe (early expansion)</w:t>
      </w:r>
    </w:p>
    <w:p w14:paraId="385E9623" w14:textId="52787803" w:rsidR="008B1007" w:rsidRPr="008B1007" w:rsidRDefault="008B1007" w:rsidP="008B1007">
      <w:pPr>
        <w:jc w:val="both"/>
        <w:rPr>
          <w:rFonts w:ascii="Arial" w:hAnsi="Arial" w:cs="Arial"/>
        </w:rPr>
      </w:pPr>
      <w:r w:rsidRPr="008B1007">
        <w:rPr>
          <w:rFonts w:ascii="Arial" w:hAnsi="Arial" w:cs="Arial"/>
        </w:rPr>
        <w:t xml:space="preserve">During his second journey, Paul—inspired by a vision—crosses into Europe (as Acts notes), so that the Gospel reaches new peoples and places. </w:t>
      </w:r>
      <w:r w:rsidR="0083143A">
        <w:rPr>
          <w:rStyle w:val="FootnoteReference"/>
          <w:rFonts w:ascii="Arial" w:hAnsi="Arial" w:cs="Arial"/>
        </w:rPr>
        <w:footnoteReference w:id="104"/>
      </w:r>
    </w:p>
    <w:p w14:paraId="1FB2894B" w14:textId="77777777" w:rsidR="008B1007" w:rsidRPr="008B1007" w:rsidRDefault="008B1007" w:rsidP="008B1007">
      <w:pPr>
        <w:jc w:val="both"/>
        <w:rPr>
          <w:rFonts w:ascii="Arial" w:hAnsi="Arial" w:cs="Arial"/>
        </w:rPr>
      </w:pPr>
      <w:r w:rsidRPr="008B1007">
        <w:rPr>
          <w:rFonts w:ascii="Arial" w:hAnsi="Arial" w:cs="Arial"/>
        </w:rPr>
        <w:t>A mission that provokes opposition</w:t>
      </w:r>
    </w:p>
    <w:p w14:paraId="6D7661B7" w14:textId="28D4E381" w:rsidR="008B1007" w:rsidRPr="008B1007" w:rsidRDefault="008B1007" w:rsidP="008B1007">
      <w:pPr>
        <w:jc w:val="both"/>
        <w:rPr>
          <w:rFonts w:ascii="Arial" w:hAnsi="Arial" w:cs="Arial"/>
        </w:rPr>
      </w:pPr>
      <w:r w:rsidRPr="008B1007">
        <w:rPr>
          <w:rFonts w:ascii="Arial" w:hAnsi="Arial" w:cs="Arial"/>
        </w:rPr>
        <w:t xml:space="preserve">Across his journeys, Paul and his companions often face hardship and persecution. The main reason for Jewish opposition is that Paul’s mission is directed especially toward the Gentiles. </w:t>
      </w:r>
      <w:r w:rsidR="002F5834">
        <w:rPr>
          <w:rStyle w:val="FootnoteReference"/>
          <w:rFonts w:ascii="Arial" w:hAnsi="Arial" w:cs="Arial"/>
        </w:rPr>
        <w:footnoteReference w:id="105"/>
      </w:r>
    </w:p>
    <w:p w14:paraId="718FA87B" w14:textId="77777777" w:rsidR="008B1007" w:rsidRPr="0004239C" w:rsidRDefault="008B1007" w:rsidP="008B1007">
      <w:pPr>
        <w:jc w:val="both"/>
        <w:rPr>
          <w:rFonts w:ascii="Arial" w:hAnsi="Arial" w:cs="Arial"/>
          <w:b/>
          <w:bCs/>
        </w:rPr>
      </w:pPr>
      <w:r w:rsidRPr="0004239C">
        <w:rPr>
          <w:rFonts w:ascii="Arial" w:hAnsi="Arial" w:cs="Arial"/>
          <w:b/>
          <w:bCs/>
        </w:rPr>
        <w:lastRenderedPageBreak/>
        <w:t>Through major cities and regions</w:t>
      </w:r>
    </w:p>
    <w:p w14:paraId="30143BF9" w14:textId="06A1984B" w:rsidR="008B1007" w:rsidRPr="008B1007" w:rsidRDefault="008B1007" w:rsidP="008B1007">
      <w:pPr>
        <w:jc w:val="both"/>
        <w:rPr>
          <w:rFonts w:ascii="Arial" w:hAnsi="Arial" w:cs="Arial"/>
        </w:rPr>
      </w:pPr>
      <w:r w:rsidRPr="008B1007">
        <w:rPr>
          <w:rFonts w:ascii="Arial" w:hAnsi="Arial" w:cs="Arial"/>
        </w:rPr>
        <w:t xml:space="preserve">The Acts narratives (summarized in later Catholic works) show Paul moving through regions such as Macedonia, Beroea, Athens, and Corinth, preaching strongly and establishing communities. In Corinth, for example, he is described as settling for a significant period before continuing onward. </w:t>
      </w:r>
      <w:r w:rsidR="002F5834">
        <w:rPr>
          <w:rStyle w:val="FootnoteReference"/>
          <w:rFonts w:ascii="Arial" w:hAnsi="Arial" w:cs="Arial"/>
        </w:rPr>
        <w:footnoteReference w:id="106"/>
      </w:r>
    </w:p>
    <w:p w14:paraId="134D8A8A" w14:textId="77777777" w:rsidR="008B1007" w:rsidRPr="008B1007" w:rsidRDefault="008B1007" w:rsidP="008B1007">
      <w:pPr>
        <w:jc w:val="both"/>
        <w:rPr>
          <w:rFonts w:ascii="Arial" w:hAnsi="Arial" w:cs="Arial"/>
        </w:rPr>
      </w:pPr>
      <w:r w:rsidRPr="008B1007">
        <w:rPr>
          <w:rFonts w:ascii="Arial" w:hAnsi="Arial" w:cs="Arial"/>
        </w:rPr>
        <w:t>From Jerusalem to Caesarea: arrest, chains, and the appeal to Caesar</w:t>
      </w:r>
    </w:p>
    <w:p w14:paraId="47738916" w14:textId="7AFE16A3" w:rsidR="008B1007" w:rsidRPr="008B1007" w:rsidRDefault="008B1007" w:rsidP="008B1007">
      <w:pPr>
        <w:jc w:val="both"/>
        <w:rPr>
          <w:rFonts w:ascii="Arial" w:hAnsi="Arial" w:cs="Arial"/>
        </w:rPr>
      </w:pPr>
      <w:r w:rsidRPr="008B1007">
        <w:rPr>
          <w:rFonts w:ascii="Arial" w:hAnsi="Arial" w:cs="Arial"/>
        </w:rPr>
        <w:t xml:space="preserve">Paul’s work eventually leads to conflict in Jerusalem. When hostility grows, he appeals to the emperor—becoming not only a missionary preacher but also, in a sense, a prisoner-proclaimer whose journey to Rome is forced by events. </w:t>
      </w:r>
      <w:r w:rsidR="00A225CA">
        <w:rPr>
          <w:rStyle w:val="FootnoteReference"/>
          <w:rFonts w:ascii="Arial" w:hAnsi="Arial" w:cs="Arial"/>
        </w:rPr>
        <w:footnoteReference w:id="107"/>
      </w:r>
      <w:r w:rsidR="004A2E81">
        <w:rPr>
          <w:rStyle w:val="FootnoteReference"/>
          <w:rFonts w:ascii="Arial" w:hAnsi="Arial" w:cs="Arial"/>
        </w:rPr>
        <w:footnoteReference w:id="108"/>
      </w:r>
    </w:p>
    <w:p w14:paraId="02B9AF3A" w14:textId="5287BB71" w:rsidR="008B1007" w:rsidRPr="008B1007" w:rsidRDefault="008B1007" w:rsidP="008B1007">
      <w:pPr>
        <w:jc w:val="both"/>
        <w:rPr>
          <w:rFonts w:ascii="Arial" w:hAnsi="Arial" w:cs="Arial"/>
        </w:rPr>
      </w:pPr>
      <w:r w:rsidRPr="008B1007">
        <w:rPr>
          <w:rFonts w:ascii="Arial" w:hAnsi="Arial" w:cs="Arial"/>
        </w:rPr>
        <w:t xml:space="preserve">In the account summarized by Butler, Paul is:arrested and roughly handled,bound with chains,transferred to Caesarea,kept in captivity for an extended period while a trial drags on,and then formally appeals to Caesar as a Roman citizen. </w:t>
      </w:r>
      <w:r w:rsidR="00FF3155">
        <w:rPr>
          <w:rStyle w:val="FootnoteReference"/>
          <w:rFonts w:ascii="Arial" w:hAnsi="Arial" w:cs="Arial"/>
        </w:rPr>
        <w:footnoteReference w:id="109"/>
      </w:r>
    </w:p>
    <w:p w14:paraId="2883F85F" w14:textId="77777777" w:rsidR="008B1007" w:rsidRPr="00167843" w:rsidRDefault="008B1007" w:rsidP="008B1007">
      <w:pPr>
        <w:jc w:val="both"/>
        <w:rPr>
          <w:rFonts w:ascii="Arial" w:hAnsi="Arial" w:cs="Arial"/>
          <w:b/>
          <w:bCs/>
        </w:rPr>
      </w:pPr>
      <w:r w:rsidRPr="00167843">
        <w:rPr>
          <w:rFonts w:ascii="Arial" w:hAnsi="Arial" w:cs="Arial"/>
          <w:b/>
          <w:bCs/>
        </w:rPr>
        <w:t>The dangerous voyage to Rome</w:t>
      </w:r>
    </w:p>
    <w:p w14:paraId="3DAEE999" w14:textId="39266C49" w:rsidR="008B1007" w:rsidRPr="008B1007" w:rsidRDefault="008B1007" w:rsidP="008B1007">
      <w:pPr>
        <w:jc w:val="both"/>
        <w:rPr>
          <w:rFonts w:ascii="Arial" w:hAnsi="Arial" w:cs="Arial"/>
        </w:rPr>
      </w:pPr>
      <w:r w:rsidRPr="008B1007">
        <w:rPr>
          <w:rFonts w:ascii="Arial" w:hAnsi="Arial" w:cs="Arial"/>
        </w:rPr>
        <w:t xml:space="preserve">Once Paul is set on course for Rome, the journey becomes a sea-and-route ordeal. The voyage “involved” stops at islands and cities, including Crete and Malta, and then further along to cities such as Syracuse, Rhegium (Calabria), and Puteoli, before reaching Rome. </w:t>
      </w:r>
      <w:r w:rsidR="00FF3155">
        <w:rPr>
          <w:rStyle w:val="FootnoteReference"/>
          <w:rFonts w:ascii="Arial" w:hAnsi="Arial" w:cs="Arial"/>
        </w:rPr>
        <w:footnoteReference w:id="110"/>
      </w:r>
    </w:p>
    <w:p w14:paraId="2B84F97D" w14:textId="135847ED" w:rsidR="008B1007" w:rsidRPr="008B1007" w:rsidRDefault="008B1007" w:rsidP="008B1007">
      <w:pPr>
        <w:jc w:val="both"/>
        <w:rPr>
          <w:rFonts w:ascii="Arial" w:hAnsi="Arial" w:cs="Arial"/>
        </w:rPr>
      </w:pPr>
      <w:r w:rsidRPr="008B1007">
        <w:rPr>
          <w:rFonts w:ascii="Arial" w:hAnsi="Arial" w:cs="Arial"/>
        </w:rPr>
        <w:t xml:space="preserve">Butler’s summary also emphasizes the shipwreck and how Paul is carried forward after delays until he finally reaches Rome, where Acts ends with Paul awaiting trial. </w:t>
      </w:r>
      <w:r w:rsidR="00FF3155">
        <w:rPr>
          <w:rStyle w:val="FootnoteReference"/>
          <w:rFonts w:ascii="Arial" w:hAnsi="Arial" w:cs="Arial"/>
        </w:rPr>
        <w:footnoteReference w:id="111"/>
      </w:r>
    </w:p>
    <w:p w14:paraId="2763FFE9" w14:textId="06485E42" w:rsidR="008B1007" w:rsidRPr="00101394" w:rsidRDefault="008B1007" w:rsidP="008B1007">
      <w:pPr>
        <w:jc w:val="both"/>
        <w:rPr>
          <w:rFonts w:ascii="Arial" w:hAnsi="Arial" w:cs="Arial"/>
          <w:b/>
          <w:bCs/>
        </w:rPr>
      </w:pPr>
      <w:r w:rsidRPr="00101394">
        <w:rPr>
          <w:rFonts w:ascii="Arial" w:hAnsi="Arial" w:cs="Arial"/>
          <w:b/>
          <w:bCs/>
        </w:rPr>
        <w:t xml:space="preserve">Rome: </w:t>
      </w:r>
      <w:r w:rsidR="00101394" w:rsidRPr="00101394">
        <w:rPr>
          <w:rFonts w:ascii="Arial" w:hAnsi="Arial" w:cs="Arial"/>
          <w:b/>
          <w:bCs/>
        </w:rPr>
        <w:t>The</w:t>
      </w:r>
      <w:r w:rsidRPr="00101394">
        <w:rPr>
          <w:rFonts w:ascii="Arial" w:hAnsi="Arial" w:cs="Arial"/>
          <w:b/>
          <w:bCs/>
        </w:rPr>
        <w:t xml:space="preserve"> Gospel at the center of the empire</w:t>
      </w:r>
    </w:p>
    <w:p w14:paraId="12BCC437" w14:textId="40832F8C" w:rsidR="008B1007" w:rsidRPr="008B1007" w:rsidRDefault="008B1007" w:rsidP="008B1007">
      <w:pPr>
        <w:jc w:val="both"/>
        <w:rPr>
          <w:rFonts w:ascii="Arial" w:hAnsi="Arial" w:cs="Arial"/>
        </w:rPr>
      </w:pPr>
      <w:r w:rsidRPr="008B1007">
        <w:rPr>
          <w:rFonts w:ascii="Arial" w:hAnsi="Arial" w:cs="Arial"/>
        </w:rPr>
        <w:t xml:space="preserve">When Paul arrives in Rome, he continues his mission. John Paul II describes how Acts portrays the “long journey which led him … finally to Rome,” where his witness to Christ is “crowned with martyrdom.” </w:t>
      </w:r>
      <w:r w:rsidR="00FF3155">
        <w:rPr>
          <w:rStyle w:val="FootnoteReference"/>
          <w:rFonts w:ascii="Arial" w:hAnsi="Arial" w:cs="Arial"/>
        </w:rPr>
        <w:footnoteReference w:id="112"/>
      </w:r>
    </w:p>
    <w:p w14:paraId="5E6C5406" w14:textId="0713D924" w:rsidR="008B1007" w:rsidRPr="008B1007" w:rsidRDefault="008B1007" w:rsidP="008B1007">
      <w:pPr>
        <w:jc w:val="both"/>
        <w:rPr>
          <w:rFonts w:ascii="Arial" w:hAnsi="Arial" w:cs="Arial"/>
        </w:rPr>
      </w:pPr>
      <w:r w:rsidRPr="008B1007">
        <w:rPr>
          <w:rFonts w:ascii="Arial" w:hAnsi="Arial" w:cs="Arial"/>
        </w:rPr>
        <w:t xml:space="preserve">Benedict XVI also notes that Luke’s account ends with Paul in Rome under mild military surveillance, with Paul able to welcome those who came to him. </w:t>
      </w:r>
      <w:r w:rsidR="009C307A">
        <w:rPr>
          <w:rStyle w:val="FootnoteReference"/>
          <w:rFonts w:ascii="Arial" w:hAnsi="Arial" w:cs="Arial"/>
        </w:rPr>
        <w:footnoteReference w:id="113"/>
      </w:r>
    </w:p>
    <w:p w14:paraId="69DB1A45" w14:textId="77777777" w:rsidR="00167843" w:rsidRDefault="00167843" w:rsidP="008B1007">
      <w:pPr>
        <w:jc w:val="both"/>
        <w:rPr>
          <w:rFonts w:ascii="Arial" w:hAnsi="Arial" w:cs="Arial"/>
        </w:rPr>
      </w:pPr>
    </w:p>
    <w:p w14:paraId="2D0BC0E1" w14:textId="77777777" w:rsidR="00167843" w:rsidRDefault="00167843" w:rsidP="008B1007">
      <w:pPr>
        <w:jc w:val="both"/>
        <w:rPr>
          <w:rFonts w:ascii="Arial" w:hAnsi="Arial" w:cs="Arial"/>
        </w:rPr>
      </w:pPr>
    </w:p>
    <w:p w14:paraId="4C21F728" w14:textId="6391E06B" w:rsidR="008B1007" w:rsidRPr="008B1007" w:rsidRDefault="008B1007" w:rsidP="008B1007">
      <w:pPr>
        <w:jc w:val="both"/>
        <w:rPr>
          <w:rFonts w:ascii="Arial" w:hAnsi="Arial" w:cs="Arial"/>
        </w:rPr>
      </w:pPr>
      <w:r w:rsidRPr="008B1007">
        <w:rPr>
          <w:rFonts w:ascii="Arial" w:hAnsi="Arial" w:cs="Arial"/>
        </w:rPr>
        <w:lastRenderedPageBreak/>
        <w:t xml:space="preserve">Martyrdom and lasting “heritage”Christian tradition witnesses unanimously that Paul died as a martyr in Rome. The New Testament does not directly narrate the event, but Paul himself leaves premonitory language (notably in 2 Timothy) interpreting his death in sacrificial terms. </w:t>
      </w:r>
      <w:r w:rsidR="00274980">
        <w:rPr>
          <w:rStyle w:val="FootnoteReference"/>
          <w:rFonts w:ascii="Arial" w:hAnsi="Arial" w:cs="Arial"/>
        </w:rPr>
        <w:footnoteReference w:id="114"/>
      </w:r>
    </w:p>
    <w:p w14:paraId="62F1F3B0" w14:textId="46630B62" w:rsidR="008B1007" w:rsidRPr="008B1007" w:rsidRDefault="008B1007" w:rsidP="008B1007">
      <w:pPr>
        <w:jc w:val="both"/>
        <w:rPr>
          <w:rFonts w:ascii="Arial" w:hAnsi="Arial" w:cs="Arial"/>
        </w:rPr>
      </w:pPr>
      <w:r w:rsidRPr="008B1007">
        <w:rPr>
          <w:rFonts w:ascii="Arial" w:hAnsi="Arial" w:cs="Arial"/>
        </w:rPr>
        <w:t xml:space="preserve">Benedict XVI highlights that the tradition speaks of Paul’s patient endurance and communion with Christ’s Passion, summarizing his life as a long “journey of suffering” that culminates in martyrdom. </w:t>
      </w:r>
      <w:r w:rsidR="002A6C0A">
        <w:rPr>
          <w:rStyle w:val="FootnoteReference"/>
          <w:rFonts w:ascii="Arial" w:hAnsi="Arial" w:cs="Arial"/>
        </w:rPr>
        <w:footnoteReference w:id="115"/>
      </w:r>
    </w:p>
    <w:p w14:paraId="155400BC" w14:textId="5A739A08" w:rsidR="007065AC" w:rsidRDefault="008B1007" w:rsidP="008B1007">
      <w:pPr>
        <w:jc w:val="both"/>
        <w:rPr>
          <w:rFonts w:ascii="Arial" w:hAnsi="Arial" w:cs="Arial"/>
        </w:rPr>
      </w:pPr>
      <w:r w:rsidRPr="008B1007">
        <w:rPr>
          <w:rFonts w:ascii="Arial" w:hAnsi="Arial" w:cs="Arial"/>
        </w:rPr>
        <w:t xml:space="preserve">In short: Paul’s journey is the movement of the Gospel from Jerusalem outward to the Gentile world, through conflict and suffering, and finally into Rome—where his witness is completed by martyrdom and his teaching continues to shape the Church. </w:t>
      </w:r>
      <w:r w:rsidR="00274980">
        <w:rPr>
          <w:rStyle w:val="FootnoteReference"/>
          <w:rFonts w:ascii="Arial" w:hAnsi="Arial" w:cs="Arial"/>
        </w:rPr>
        <w:footnoteReference w:id="116"/>
      </w:r>
      <w:r w:rsidRPr="008B1007">
        <w:rPr>
          <w:rFonts w:ascii="Arial" w:hAnsi="Arial" w:cs="Arial"/>
        </w:rPr>
        <w:t xml:space="preserve"> </w:t>
      </w:r>
      <w:r w:rsidR="00274980">
        <w:rPr>
          <w:rStyle w:val="FootnoteReference"/>
          <w:rFonts w:ascii="Arial" w:hAnsi="Arial" w:cs="Arial"/>
        </w:rPr>
        <w:footnoteReference w:id="117"/>
      </w:r>
      <w:r w:rsidRPr="008B1007">
        <w:rPr>
          <w:rFonts w:ascii="Arial" w:hAnsi="Arial" w:cs="Arial"/>
        </w:rPr>
        <w:t xml:space="preserve"> </w:t>
      </w:r>
      <w:r w:rsidR="000905D3">
        <w:rPr>
          <w:rStyle w:val="FootnoteReference"/>
          <w:rFonts w:ascii="Arial" w:hAnsi="Arial" w:cs="Arial"/>
        </w:rPr>
        <w:footnoteReference w:id="118"/>
      </w:r>
    </w:p>
    <w:p w14:paraId="78D639C9" w14:textId="46011DC7" w:rsidR="00167843" w:rsidRPr="00167843" w:rsidRDefault="00167843" w:rsidP="00167843">
      <w:pPr>
        <w:pStyle w:val="ListParagraph"/>
        <w:numPr>
          <w:ilvl w:val="0"/>
          <w:numId w:val="5"/>
        </w:numPr>
        <w:jc w:val="both"/>
        <w:rPr>
          <w:b/>
          <w:bCs/>
          <w:color w:val="EE0000"/>
        </w:rPr>
      </w:pPr>
      <w:r w:rsidRPr="00167843">
        <w:rPr>
          <w:b/>
          <w:bCs/>
          <w:color w:val="EE0000"/>
        </w:rPr>
        <w:t xml:space="preserve">The Council of Jerusalem (c. 50 AD) and Inclusion of Gentiles </w:t>
      </w:r>
    </w:p>
    <w:p w14:paraId="3DFDD43D" w14:textId="736B5CDB" w:rsidR="00167843" w:rsidRDefault="00167843" w:rsidP="008B1007">
      <w:pPr>
        <w:jc w:val="both"/>
        <w:rPr>
          <w:rFonts w:ascii="Arial" w:hAnsi="Arial" w:cs="Arial"/>
        </w:rPr>
      </w:pPr>
      <w:r>
        <w:t>• The Council of Jerusalem, held around 50 AD, was a pivotal moment in the early Church’s history, as it addressed the issue of whether Gentile converts to Christianity needed to follow Jewish laws, particularly circumcision. This was a pressing issue because Christianity had emerged from Judaism, and many Jewish Christians believed that Gentile converts should adopt the Mosaic Law. • The Council, presided over by St. Peter and St. James, with significant input from St. Paul, ruled that Gentiles did not need to follow all aspects of Jewish law to be Christians (Acts 15). This decision was monumental because it opened the door for the rapid expansion of Christianity among the Gentiles, allowing it to emerge as a distinct faith, no longer bound by the full requirements of the Jewish tradition.</w:t>
      </w:r>
    </w:p>
    <w:p w14:paraId="78B8E989" w14:textId="1DAB6E8B" w:rsidR="00C41F59" w:rsidRPr="00DC6B33" w:rsidRDefault="003E07F0" w:rsidP="008D16D0">
      <w:pPr>
        <w:pStyle w:val="ListParagraph"/>
        <w:numPr>
          <w:ilvl w:val="0"/>
          <w:numId w:val="5"/>
        </w:numPr>
        <w:jc w:val="both"/>
        <w:rPr>
          <w:rFonts w:ascii="Arial" w:hAnsi="Arial" w:cs="Arial"/>
          <w:b/>
          <w:bCs/>
          <w:color w:val="EE0000"/>
        </w:rPr>
      </w:pPr>
      <w:r w:rsidRPr="00DC6B33">
        <w:rPr>
          <w:rFonts w:ascii="Arial" w:hAnsi="Arial" w:cs="Arial"/>
          <w:b/>
          <w:bCs/>
          <w:color w:val="EE0000"/>
        </w:rPr>
        <w:t xml:space="preserve">The Spread of Christianity </w:t>
      </w:r>
      <w:r w:rsidR="00BE52A9" w:rsidRPr="00DC6B33">
        <w:rPr>
          <w:rFonts w:ascii="Arial" w:hAnsi="Arial" w:cs="Arial"/>
          <w:b/>
          <w:bCs/>
          <w:color w:val="EE0000"/>
        </w:rPr>
        <w:t>throughout the Roman Empire and the witness</w:t>
      </w:r>
      <w:r w:rsidR="005E338B" w:rsidRPr="00DC6B33">
        <w:rPr>
          <w:rFonts w:ascii="Arial" w:hAnsi="Arial" w:cs="Arial"/>
          <w:b/>
          <w:bCs/>
          <w:color w:val="EE0000"/>
        </w:rPr>
        <w:t xml:space="preserve"> of the martyrs </w:t>
      </w:r>
    </w:p>
    <w:p w14:paraId="493C8EA7" w14:textId="1B976962" w:rsidR="008953AB" w:rsidRDefault="008953AB" w:rsidP="008953AB">
      <w:pPr>
        <w:jc w:val="both"/>
        <w:rPr>
          <w:rFonts w:ascii="Arial" w:hAnsi="Arial" w:cs="Arial"/>
        </w:rPr>
      </w:pPr>
      <w:r w:rsidRPr="008953AB">
        <w:rPr>
          <w:rFonts w:ascii="Arial" w:hAnsi="Arial" w:cs="Arial"/>
        </w:rPr>
        <w:t>The rise of Christianity from a small, persecuted Jewish sect to the dominant religion of the Roman Empire is one of the most significant transformations in Western history. In the span of just four centuries, the Christian faith spread throughout the Mediterranean world, winning converts from all levels of society and ultimately becoming the official creed of the empire itself. This article will explore the key factors, events, and turning points in Christianity ‘s unlikely path to supremacy in Rome.</w:t>
      </w:r>
      <w:r w:rsidR="006B4A9D">
        <w:rPr>
          <w:rStyle w:val="FootnoteReference"/>
          <w:rFonts w:ascii="Arial" w:hAnsi="Arial" w:cs="Arial"/>
        </w:rPr>
        <w:footnoteReference w:id="119"/>
      </w:r>
    </w:p>
    <w:p w14:paraId="2CED5BCB" w14:textId="77777777" w:rsidR="00AF5934" w:rsidRPr="00E96D94" w:rsidRDefault="00AF5934" w:rsidP="008953AB">
      <w:pPr>
        <w:jc w:val="both"/>
        <w:rPr>
          <w:b/>
          <w:bCs/>
        </w:rPr>
      </w:pPr>
      <w:r w:rsidRPr="00E96D94">
        <w:rPr>
          <w:b/>
          <w:bCs/>
        </w:rPr>
        <w:lastRenderedPageBreak/>
        <w:t xml:space="preserve">Spread of Christianity and Apostolic Missionary Work </w:t>
      </w:r>
    </w:p>
    <w:p w14:paraId="4D1DB63E" w14:textId="77777777" w:rsidR="00AF5934" w:rsidRDefault="00AF5934" w:rsidP="008953AB">
      <w:pPr>
        <w:jc w:val="both"/>
      </w:pPr>
      <w:r>
        <w:t xml:space="preserve">• Following the Council of Jerusalem, the Apostles and their companions continued to spread the Gospel throughout the Roman Empire and beyond. St. Paul’s missionary journeys (c. 50–67 AD) were especially crucial in establishing Christian communities across Asia Minor, Greece, and Rome. His letters (Epistles) to these early communities not only provided theological instruction but also addressed the practical challenges of living as Christians in a largely pagan world. </w:t>
      </w:r>
    </w:p>
    <w:p w14:paraId="01665901" w14:textId="77777777" w:rsidR="00AF5934" w:rsidRDefault="00AF5934" w:rsidP="008953AB">
      <w:pPr>
        <w:jc w:val="both"/>
      </w:pPr>
      <w:r>
        <w:t xml:space="preserve">• Other Apostles and early Church leaders, such as St. Peter, St. John, and St. Thomas, also played significant roles in spreading the faith to various regions, including Rome, Ephesus, and as far as India, according to tradition. The Apostles’ work during this period solidified the Church’s foundation and spread Christian teaching far beyond its Jewish origins. Development of Christian Scripture </w:t>
      </w:r>
    </w:p>
    <w:p w14:paraId="66D12345" w14:textId="77777777" w:rsidR="00AF5934" w:rsidRDefault="00AF5934" w:rsidP="008953AB">
      <w:pPr>
        <w:jc w:val="both"/>
      </w:pPr>
      <w:r>
        <w:t>• Between 50 AD and 100 AD, many of the New Testament writings were composed. The Epistles of St. Paul (e.g., Romans, 1 Corinthians, Galatians) were among the earliest written, addressing doctrinal issues and the practical life of Christian communities. The Gospels—Mark (c. 65-70 AD), Matthew (c. 70-85 AD), Luke (c. 80-85 AD), and John (c. 90-100 AD)—were written during this period, solidifying the apostolic witness to Christ’s life, death, and resurrection.</w:t>
      </w:r>
    </w:p>
    <w:p w14:paraId="22DB748A" w14:textId="77777777" w:rsidR="00AF5934" w:rsidRDefault="00AF5934" w:rsidP="008953AB">
      <w:pPr>
        <w:jc w:val="both"/>
      </w:pPr>
      <w:r>
        <w:t xml:space="preserve"> • Additionally, other writings, such as the Acts of the Apostles and various pastoral letters (e.g., 1 Timothy, Titus), were written to provide guidance for the growing Church. These texts were circulated among Christian communities and, by the end of the first century, were increasingly viewed as authoritative alongside the Hebrew Scriptures (Old Testament). Church Structure and Apostolic Succession https://dcref.info/catechesis/ 7</w:t>
      </w:r>
    </w:p>
    <w:p w14:paraId="5D7F24FB" w14:textId="77777777" w:rsidR="00AF5934" w:rsidRDefault="00AF5934" w:rsidP="008953AB">
      <w:pPr>
        <w:jc w:val="both"/>
      </w:pPr>
      <w:r>
        <w:t xml:space="preserve"> • As the Apostles spread the faith and established new communities, the need for structured leadership became increasingly important. By 100 AD, the early Church had developed a hierarchical structure centered on the Apostles and their successors, the bishops, who oversaw local communities. The role of presbyters (priests) and deacons also became more clearly defined during this time, particularly as seen in the pastoral letters of St. Paul (1 Timothy, Titus). </w:t>
      </w:r>
    </w:p>
    <w:p w14:paraId="207388D0" w14:textId="77777777" w:rsidR="00AF5934" w:rsidRDefault="00AF5934" w:rsidP="008953AB">
      <w:pPr>
        <w:jc w:val="both"/>
      </w:pPr>
      <w:r>
        <w:t xml:space="preserve">• Apostolic succession, the passing down of authority from the Apostles to bishops, ensured continuity in teaching and governance. This structure helped maintain unity in the rapidly expanding Church and provided a safeguard against doctrinal error. St. Clement of Rome, in his letter to the Corinthians (c. 96 AD), emphasized the importance of maintaining this </w:t>
      </w:r>
      <w:r>
        <w:lastRenderedPageBreak/>
        <w:t>apostolic tradition in leadership. Worship and the Development of the Liturgy The basic structure of Christian worship continued to develop during this period. The Eucharist (the “breaking of the bread”) remained central to Christian worship, celebrated primarily on Sundays, the day of the Lord’s Resurrection. By the end of the first century, descriptions of Christian liturgy (such as in the Didache and the writings of St. Ignatius of Antioch) indicate a formalized structure that included:</w:t>
      </w:r>
    </w:p>
    <w:p w14:paraId="5E08BCA8" w14:textId="77777777" w:rsidR="00AF5934" w:rsidRDefault="00AF5934" w:rsidP="008953AB">
      <w:pPr>
        <w:jc w:val="both"/>
      </w:pPr>
      <w:r>
        <w:t xml:space="preserve"> • Readings from Scripture (both the Old Testament and apostolic writings)</w:t>
      </w:r>
    </w:p>
    <w:p w14:paraId="3F85EAA5" w14:textId="0F878BBE" w:rsidR="00AF5934" w:rsidRDefault="00AF5934" w:rsidP="008953AB">
      <w:pPr>
        <w:jc w:val="both"/>
      </w:pPr>
      <w:r>
        <w:t xml:space="preserve"> • Prayers of thanksgiving</w:t>
      </w:r>
    </w:p>
    <w:p w14:paraId="2ABD6D56" w14:textId="77777777" w:rsidR="00AF5934" w:rsidRDefault="00AF5934" w:rsidP="008953AB">
      <w:pPr>
        <w:jc w:val="both"/>
      </w:pPr>
      <w:r>
        <w:t xml:space="preserve"> • The breaking of the bread and sharing of the cup (Eucharist)</w:t>
      </w:r>
    </w:p>
    <w:p w14:paraId="42B0ECCE" w14:textId="103A618F" w:rsidR="00AF5934" w:rsidRPr="00C41F59" w:rsidRDefault="00AF5934" w:rsidP="008953AB">
      <w:pPr>
        <w:jc w:val="both"/>
        <w:rPr>
          <w:rFonts w:ascii="Arial" w:hAnsi="Arial" w:cs="Arial"/>
        </w:rPr>
      </w:pPr>
      <w:r>
        <w:t xml:space="preserve"> • Communal prayers for the Church, the world, and individuals The Eucharistic celebration was seen not only as a commemoration of the Last Supper but also as a re presentation of Christ’s sacrifice on the Cross, a view echoed by St. Paul in 1 Corinthians 11:23-29.</w:t>
      </w:r>
    </w:p>
    <w:p w14:paraId="1F2A888B" w14:textId="1FE9039E" w:rsidR="008953AB" w:rsidRPr="008953AB" w:rsidRDefault="008953AB" w:rsidP="008953AB">
      <w:pPr>
        <w:jc w:val="both"/>
        <w:rPr>
          <w:rFonts w:ascii="Arial" w:hAnsi="Arial" w:cs="Arial"/>
          <w:b/>
          <w:bCs/>
        </w:rPr>
      </w:pPr>
      <w:r w:rsidRPr="008953AB">
        <w:rPr>
          <w:rFonts w:ascii="Arial" w:hAnsi="Arial" w:cs="Arial"/>
          <w:b/>
          <w:bCs/>
        </w:rPr>
        <w:t>The Early Decades: Persecution and Growth</w:t>
      </w:r>
    </w:p>
    <w:p w14:paraId="3DC50BC5" w14:textId="77777777" w:rsidR="008953AB" w:rsidRPr="008953AB" w:rsidRDefault="008953AB" w:rsidP="008953AB">
      <w:pPr>
        <w:jc w:val="both"/>
        <w:rPr>
          <w:rFonts w:ascii="Arial" w:hAnsi="Arial" w:cs="Arial"/>
        </w:rPr>
      </w:pPr>
      <w:r w:rsidRPr="008953AB">
        <w:rPr>
          <w:rFonts w:ascii="Arial" w:hAnsi="Arial" w:cs="Arial"/>
        </w:rPr>
        <w:t>Christianity emerged in the 1st century AD in Roman Judea, based on the teachings of Jesus of Nazareth and his apostles. Despite its origins as a Jewish movement, Christianity quickly spread beyond the Jewish community to Gentiles throughout the empire. The missionary work of figures like Paul of Tarsus was crucial in this early expansion.</w:t>
      </w:r>
    </w:p>
    <w:p w14:paraId="4B616526" w14:textId="77777777" w:rsidR="008953AB" w:rsidRPr="008953AB" w:rsidRDefault="008953AB" w:rsidP="008953AB">
      <w:pPr>
        <w:jc w:val="both"/>
        <w:rPr>
          <w:rFonts w:ascii="Arial" w:hAnsi="Arial" w:cs="Arial"/>
        </w:rPr>
      </w:pPr>
      <w:r w:rsidRPr="008953AB">
        <w:rPr>
          <w:rFonts w:ascii="Arial" w:hAnsi="Arial" w:cs="Arial"/>
        </w:rPr>
        <w:t>However, the early decades of Christianity were also marked by periodic persecutions at the hands of some Roman emperors. The first major persecution occurred under Emperor Nero in the mid-1st century. According to the Roman historian Tacitus, Nero blamed Christians for the Great Fire of Rome in 64 AD and had many arrested and executed in brutal ways, including crucifixion and being burned alive.</w:t>
      </w:r>
    </w:p>
    <w:p w14:paraId="727241D0" w14:textId="77777777" w:rsidR="008953AB" w:rsidRPr="008953AB" w:rsidRDefault="008953AB" w:rsidP="008953AB">
      <w:pPr>
        <w:jc w:val="both"/>
        <w:rPr>
          <w:rFonts w:ascii="Arial" w:hAnsi="Arial" w:cs="Arial"/>
        </w:rPr>
      </w:pPr>
      <w:r w:rsidRPr="008953AB">
        <w:rPr>
          <w:rFonts w:ascii="Arial" w:hAnsi="Arial" w:cs="Arial"/>
        </w:rPr>
        <w:t>Subsequent emperors like Decius (249-251 AD) and Diocletian (284-305 AD) also launched empire-wide persecutions of Christians, perceiving the new faith as a threat to traditional Roman religion and state authority. Yet despite these attempts at suppression, Christianity continued to grow.</w:t>
      </w:r>
    </w:p>
    <w:p w14:paraId="2453AEB1" w14:textId="77777777" w:rsidR="008953AB" w:rsidRPr="008953AB" w:rsidRDefault="008953AB" w:rsidP="008953AB">
      <w:pPr>
        <w:jc w:val="both"/>
        <w:rPr>
          <w:rFonts w:ascii="Arial" w:hAnsi="Arial" w:cs="Arial"/>
        </w:rPr>
      </w:pPr>
      <w:r w:rsidRPr="008953AB">
        <w:rPr>
          <w:rFonts w:ascii="Arial" w:hAnsi="Arial" w:cs="Arial"/>
        </w:rPr>
        <w:t>Estimates of the Christian population in the Roman Empire over time give a sense of this remarkable growth:</w:t>
      </w:r>
    </w:p>
    <w:tbl>
      <w:tblPr>
        <w:tblW w:w="11952" w:type="dxa"/>
        <w:tblCellSpacing w:w="15" w:type="dxa"/>
        <w:tblInd w:w="-1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40"/>
        <w:gridCol w:w="5944"/>
        <w:gridCol w:w="4368"/>
      </w:tblGrid>
      <w:tr w:rsidR="008953AB" w:rsidRPr="008953AB" w14:paraId="59A99E94" w14:textId="77777777" w:rsidTr="00726CAC">
        <w:trPr>
          <w:tblHeader/>
          <w:tblCellSpacing w:w="15" w:type="dxa"/>
        </w:trPr>
        <w:tc>
          <w:tcPr>
            <w:tcW w:w="0" w:type="auto"/>
            <w:shd w:val="clear" w:color="auto" w:fill="FFFFFF"/>
            <w:tcMar>
              <w:top w:w="300" w:type="dxa"/>
              <w:left w:w="300" w:type="dxa"/>
              <w:bottom w:w="150" w:type="dxa"/>
              <w:right w:w="300" w:type="dxa"/>
            </w:tcMar>
            <w:vAlign w:val="center"/>
            <w:hideMark/>
          </w:tcPr>
          <w:p w14:paraId="396185F5" w14:textId="77777777" w:rsidR="008953AB" w:rsidRPr="008953AB" w:rsidRDefault="008953AB" w:rsidP="00726CAC">
            <w:pPr>
              <w:jc w:val="center"/>
              <w:rPr>
                <w:rFonts w:ascii="Arial" w:hAnsi="Arial" w:cs="Arial"/>
                <w:b/>
                <w:bCs/>
              </w:rPr>
            </w:pPr>
            <w:r w:rsidRPr="008953AB">
              <w:rPr>
                <w:rFonts w:ascii="Arial" w:hAnsi="Arial" w:cs="Arial"/>
                <w:b/>
                <w:bCs/>
              </w:rPr>
              <w:lastRenderedPageBreak/>
              <w:t>Year</w:t>
            </w:r>
          </w:p>
        </w:tc>
        <w:tc>
          <w:tcPr>
            <w:tcW w:w="0" w:type="auto"/>
            <w:shd w:val="clear" w:color="auto" w:fill="FFFFFF"/>
            <w:tcMar>
              <w:top w:w="300" w:type="dxa"/>
              <w:left w:w="300" w:type="dxa"/>
              <w:bottom w:w="150" w:type="dxa"/>
              <w:right w:w="300" w:type="dxa"/>
            </w:tcMar>
            <w:vAlign w:val="center"/>
            <w:hideMark/>
          </w:tcPr>
          <w:p w14:paraId="6D5CD0AF" w14:textId="77777777" w:rsidR="008953AB" w:rsidRPr="008953AB" w:rsidRDefault="008953AB" w:rsidP="00726CAC">
            <w:pPr>
              <w:jc w:val="center"/>
              <w:rPr>
                <w:rFonts w:ascii="Arial" w:hAnsi="Arial" w:cs="Arial"/>
                <w:b/>
                <w:bCs/>
              </w:rPr>
            </w:pPr>
            <w:r w:rsidRPr="008953AB">
              <w:rPr>
                <w:rFonts w:ascii="Arial" w:hAnsi="Arial" w:cs="Arial"/>
                <w:b/>
                <w:bCs/>
              </w:rPr>
              <w:t>Estimated Christian Population</w:t>
            </w:r>
          </w:p>
        </w:tc>
        <w:tc>
          <w:tcPr>
            <w:tcW w:w="0" w:type="auto"/>
            <w:shd w:val="clear" w:color="auto" w:fill="FFFFFF"/>
            <w:tcMar>
              <w:top w:w="300" w:type="dxa"/>
              <w:left w:w="300" w:type="dxa"/>
              <w:bottom w:w="150" w:type="dxa"/>
              <w:right w:w="300" w:type="dxa"/>
            </w:tcMar>
            <w:vAlign w:val="center"/>
            <w:hideMark/>
          </w:tcPr>
          <w:p w14:paraId="1CBEAAC2" w14:textId="77777777" w:rsidR="008953AB" w:rsidRPr="008953AB" w:rsidRDefault="008953AB" w:rsidP="00726CAC">
            <w:pPr>
              <w:jc w:val="center"/>
              <w:rPr>
                <w:rFonts w:ascii="Arial" w:hAnsi="Arial" w:cs="Arial"/>
                <w:b/>
                <w:bCs/>
              </w:rPr>
            </w:pPr>
            <w:r w:rsidRPr="008953AB">
              <w:rPr>
                <w:rFonts w:ascii="Arial" w:hAnsi="Arial" w:cs="Arial"/>
                <w:b/>
                <w:bCs/>
              </w:rPr>
              <w:t>% of Total Population</w:t>
            </w:r>
          </w:p>
        </w:tc>
      </w:tr>
      <w:tr w:rsidR="008953AB" w:rsidRPr="008953AB" w14:paraId="33AD8A57" w14:textId="77777777" w:rsidTr="00726CAC">
        <w:trPr>
          <w:tblCellSpacing w:w="15" w:type="dxa"/>
        </w:trPr>
        <w:tc>
          <w:tcPr>
            <w:tcW w:w="0" w:type="auto"/>
            <w:shd w:val="clear" w:color="auto" w:fill="FFFFFF"/>
            <w:tcMar>
              <w:top w:w="300" w:type="dxa"/>
              <w:left w:w="300" w:type="dxa"/>
              <w:bottom w:w="300" w:type="dxa"/>
              <w:right w:w="300" w:type="dxa"/>
            </w:tcMar>
            <w:vAlign w:val="center"/>
            <w:hideMark/>
          </w:tcPr>
          <w:p w14:paraId="5B358641" w14:textId="77777777" w:rsidR="008953AB" w:rsidRPr="008953AB" w:rsidRDefault="008953AB" w:rsidP="00726CAC">
            <w:pPr>
              <w:jc w:val="center"/>
              <w:rPr>
                <w:rFonts w:ascii="Arial" w:hAnsi="Arial" w:cs="Arial"/>
              </w:rPr>
            </w:pPr>
            <w:r w:rsidRPr="008953AB">
              <w:rPr>
                <w:rFonts w:ascii="Arial" w:hAnsi="Arial" w:cs="Arial"/>
              </w:rPr>
              <w:t>100</w:t>
            </w:r>
          </w:p>
        </w:tc>
        <w:tc>
          <w:tcPr>
            <w:tcW w:w="0" w:type="auto"/>
            <w:shd w:val="clear" w:color="auto" w:fill="FFFFFF"/>
            <w:tcMar>
              <w:top w:w="300" w:type="dxa"/>
              <w:left w:w="300" w:type="dxa"/>
              <w:bottom w:w="300" w:type="dxa"/>
              <w:right w:w="300" w:type="dxa"/>
            </w:tcMar>
            <w:vAlign w:val="center"/>
            <w:hideMark/>
          </w:tcPr>
          <w:p w14:paraId="2F6C5A6F" w14:textId="77777777" w:rsidR="008953AB" w:rsidRPr="008953AB" w:rsidRDefault="008953AB" w:rsidP="00726CAC">
            <w:pPr>
              <w:jc w:val="center"/>
              <w:rPr>
                <w:rFonts w:ascii="Arial" w:hAnsi="Arial" w:cs="Arial"/>
              </w:rPr>
            </w:pPr>
            <w:r w:rsidRPr="008953AB">
              <w:rPr>
                <w:rFonts w:ascii="Arial" w:hAnsi="Arial" w:cs="Arial"/>
              </w:rPr>
              <w:t>7,500</w:t>
            </w:r>
          </w:p>
        </w:tc>
        <w:tc>
          <w:tcPr>
            <w:tcW w:w="0" w:type="auto"/>
            <w:shd w:val="clear" w:color="auto" w:fill="FFFFFF"/>
            <w:tcMar>
              <w:top w:w="300" w:type="dxa"/>
              <w:left w:w="300" w:type="dxa"/>
              <w:bottom w:w="300" w:type="dxa"/>
              <w:right w:w="300" w:type="dxa"/>
            </w:tcMar>
            <w:vAlign w:val="center"/>
            <w:hideMark/>
          </w:tcPr>
          <w:p w14:paraId="6AD62099" w14:textId="77777777" w:rsidR="008953AB" w:rsidRPr="008953AB" w:rsidRDefault="008953AB" w:rsidP="00726CAC">
            <w:pPr>
              <w:jc w:val="center"/>
              <w:rPr>
                <w:rFonts w:ascii="Arial" w:hAnsi="Arial" w:cs="Arial"/>
              </w:rPr>
            </w:pPr>
            <w:r w:rsidRPr="008953AB">
              <w:rPr>
                <w:rFonts w:ascii="Arial" w:hAnsi="Arial" w:cs="Arial"/>
              </w:rPr>
              <w:t>0.01%</w:t>
            </w:r>
          </w:p>
        </w:tc>
      </w:tr>
      <w:tr w:rsidR="008953AB" w:rsidRPr="008953AB" w14:paraId="6D168C19" w14:textId="77777777" w:rsidTr="00726CAC">
        <w:trPr>
          <w:tblCellSpacing w:w="15" w:type="dxa"/>
        </w:trPr>
        <w:tc>
          <w:tcPr>
            <w:tcW w:w="0" w:type="auto"/>
            <w:shd w:val="clear" w:color="auto" w:fill="FFFFFF"/>
            <w:tcMar>
              <w:top w:w="300" w:type="dxa"/>
              <w:left w:w="300" w:type="dxa"/>
              <w:bottom w:w="300" w:type="dxa"/>
              <w:right w:w="300" w:type="dxa"/>
            </w:tcMar>
            <w:vAlign w:val="center"/>
            <w:hideMark/>
          </w:tcPr>
          <w:p w14:paraId="23A0EFB8" w14:textId="77777777" w:rsidR="008953AB" w:rsidRPr="008953AB" w:rsidRDefault="008953AB" w:rsidP="00726CAC">
            <w:pPr>
              <w:jc w:val="center"/>
              <w:rPr>
                <w:rFonts w:ascii="Arial" w:hAnsi="Arial" w:cs="Arial"/>
              </w:rPr>
            </w:pPr>
            <w:r w:rsidRPr="008953AB">
              <w:rPr>
                <w:rFonts w:ascii="Arial" w:hAnsi="Arial" w:cs="Arial"/>
              </w:rPr>
              <w:t>150</w:t>
            </w:r>
          </w:p>
        </w:tc>
        <w:tc>
          <w:tcPr>
            <w:tcW w:w="0" w:type="auto"/>
            <w:shd w:val="clear" w:color="auto" w:fill="FFFFFF"/>
            <w:tcMar>
              <w:top w:w="300" w:type="dxa"/>
              <w:left w:w="300" w:type="dxa"/>
              <w:bottom w:w="300" w:type="dxa"/>
              <w:right w:w="300" w:type="dxa"/>
            </w:tcMar>
            <w:vAlign w:val="center"/>
            <w:hideMark/>
          </w:tcPr>
          <w:p w14:paraId="70191D96" w14:textId="77777777" w:rsidR="008953AB" w:rsidRPr="008953AB" w:rsidRDefault="008953AB" w:rsidP="00726CAC">
            <w:pPr>
              <w:jc w:val="center"/>
              <w:rPr>
                <w:rFonts w:ascii="Arial" w:hAnsi="Arial" w:cs="Arial"/>
              </w:rPr>
            </w:pPr>
            <w:r w:rsidRPr="008953AB">
              <w:rPr>
                <w:rFonts w:ascii="Arial" w:hAnsi="Arial" w:cs="Arial"/>
              </w:rPr>
              <w:t>40,000</w:t>
            </w:r>
          </w:p>
        </w:tc>
        <w:tc>
          <w:tcPr>
            <w:tcW w:w="0" w:type="auto"/>
            <w:shd w:val="clear" w:color="auto" w:fill="FFFFFF"/>
            <w:tcMar>
              <w:top w:w="300" w:type="dxa"/>
              <w:left w:w="300" w:type="dxa"/>
              <w:bottom w:w="300" w:type="dxa"/>
              <w:right w:w="300" w:type="dxa"/>
            </w:tcMar>
            <w:vAlign w:val="center"/>
            <w:hideMark/>
          </w:tcPr>
          <w:p w14:paraId="0E910918" w14:textId="77777777" w:rsidR="008953AB" w:rsidRPr="008953AB" w:rsidRDefault="008953AB" w:rsidP="00726CAC">
            <w:pPr>
              <w:jc w:val="center"/>
              <w:rPr>
                <w:rFonts w:ascii="Arial" w:hAnsi="Arial" w:cs="Arial"/>
              </w:rPr>
            </w:pPr>
            <w:r w:rsidRPr="008953AB">
              <w:rPr>
                <w:rFonts w:ascii="Arial" w:hAnsi="Arial" w:cs="Arial"/>
              </w:rPr>
              <w:t>0.07%</w:t>
            </w:r>
          </w:p>
        </w:tc>
      </w:tr>
      <w:tr w:rsidR="008953AB" w:rsidRPr="008953AB" w14:paraId="4D3F9535" w14:textId="77777777" w:rsidTr="00726CAC">
        <w:trPr>
          <w:tblCellSpacing w:w="15" w:type="dxa"/>
        </w:trPr>
        <w:tc>
          <w:tcPr>
            <w:tcW w:w="0" w:type="auto"/>
            <w:shd w:val="clear" w:color="auto" w:fill="FFFFFF"/>
            <w:tcMar>
              <w:top w:w="300" w:type="dxa"/>
              <w:left w:w="300" w:type="dxa"/>
              <w:bottom w:w="300" w:type="dxa"/>
              <w:right w:w="300" w:type="dxa"/>
            </w:tcMar>
            <w:vAlign w:val="center"/>
            <w:hideMark/>
          </w:tcPr>
          <w:p w14:paraId="150985A2" w14:textId="77777777" w:rsidR="008953AB" w:rsidRPr="008953AB" w:rsidRDefault="008953AB" w:rsidP="00726CAC">
            <w:pPr>
              <w:jc w:val="center"/>
              <w:rPr>
                <w:rFonts w:ascii="Arial" w:hAnsi="Arial" w:cs="Arial"/>
              </w:rPr>
            </w:pPr>
            <w:r w:rsidRPr="008953AB">
              <w:rPr>
                <w:rFonts w:ascii="Arial" w:hAnsi="Arial" w:cs="Arial"/>
              </w:rPr>
              <w:t>200</w:t>
            </w:r>
          </w:p>
        </w:tc>
        <w:tc>
          <w:tcPr>
            <w:tcW w:w="0" w:type="auto"/>
            <w:shd w:val="clear" w:color="auto" w:fill="FFFFFF"/>
            <w:tcMar>
              <w:top w:w="300" w:type="dxa"/>
              <w:left w:w="300" w:type="dxa"/>
              <w:bottom w:w="300" w:type="dxa"/>
              <w:right w:w="300" w:type="dxa"/>
            </w:tcMar>
            <w:vAlign w:val="center"/>
            <w:hideMark/>
          </w:tcPr>
          <w:p w14:paraId="295856B8" w14:textId="77777777" w:rsidR="008953AB" w:rsidRPr="008953AB" w:rsidRDefault="008953AB" w:rsidP="00726CAC">
            <w:pPr>
              <w:jc w:val="center"/>
              <w:rPr>
                <w:rFonts w:ascii="Arial" w:hAnsi="Arial" w:cs="Arial"/>
              </w:rPr>
            </w:pPr>
            <w:r w:rsidRPr="008953AB">
              <w:rPr>
                <w:rFonts w:ascii="Arial" w:hAnsi="Arial" w:cs="Arial"/>
              </w:rPr>
              <w:t>220,000</w:t>
            </w:r>
          </w:p>
        </w:tc>
        <w:tc>
          <w:tcPr>
            <w:tcW w:w="0" w:type="auto"/>
            <w:shd w:val="clear" w:color="auto" w:fill="FFFFFF"/>
            <w:tcMar>
              <w:top w:w="300" w:type="dxa"/>
              <w:left w:w="300" w:type="dxa"/>
              <w:bottom w:w="300" w:type="dxa"/>
              <w:right w:w="300" w:type="dxa"/>
            </w:tcMar>
            <w:vAlign w:val="center"/>
            <w:hideMark/>
          </w:tcPr>
          <w:p w14:paraId="3D039388" w14:textId="77777777" w:rsidR="008953AB" w:rsidRPr="008953AB" w:rsidRDefault="008953AB" w:rsidP="00726CAC">
            <w:pPr>
              <w:jc w:val="center"/>
              <w:rPr>
                <w:rFonts w:ascii="Arial" w:hAnsi="Arial" w:cs="Arial"/>
              </w:rPr>
            </w:pPr>
            <w:r w:rsidRPr="008953AB">
              <w:rPr>
                <w:rFonts w:ascii="Arial" w:hAnsi="Arial" w:cs="Arial"/>
              </w:rPr>
              <w:t>0.36%</w:t>
            </w:r>
          </w:p>
        </w:tc>
      </w:tr>
      <w:tr w:rsidR="008953AB" w:rsidRPr="008953AB" w14:paraId="199CBAEE" w14:textId="77777777" w:rsidTr="00726CAC">
        <w:trPr>
          <w:tblCellSpacing w:w="15" w:type="dxa"/>
        </w:trPr>
        <w:tc>
          <w:tcPr>
            <w:tcW w:w="0" w:type="auto"/>
            <w:shd w:val="clear" w:color="auto" w:fill="FFFFFF"/>
            <w:tcMar>
              <w:top w:w="300" w:type="dxa"/>
              <w:left w:w="300" w:type="dxa"/>
              <w:bottom w:w="300" w:type="dxa"/>
              <w:right w:w="300" w:type="dxa"/>
            </w:tcMar>
            <w:vAlign w:val="center"/>
            <w:hideMark/>
          </w:tcPr>
          <w:p w14:paraId="1B4BF310" w14:textId="77777777" w:rsidR="008953AB" w:rsidRPr="008953AB" w:rsidRDefault="008953AB" w:rsidP="00726CAC">
            <w:pPr>
              <w:jc w:val="center"/>
              <w:rPr>
                <w:rFonts w:ascii="Arial" w:hAnsi="Arial" w:cs="Arial"/>
              </w:rPr>
            </w:pPr>
            <w:r w:rsidRPr="008953AB">
              <w:rPr>
                <w:rFonts w:ascii="Arial" w:hAnsi="Arial" w:cs="Arial"/>
              </w:rPr>
              <w:t>250</w:t>
            </w:r>
          </w:p>
        </w:tc>
        <w:tc>
          <w:tcPr>
            <w:tcW w:w="0" w:type="auto"/>
            <w:shd w:val="clear" w:color="auto" w:fill="FFFFFF"/>
            <w:tcMar>
              <w:top w:w="300" w:type="dxa"/>
              <w:left w:w="300" w:type="dxa"/>
              <w:bottom w:w="300" w:type="dxa"/>
              <w:right w:w="300" w:type="dxa"/>
            </w:tcMar>
            <w:vAlign w:val="center"/>
            <w:hideMark/>
          </w:tcPr>
          <w:p w14:paraId="4BB87A5D" w14:textId="77777777" w:rsidR="008953AB" w:rsidRPr="008953AB" w:rsidRDefault="008953AB" w:rsidP="00726CAC">
            <w:pPr>
              <w:jc w:val="center"/>
              <w:rPr>
                <w:rFonts w:ascii="Arial" w:hAnsi="Arial" w:cs="Arial"/>
              </w:rPr>
            </w:pPr>
            <w:r w:rsidRPr="008953AB">
              <w:rPr>
                <w:rFonts w:ascii="Arial" w:hAnsi="Arial" w:cs="Arial"/>
              </w:rPr>
              <w:t>1,200,000</w:t>
            </w:r>
          </w:p>
        </w:tc>
        <w:tc>
          <w:tcPr>
            <w:tcW w:w="0" w:type="auto"/>
            <w:shd w:val="clear" w:color="auto" w:fill="FFFFFF"/>
            <w:tcMar>
              <w:top w:w="300" w:type="dxa"/>
              <w:left w:w="300" w:type="dxa"/>
              <w:bottom w:w="300" w:type="dxa"/>
              <w:right w:w="300" w:type="dxa"/>
            </w:tcMar>
            <w:vAlign w:val="center"/>
            <w:hideMark/>
          </w:tcPr>
          <w:p w14:paraId="7F3B1B8C" w14:textId="77777777" w:rsidR="008953AB" w:rsidRPr="008953AB" w:rsidRDefault="008953AB" w:rsidP="00726CAC">
            <w:pPr>
              <w:jc w:val="center"/>
              <w:rPr>
                <w:rFonts w:ascii="Arial" w:hAnsi="Arial" w:cs="Arial"/>
              </w:rPr>
            </w:pPr>
            <w:r w:rsidRPr="008953AB">
              <w:rPr>
                <w:rFonts w:ascii="Arial" w:hAnsi="Arial" w:cs="Arial"/>
              </w:rPr>
              <w:t>1.9%</w:t>
            </w:r>
          </w:p>
        </w:tc>
      </w:tr>
      <w:tr w:rsidR="008953AB" w:rsidRPr="008953AB" w14:paraId="3104156D" w14:textId="77777777" w:rsidTr="00726CAC">
        <w:trPr>
          <w:tblCellSpacing w:w="15" w:type="dxa"/>
        </w:trPr>
        <w:tc>
          <w:tcPr>
            <w:tcW w:w="0" w:type="auto"/>
            <w:shd w:val="clear" w:color="auto" w:fill="FFFFFF"/>
            <w:tcMar>
              <w:top w:w="300" w:type="dxa"/>
              <w:left w:w="300" w:type="dxa"/>
              <w:bottom w:w="300" w:type="dxa"/>
              <w:right w:w="300" w:type="dxa"/>
            </w:tcMar>
            <w:vAlign w:val="center"/>
            <w:hideMark/>
          </w:tcPr>
          <w:p w14:paraId="2CBBF3AF" w14:textId="77777777" w:rsidR="008953AB" w:rsidRPr="008953AB" w:rsidRDefault="008953AB" w:rsidP="00726CAC">
            <w:pPr>
              <w:jc w:val="center"/>
              <w:rPr>
                <w:rFonts w:ascii="Arial" w:hAnsi="Arial" w:cs="Arial"/>
              </w:rPr>
            </w:pPr>
            <w:r w:rsidRPr="008953AB">
              <w:rPr>
                <w:rFonts w:ascii="Arial" w:hAnsi="Arial" w:cs="Arial"/>
              </w:rPr>
              <w:t>300</w:t>
            </w:r>
          </w:p>
        </w:tc>
        <w:tc>
          <w:tcPr>
            <w:tcW w:w="0" w:type="auto"/>
            <w:shd w:val="clear" w:color="auto" w:fill="FFFFFF"/>
            <w:tcMar>
              <w:top w:w="300" w:type="dxa"/>
              <w:left w:w="300" w:type="dxa"/>
              <w:bottom w:w="300" w:type="dxa"/>
              <w:right w:w="300" w:type="dxa"/>
            </w:tcMar>
            <w:vAlign w:val="center"/>
            <w:hideMark/>
          </w:tcPr>
          <w:p w14:paraId="41805565" w14:textId="77777777" w:rsidR="008953AB" w:rsidRPr="008953AB" w:rsidRDefault="008953AB" w:rsidP="00726CAC">
            <w:pPr>
              <w:jc w:val="center"/>
              <w:rPr>
                <w:rFonts w:ascii="Arial" w:hAnsi="Arial" w:cs="Arial"/>
              </w:rPr>
            </w:pPr>
            <w:r w:rsidRPr="008953AB">
              <w:rPr>
                <w:rFonts w:ascii="Arial" w:hAnsi="Arial" w:cs="Arial"/>
              </w:rPr>
              <w:t>6,300,000</w:t>
            </w:r>
          </w:p>
        </w:tc>
        <w:tc>
          <w:tcPr>
            <w:tcW w:w="0" w:type="auto"/>
            <w:shd w:val="clear" w:color="auto" w:fill="FFFFFF"/>
            <w:tcMar>
              <w:top w:w="300" w:type="dxa"/>
              <w:left w:w="300" w:type="dxa"/>
              <w:bottom w:w="300" w:type="dxa"/>
              <w:right w:w="300" w:type="dxa"/>
            </w:tcMar>
            <w:vAlign w:val="center"/>
            <w:hideMark/>
          </w:tcPr>
          <w:p w14:paraId="7358CED7" w14:textId="77777777" w:rsidR="008953AB" w:rsidRPr="008953AB" w:rsidRDefault="008953AB" w:rsidP="00726CAC">
            <w:pPr>
              <w:jc w:val="center"/>
              <w:rPr>
                <w:rFonts w:ascii="Arial" w:hAnsi="Arial" w:cs="Arial"/>
              </w:rPr>
            </w:pPr>
            <w:r w:rsidRPr="008953AB">
              <w:rPr>
                <w:rFonts w:ascii="Arial" w:hAnsi="Arial" w:cs="Arial"/>
              </w:rPr>
              <w:t>10.5%</w:t>
            </w:r>
          </w:p>
        </w:tc>
      </w:tr>
      <w:tr w:rsidR="008953AB" w:rsidRPr="008953AB" w14:paraId="1C0E52BB" w14:textId="77777777" w:rsidTr="00726CAC">
        <w:trPr>
          <w:tblCellSpacing w:w="15" w:type="dxa"/>
        </w:trPr>
        <w:tc>
          <w:tcPr>
            <w:tcW w:w="0" w:type="auto"/>
            <w:shd w:val="clear" w:color="auto" w:fill="FFFFFF"/>
            <w:tcMar>
              <w:top w:w="300" w:type="dxa"/>
              <w:left w:w="300" w:type="dxa"/>
              <w:bottom w:w="300" w:type="dxa"/>
              <w:right w:w="300" w:type="dxa"/>
            </w:tcMar>
            <w:vAlign w:val="center"/>
            <w:hideMark/>
          </w:tcPr>
          <w:p w14:paraId="04B6D23D" w14:textId="77777777" w:rsidR="008953AB" w:rsidRPr="008953AB" w:rsidRDefault="008953AB" w:rsidP="00726CAC">
            <w:pPr>
              <w:jc w:val="center"/>
              <w:rPr>
                <w:rFonts w:ascii="Arial" w:hAnsi="Arial" w:cs="Arial"/>
              </w:rPr>
            </w:pPr>
            <w:r w:rsidRPr="008953AB">
              <w:rPr>
                <w:rFonts w:ascii="Arial" w:hAnsi="Arial" w:cs="Arial"/>
              </w:rPr>
              <w:t>350</w:t>
            </w:r>
          </w:p>
        </w:tc>
        <w:tc>
          <w:tcPr>
            <w:tcW w:w="0" w:type="auto"/>
            <w:shd w:val="clear" w:color="auto" w:fill="FFFFFF"/>
            <w:tcMar>
              <w:top w:w="300" w:type="dxa"/>
              <w:left w:w="300" w:type="dxa"/>
              <w:bottom w:w="300" w:type="dxa"/>
              <w:right w:w="300" w:type="dxa"/>
            </w:tcMar>
            <w:vAlign w:val="center"/>
            <w:hideMark/>
          </w:tcPr>
          <w:p w14:paraId="74AC2741" w14:textId="77777777" w:rsidR="008953AB" w:rsidRPr="008953AB" w:rsidRDefault="008953AB" w:rsidP="00726CAC">
            <w:pPr>
              <w:jc w:val="center"/>
              <w:rPr>
                <w:rFonts w:ascii="Arial" w:hAnsi="Arial" w:cs="Arial"/>
              </w:rPr>
            </w:pPr>
            <w:r w:rsidRPr="008953AB">
              <w:rPr>
                <w:rFonts w:ascii="Arial" w:hAnsi="Arial" w:cs="Arial"/>
              </w:rPr>
              <w:t>34,000,000</w:t>
            </w:r>
          </w:p>
        </w:tc>
        <w:tc>
          <w:tcPr>
            <w:tcW w:w="0" w:type="auto"/>
            <w:shd w:val="clear" w:color="auto" w:fill="FFFFFF"/>
            <w:tcMar>
              <w:top w:w="300" w:type="dxa"/>
              <w:left w:w="300" w:type="dxa"/>
              <w:bottom w:w="300" w:type="dxa"/>
              <w:right w:w="300" w:type="dxa"/>
            </w:tcMar>
            <w:vAlign w:val="center"/>
            <w:hideMark/>
          </w:tcPr>
          <w:p w14:paraId="0B6AD231" w14:textId="77777777" w:rsidR="008953AB" w:rsidRPr="008953AB" w:rsidRDefault="008953AB" w:rsidP="00726CAC">
            <w:pPr>
              <w:jc w:val="center"/>
              <w:rPr>
                <w:rFonts w:ascii="Arial" w:hAnsi="Arial" w:cs="Arial"/>
              </w:rPr>
            </w:pPr>
            <w:r w:rsidRPr="008953AB">
              <w:rPr>
                <w:rFonts w:ascii="Arial" w:hAnsi="Arial" w:cs="Arial"/>
              </w:rPr>
              <w:t>56.5%</w:t>
            </w:r>
          </w:p>
        </w:tc>
      </w:tr>
    </w:tbl>
    <w:p w14:paraId="6F74FF97" w14:textId="77777777" w:rsidR="00BD6DB6" w:rsidRDefault="00BD6DB6" w:rsidP="008953AB">
      <w:pPr>
        <w:jc w:val="both"/>
        <w:rPr>
          <w:rFonts w:ascii="Arial" w:hAnsi="Arial" w:cs="Arial"/>
          <w:i/>
          <w:iCs/>
        </w:rPr>
      </w:pPr>
    </w:p>
    <w:p w14:paraId="6C889ADC" w14:textId="328690FD" w:rsidR="008953AB" w:rsidRPr="008953AB" w:rsidRDefault="008953AB" w:rsidP="008953AB">
      <w:pPr>
        <w:jc w:val="both"/>
        <w:rPr>
          <w:rFonts w:ascii="Arial" w:hAnsi="Arial" w:cs="Arial"/>
        </w:rPr>
      </w:pPr>
      <w:r w:rsidRPr="008953AB">
        <w:rPr>
          <w:rFonts w:ascii="Arial" w:hAnsi="Arial" w:cs="Arial"/>
          <w:i/>
          <w:iCs/>
        </w:rPr>
        <w:t>Data from Rodney Stark, "The Rise of Christianity: A Sociologist Reconsiders History" (1996)</w:t>
      </w:r>
    </w:p>
    <w:p w14:paraId="4FA9DC56" w14:textId="77777777" w:rsidR="008953AB" w:rsidRPr="008953AB" w:rsidRDefault="008953AB" w:rsidP="008953AB">
      <w:pPr>
        <w:jc w:val="both"/>
        <w:rPr>
          <w:rFonts w:ascii="Arial" w:hAnsi="Arial" w:cs="Arial"/>
        </w:rPr>
      </w:pPr>
      <w:r w:rsidRPr="008953AB">
        <w:rPr>
          <w:rFonts w:ascii="Arial" w:hAnsi="Arial" w:cs="Arial"/>
        </w:rPr>
        <w:t>As this data illustrates, Christianity experienced exponential growth in the Roman Empire, from a tiny minority in the 2nd century to a majority by the mid-4th century. Even during the most severe persecutions under Decius and Diocletian, the Christian community continued to expand.</w:t>
      </w:r>
    </w:p>
    <w:p w14:paraId="4276B72B" w14:textId="77777777" w:rsidR="008953AB" w:rsidRPr="008953AB" w:rsidRDefault="008953AB" w:rsidP="008953AB">
      <w:pPr>
        <w:jc w:val="both"/>
        <w:rPr>
          <w:rFonts w:ascii="Arial" w:hAnsi="Arial" w:cs="Arial"/>
          <w:b/>
          <w:bCs/>
        </w:rPr>
      </w:pPr>
      <w:r w:rsidRPr="008953AB">
        <w:rPr>
          <w:rFonts w:ascii="Arial" w:hAnsi="Arial" w:cs="Arial"/>
          <w:b/>
          <w:bCs/>
        </w:rPr>
        <w:t>The Appeal of Christianity in Roman Society</w:t>
      </w:r>
    </w:p>
    <w:p w14:paraId="5F5DC3FC" w14:textId="3A41D09E" w:rsidR="008953AB" w:rsidRPr="008953AB" w:rsidRDefault="008953AB" w:rsidP="008953AB">
      <w:pPr>
        <w:jc w:val="both"/>
        <w:rPr>
          <w:rFonts w:ascii="Arial" w:hAnsi="Arial" w:cs="Arial"/>
        </w:rPr>
      </w:pPr>
      <w:r w:rsidRPr="008953AB">
        <w:rPr>
          <w:rFonts w:ascii="Arial" w:hAnsi="Arial" w:cs="Arial"/>
        </w:rPr>
        <w:t>What accounts for Christianity ‘s ability to thrive in the face of persecution? Part of the answer lies in its appeal to different segments of Roman society. The Christian message of eternal salvation, charity, and egalitarianism held broad appeal, particularly among the lower classes.</w:t>
      </w:r>
    </w:p>
    <w:p w14:paraId="2B3492CF" w14:textId="6BCEDEFB" w:rsidR="008953AB" w:rsidRPr="008953AB" w:rsidRDefault="008953AB" w:rsidP="008953AB">
      <w:pPr>
        <w:jc w:val="both"/>
        <w:rPr>
          <w:rFonts w:ascii="Arial" w:hAnsi="Arial" w:cs="Arial"/>
        </w:rPr>
      </w:pPr>
      <w:r w:rsidRPr="008953AB">
        <w:rPr>
          <w:rFonts w:ascii="Arial" w:hAnsi="Arial" w:cs="Arial"/>
        </w:rPr>
        <w:lastRenderedPageBreak/>
        <w:t xml:space="preserve">Christianity offered a personal, emotional connection to the divine that was lacking in the state-sponsored cults of ancient Roman religion. Christian teachings provided hope and meaning to the poor, dispossessed, and powerless. The </w:t>
      </w:r>
      <w:r w:rsidR="00D55FB0" w:rsidRPr="008953AB">
        <w:rPr>
          <w:rFonts w:ascii="Arial" w:hAnsi="Arial" w:cs="Arial"/>
        </w:rPr>
        <w:t>faith ‘</w:t>
      </w:r>
      <w:r w:rsidRPr="008953AB">
        <w:rPr>
          <w:rFonts w:ascii="Arial" w:hAnsi="Arial" w:cs="Arial"/>
        </w:rPr>
        <w:t>s emphasis on charity also won it support, as Christians became known for aiding the sick, orphans, and widows.</w:t>
      </w:r>
    </w:p>
    <w:p w14:paraId="1AF0D722" w14:textId="77777777" w:rsidR="008953AB" w:rsidRPr="008953AB" w:rsidRDefault="008953AB" w:rsidP="008953AB">
      <w:pPr>
        <w:jc w:val="both"/>
        <w:rPr>
          <w:rFonts w:ascii="Arial" w:hAnsi="Arial" w:cs="Arial"/>
        </w:rPr>
      </w:pPr>
      <w:r w:rsidRPr="008953AB">
        <w:rPr>
          <w:rFonts w:ascii="Arial" w:hAnsi="Arial" w:cs="Arial"/>
        </w:rPr>
        <w:t>Women in particular were drawn to Christianity, as it accorded them greater respect and dignity than pagan Roman society. Many women played prominent roles in the early church as benefactors, martyrs, and even teachers.</w:t>
      </w:r>
    </w:p>
    <w:p w14:paraId="2479F537" w14:textId="77777777" w:rsidR="008953AB" w:rsidRPr="008953AB" w:rsidRDefault="008953AB" w:rsidP="008953AB">
      <w:pPr>
        <w:jc w:val="both"/>
        <w:rPr>
          <w:rFonts w:ascii="Arial" w:hAnsi="Arial" w:cs="Arial"/>
        </w:rPr>
      </w:pPr>
      <w:r w:rsidRPr="008953AB">
        <w:rPr>
          <w:rFonts w:ascii="Arial" w:hAnsi="Arial" w:cs="Arial"/>
        </w:rPr>
        <w:t>At the same time, Christianity also won converts among the middle and upper classes. Some scholars and intellectuals were drawn to Christian theology and philosophy, finding in it a sophisticated monotheistic alternative to the Greco-Roman pantheon.</w:t>
      </w:r>
    </w:p>
    <w:p w14:paraId="75C10BDB" w14:textId="77777777" w:rsidR="008953AB" w:rsidRDefault="008953AB" w:rsidP="008953AB">
      <w:pPr>
        <w:jc w:val="both"/>
        <w:rPr>
          <w:rFonts w:ascii="Arial" w:hAnsi="Arial" w:cs="Arial"/>
        </w:rPr>
      </w:pPr>
      <w:r w:rsidRPr="008953AB">
        <w:rPr>
          <w:rFonts w:ascii="Arial" w:hAnsi="Arial" w:cs="Arial"/>
        </w:rPr>
        <w:t>The egalitarian aspect of Christianity held appeal for some in the aristocracy as well, as a way to display humility and shed the trappings of earthly status. As the faith spread, Christian communities could be found in all levels of Roman society, from slaves to senators.</w:t>
      </w:r>
    </w:p>
    <w:p w14:paraId="784ED3D4" w14:textId="77777777" w:rsidR="004469D4" w:rsidRPr="004469D4" w:rsidRDefault="004469D4" w:rsidP="004469D4">
      <w:pPr>
        <w:jc w:val="both"/>
        <w:rPr>
          <w:rFonts w:ascii="Arial" w:hAnsi="Arial" w:cs="Arial"/>
          <w:b/>
          <w:bCs/>
        </w:rPr>
      </w:pPr>
      <w:r w:rsidRPr="004469D4">
        <w:rPr>
          <w:rFonts w:ascii="Arial" w:hAnsi="Arial" w:cs="Arial"/>
          <w:b/>
          <w:bCs/>
        </w:rPr>
        <w:t>The Conversion of Constantine and Imperial Support</w:t>
      </w:r>
    </w:p>
    <w:p w14:paraId="03215718" w14:textId="49C83A16" w:rsidR="004469D4" w:rsidRPr="004469D4" w:rsidRDefault="004469D4" w:rsidP="004469D4">
      <w:pPr>
        <w:jc w:val="both"/>
        <w:rPr>
          <w:rFonts w:ascii="Arial" w:hAnsi="Arial" w:cs="Arial"/>
        </w:rPr>
      </w:pPr>
      <w:r w:rsidRPr="004469D4">
        <w:rPr>
          <w:rFonts w:ascii="Arial" w:hAnsi="Arial" w:cs="Arial"/>
        </w:rPr>
        <w:t xml:space="preserve">A decisive turning point in </w:t>
      </w:r>
      <w:r w:rsidR="00AE1859" w:rsidRPr="004469D4">
        <w:rPr>
          <w:rFonts w:ascii="Arial" w:hAnsi="Arial" w:cs="Arial"/>
        </w:rPr>
        <w:t>Christianity ‘</w:t>
      </w:r>
      <w:r w:rsidRPr="004469D4">
        <w:rPr>
          <w:rFonts w:ascii="Arial" w:hAnsi="Arial" w:cs="Arial"/>
        </w:rPr>
        <w:t xml:space="preserve">s fortunes came with the conversion of Emperor Constantine I in the early 4th century. Although the details of </w:t>
      </w:r>
      <w:r w:rsidR="00AE1859" w:rsidRPr="004469D4">
        <w:rPr>
          <w:rFonts w:ascii="Arial" w:hAnsi="Arial" w:cs="Arial"/>
        </w:rPr>
        <w:t>Constantine ‘</w:t>
      </w:r>
      <w:r w:rsidRPr="004469D4">
        <w:rPr>
          <w:rFonts w:ascii="Arial" w:hAnsi="Arial" w:cs="Arial"/>
        </w:rPr>
        <w:t>s conversion are debated, he became the first Roman emperor to embrace Christianity and began actively supporting the church.</w:t>
      </w:r>
    </w:p>
    <w:p w14:paraId="3116D690" w14:textId="77777777" w:rsidR="004469D4" w:rsidRPr="004469D4" w:rsidRDefault="004469D4" w:rsidP="004469D4">
      <w:pPr>
        <w:jc w:val="both"/>
        <w:rPr>
          <w:rFonts w:ascii="Arial" w:hAnsi="Arial" w:cs="Arial"/>
        </w:rPr>
      </w:pPr>
      <w:r w:rsidRPr="004469D4">
        <w:rPr>
          <w:rFonts w:ascii="Arial" w:hAnsi="Arial" w:cs="Arial"/>
        </w:rPr>
        <w:t>In 313 AD, Constantine issued the Edict of Milan jointly with his co-emperor Licinius, officially ending the persecution of Christians and ensuring religious tolerance throughout the empire. Constantine went on to fund church-building projects, grant tax exemptions and other privileges to Christian clergy, and even convened major church councils like the First Council of Nicaea in 325 to resolve theological disputes.</w:t>
      </w:r>
    </w:p>
    <w:p w14:paraId="5432178C" w14:textId="04ED1185" w:rsidR="004469D4" w:rsidRPr="004469D4" w:rsidRDefault="004469D4" w:rsidP="004469D4">
      <w:pPr>
        <w:jc w:val="both"/>
        <w:rPr>
          <w:rFonts w:ascii="Arial" w:hAnsi="Arial" w:cs="Arial"/>
        </w:rPr>
      </w:pPr>
      <w:r w:rsidRPr="004469D4">
        <w:rPr>
          <w:rFonts w:ascii="Arial" w:hAnsi="Arial" w:cs="Arial"/>
        </w:rPr>
        <w:t xml:space="preserve">Some scholars question the sincerity and extent of </w:t>
      </w:r>
      <w:r w:rsidR="00AE1859" w:rsidRPr="004469D4">
        <w:rPr>
          <w:rFonts w:ascii="Arial" w:hAnsi="Arial" w:cs="Arial"/>
        </w:rPr>
        <w:t>Constantine ‘</w:t>
      </w:r>
      <w:r w:rsidRPr="004469D4">
        <w:rPr>
          <w:rFonts w:ascii="Arial" w:hAnsi="Arial" w:cs="Arial"/>
        </w:rPr>
        <w:t xml:space="preserve">s conversion, noting that he continued to use pagan imagery and titles even after his supposed vision of the cross before the Battle of the Milvian Bridge. Yet there is no doubt that </w:t>
      </w:r>
      <w:r w:rsidR="00AE1859" w:rsidRPr="004469D4">
        <w:rPr>
          <w:rFonts w:ascii="Arial" w:hAnsi="Arial" w:cs="Arial"/>
        </w:rPr>
        <w:t>Constantine ‘</w:t>
      </w:r>
      <w:r w:rsidRPr="004469D4">
        <w:rPr>
          <w:rFonts w:ascii="Arial" w:hAnsi="Arial" w:cs="Arial"/>
        </w:rPr>
        <w:t>s policies marked a major shift in imperial attitudes towards Christianity and paved the way for its later dominance.</w:t>
      </w:r>
    </w:p>
    <w:p w14:paraId="20BE4069" w14:textId="77777777" w:rsidR="004469D4" w:rsidRPr="004469D4" w:rsidRDefault="004469D4" w:rsidP="004469D4">
      <w:pPr>
        <w:jc w:val="both"/>
        <w:rPr>
          <w:rFonts w:ascii="Arial" w:hAnsi="Arial" w:cs="Arial"/>
          <w:b/>
          <w:bCs/>
        </w:rPr>
      </w:pPr>
      <w:r w:rsidRPr="004469D4">
        <w:rPr>
          <w:rFonts w:ascii="Arial" w:hAnsi="Arial" w:cs="Arial"/>
          <w:b/>
          <w:bCs/>
        </w:rPr>
        <w:t>Theodosius I and the Christianization of the Empire</w:t>
      </w:r>
    </w:p>
    <w:p w14:paraId="3DB9BADC" w14:textId="77777777" w:rsidR="004469D4" w:rsidRPr="004469D4" w:rsidRDefault="004469D4" w:rsidP="004469D4">
      <w:pPr>
        <w:jc w:val="both"/>
        <w:rPr>
          <w:rFonts w:ascii="Arial" w:hAnsi="Arial" w:cs="Arial"/>
        </w:rPr>
      </w:pPr>
      <w:r w:rsidRPr="004469D4">
        <w:rPr>
          <w:rFonts w:ascii="Arial" w:hAnsi="Arial" w:cs="Arial"/>
        </w:rPr>
        <w:t>The final triumph of Christianity came under Emperor Theodosius I (379-395 AD), who made Christianity the official state religion of the Roman Empire. In 380 AD, Theodosius issued the Edict of Thessalonica, declaring that all subjects of the empire should profess the faith of the Catholic Church.</w:t>
      </w:r>
    </w:p>
    <w:p w14:paraId="1942650A" w14:textId="77777777" w:rsidR="004469D4" w:rsidRPr="004469D4" w:rsidRDefault="004469D4" w:rsidP="004469D4">
      <w:pPr>
        <w:jc w:val="both"/>
        <w:rPr>
          <w:rFonts w:ascii="Arial" w:hAnsi="Arial" w:cs="Arial"/>
        </w:rPr>
      </w:pPr>
      <w:r w:rsidRPr="004469D4">
        <w:rPr>
          <w:rFonts w:ascii="Arial" w:hAnsi="Arial" w:cs="Arial"/>
        </w:rPr>
        <w:lastRenderedPageBreak/>
        <w:t>Theodosius went on to enact laws suppressing pagan worship and closing temples, effectively ending state support for traditional Greco-Roman religion. He also convened the First Council of Constantinople in 381 to further solidify Christian doctrine.</w:t>
      </w:r>
    </w:p>
    <w:p w14:paraId="232ADF51" w14:textId="77777777" w:rsidR="004469D4" w:rsidRPr="004469D4" w:rsidRDefault="004469D4" w:rsidP="004469D4">
      <w:pPr>
        <w:jc w:val="both"/>
        <w:rPr>
          <w:rFonts w:ascii="Arial" w:hAnsi="Arial" w:cs="Arial"/>
        </w:rPr>
      </w:pPr>
      <w:r w:rsidRPr="004469D4">
        <w:rPr>
          <w:rFonts w:ascii="Arial" w:hAnsi="Arial" w:cs="Arial"/>
        </w:rPr>
        <w:t>By the end of the 4th century, Christianity had become the dominant faith of the Roman Empire, with the majority of the population professing the creed. The old pagan cults went into rapid decline, as many of the educated elite converted to Christianity and classical culture lost its hold.</w:t>
      </w:r>
    </w:p>
    <w:p w14:paraId="3EC5E01F" w14:textId="77777777" w:rsidR="004469D4" w:rsidRPr="004469D4" w:rsidRDefault="004469D4" w:rsidP="004469D4">
      <w:pPr>
        <w:jc w:val="both"/>
        <w:rPr>
          <w:rFonts w:ascii="Arial" w:hAnsi="Arial" w:cs="Arial"/>
          <w:b/>
          <w:bCs/>
        </w:rPr>
      </w:pPr>
      <w:r w:rsidRPr="004469D4">
        <w:rPr>
          <w:rFonts w:ascii="Arial" w:hAnsi="Arial" w:cs="Arial"/>
          <w:b/>
          <w:bCs/>
        </w:rPr>
        <w:t>The Legacy of Roman Christianity</w:t>
      </w:r>
    </w:p>
    <w:p w14:paraId="4833D9DB" w14:textId="77777777" w:rsidR="004469D4" w:rsidRPr="004469D4" w:rsidRDefault="004469D4" w:rsidP="004469D4">
      <w:pPr>
        <w:jc w:val="both"/>
        <w:rPr>
          <w:rFonts w:ascii="Arial" w:hAnsi="Arial" w:cs="Arial"/>
        </w:rPr>
      </w:pPr>
      <w:r w:rsidRPr="004469D4">
        <w:rPr>
          <w:rFonts w:ascii="Arial" w:hAnsi="Arial" w:cs="Arial"/>
        </w:rPr>
        <w:t>The Christianization of the Roman Empire had profound and lasting consequences for Western civilization. As the empire fragmented politically in the 5th century, the church emerged as a vital source of unity, stability, and continuity. The Bishop of Rome, later known as the Pope, claimed spiritual authority over all of Christendom.</w:t>
      </w:r>
    </w:p>
    <w:p w14:paraId="0839832C" w14:textId="77777777" w:rsidR="004469D4" w:rsidRPr="004469D4" w:rsidRDefault="004469D4" w:rsidP="004469D4">
      <w:pPr>
        <w:jc w:val="both"/>
        <w:rPr>
          <w:rFonts w:ascii="Arial" w:hAnsi="Arial" w:cs="Arial"/>
        </w:rPr>
      </w:pPr>
      <w:r w:rsidRPr="004469D4">
        <w:rPr>
          <w:rFonts w:ascii="Arial" w:hAnsi="Arial" w:cs="Arial"/>
        </w:rPr>
        <w:t>Roman roads, cities, and infrastructure facilitated the spread of Christian culture and learning even after the fall of the Western Empire. Early church fathers like Augustine of Hippo and Jerome produced influential theological and philosophical works that shaped medieval Christian thought.</w:t>
      </w:r>
    </w:p>
    <w:p w14:paraId="2169F5F2" w14:textId="77777777" w:rsidR="004469D4" w:rsidRPr="004469D4" w:rsidRDefault="004469D4" w:rsidP="004469D4">
      <w:pPr>
        <w:jc w:val="both"/>
        <w:rPr>
          <w:rFonts w:ascii="Arial" w:hAnsi="Arial" w:cs="Arial"/>
        </w:rPr>
      </w:pPr>
      <w:r w:rsidRPr="004469D4">
        <w:rPr>
          <w:rFonts w:ascii="Arial" w:hAnsi="Arial" w:cs="Arial"/>
        </w:rPr>
        <w:t>In the Eastern Roman Empire, later known as the Byzantine Empire, Christianity developed its own distinctive culture, art, and politics. The Byzantine emperors saw themselves as defenders of the true faith, leading to a close relationship between church and state that persisted for centuries.</w:t>
      </w:r>
    </w:p>
    <w:p w14:paraId="790CF8E9" w14:textId="77777777" w:rsidR="004469D4" w:rsidRPr="004469D4" w:rsidRDefault="004469D4" w:rsidP="004469D4">
      <w:pPr>
        <w:jc w:val="both"/>
        <w:rPr>
          <w:rFonts w:ascii="Arial" w:hAnsi="Arial" w:cs="Arial"/>
        </w:rPr>
      </w:pPr>
      <w:r w:rsidRPr="004469D4">
        <w:rPr>
          <w:rFonts w:ascii="Arial" w:hAnsi="Arial" w:cs="Arial"/>
        </w:rPr>
        <w:t>The growth of Christianity in the Roman Empire is a story of unlikely triumph against the odds. From a small, persecuted sect to the established religion of the Mediterranean world, the Christian faith demonstrated a remarkable ability to appeal to people of all backgrounds and to persevere in the face of opposition.</w:t>
      </w:r>
    </w:p>
    <w:p w14:paraId="0AF9D5CE" w14:textId="7A364AF4" w:rsidR="004469D4" w:rsidRPr="008953AB" w:rsidRDefault="004469D4" w:rsidP="008953AB">
      <w:pPr>
        <w:jc w:val="both"/>
        <w:rPr>
          <w:rFonts w:ascii="Arial" w:hAnsi="Arial" w:cs="Arial"/>
        </w:rPr>
      </w:pPr>
      <w:r w:rsidRPr="004469D4">
        <w:rPr>
          <w:rFonts w:ascii="Arial" w:hAnsi="Arial" w:cs="Arial"/>
        </w:rPr>
        <w:t>The interplay between Christianity and the Roman state had a profound impact on both institutions, forging a legacy that endured long after the fall of the Western Empire. In this sense, the remarkable rise of this once-obscure faith is inseparable from the history of Rome itself.</w:t>
      </w:r>
    </w:p>
    <w:p w14:paraId="2C1C1E4A" w14:textId="4F43DA57" w:rsidR="0036165E" w:rsidRPr="00720AFF" w:rsidRDefault="00EB0132" w:rsidP="0036165E">
      <w:pPr>
        <w:pStyle w:val="ListParagraph"/>
        <w:numPr>
          <w:ilvl w:val="0"/>
          <w:numId w:val="5"/>
        </w:numPr>
        <w:jc w:val="both"/>
        <w:rPr>
          <w:rFonts w:ascii="Arial" w:hAnsi="Arial" w:cs="Arial"/>
          <w:color w:val="EE0000"/>
        </w:rPr>
      </w:pPr>
      <w:r w:rsidRPr="00720AFF">
        <w:rPr>
          <w:rFonts w:ascii="Arial" w:hAnsi="Arial" w:cs="Arial"/>
          <w:color w:val="EE0000"/>
        </w:rPr>
        <w:t xml:space="preserve"> Persecution under</w:t>
      </w:r>
      <w:r w:rsidR="00D55FB0" w:rsidRPr="00720AFF">
        <w:rPr>
          <w:rFonts w:ascii="Arial" w:hAnsi="Arial" w:cs="Arial"/>
          <w:color w:val="EE0000"/>
        </w:rPr>
        <w:t xml:space="preserve"> Roman Emperors</w:t>
      </w:r>
    </w:p>
    <w:p w14:paraId="05F20BA4" w14:textId="77777777" w:rsidR="009E4076" w:rsidRDefault="009E4076" w:rsidP="009E4076">
      <w:pPr>
        <w:jc w:val="both"/>
        <w:rPr>
          <w:rFonts w:ascii="Arial" w:hAnsi="Arial" w:cs="Arial"/>
        </w:rPr>
      </w:pPr>
      <w:r w:rsidRPr="00720AFF">
        <w:rPr>
          <w:rFonts w:ascii="Arial" w:hAnsi="Arial" w:cs="Arial"/>
        </w:rPr>
        <w:t>Persecutions and Martyrdom</w:t>
      </w:r>
    </w:p>
    <w:p w14:paraId="344CEC13" w14:textId="77777777" w:rsidR="00850C41" w:rsidRPr="00850C41" w:rsidRDefault="00850C41" w:rsidP="00850C41">
      <w:pPr>
        <w:jc w:val="both"/>
        <w:rPr>
          <w:rFonts w:ascii="Arial" w:hAnsi="Arial" w:cs="Arial"/>
          <w:b/>
          <w:bCs/>
        </w:rPr>
      </w:pPr>
      <w:r w:rsidRPr="00850C41">
        <w:rPr>
          <w:rFonts w:ascii="Arial" w:hAnsi="Arial" w:cs="Arial"/>
          <w:b/>
          <w:bCs/>
        </w:rPr>
        <w:t>Key emperors and what happened under them</w:t>
      </w:r>
    </w:p>
    <w:p w14:paraId="0609538C" w14:textId="61C21089" w:rsidR="00850C41" w:rsidRPr="00850C41" w:rsidRDefault="00850C41" w:rsidP="00850C41">
      <w:pPr>
        <w:numPr>
          <w:ilvl w:val="0"/>
          <w:numId w:val="28"/>
        </w:numPr>
        <w:jc w:val="both"/>
        <w:rPr>
          <w:rFonts w:ascii="Arial" w:hAnsi="Arial" w:cs="Arial"/>
        </w:rPr>
      </w:pPr>
      <w:r w:rsidRPr="00850C41">
        <w:rPr>
          <w:rFonts w:ascii="Arial" w:hAnsi="Arial" w:cs="Arial"/>
          <w:b/>
          <w:bCs/>
        </w:rPr>
        <w:t>Nero (r. 54–68)</w:t>
      </w:r>
      <w:r w:rsidRPr="00850C41">
        <w:rPr>
          <w:rFonts w:ascii="Arial" w:hAnsi="Arial" w:cs="Arial"/>
        </w:rPr>
        <w:t xml:space="preserve"> — Christians were singled out for imperial hostility; Eusebius calls Nero “the first” emperor who persecuted the Christian religion, “particularly then… </w:t>
      </w:r>
      <w:r w:rsidRPr="00850C41">
        <w:rPr>
          <w:rFonts w:ascii="Arial" w:hAnsi="Arial" w:cs="Arial"/>
        </w:rPr>
        <w:lastRenderedPageBreak/>
        <w:t>at Rome.” </w:t>
      </w:r>
      <w:r w:rsidR="00072CD2">
        <w:rPr>
          <w:rStyle w:val="FootnoteReference"/>
          <w:rFonts w:ascii="Arial" w:hAnsi="Arial" w:cs="Arial"/>
        </w:rPr>
        <w:footnoteReference w:id="120"/>
      </w:r>
      <w:r w:rsidRPr="00850C41">
        <w:rPr>
          <w:rFonts w:ascii="Arial" w:hAnsi="Arial" w:cs="Arial"/>
        </w:rPr>
        <w:t> Tertullian similarly says that Nero was “the first who assailed with the imperial sword the Christian sect… especially at Rome.” </w:t>
      </w:r>
      <w:r w:rsidR="002023A0">
        <w:rPr>
          <w:rStyle w:val="FootnoteReference"/>
          <w:rFonts w:ascii="Arial" w:hAnsi="Arial" w:cs="Arial"/>
        </w:rPr>
        <w:footnoteReference w:id="121"/>
      </w:r>
    </w:p>
    <w:p w14:paraId="2ED6CFA4" w14:textId="7BE869A5" w:rsidR="00850C41" w:rsidRPr="00850C41" w:rsidRDefault="00850C41" w:rsidP="00850C41">
      <w:pPr>
        <w:numPr>
          <w:ilvl w:val="0"/>
          <w:numId w:val="28"/>
        </w:numPr>
        <w:jc w:val="both"/>
        <w:rPr>
          <w:rFonts w:ascii="Arial" w:hAnsi="Arial" w:cs="Arial"/>
        </w:rPr>
      </w:pPr>
      <w:r w:rsidRPr="00850C41">
        <w:rPr>
          <w:rFonts w:ascii="Arial" w:hAnsi="Arial" w:cs="Arial"/>
          <w:b/>
          <w:bCs/>
        </w:rPr>
        <w:t>Domitian (r. 81–96)</w:t>
      </w:r>
      <w:r w:rsidRPr="00850C41">
        <w:rPr>
          <w:rFonts w:ascii="Arial" w:hAnsi="Arial" w:cs="Arial"/>
        </w:rPr>
        <w:t> — another imperial persecution attempt: Tertullian says Domitian “tried his hand at persecution,” but “soon put an end to what he had begun.” </w:t>
      </w:r>
      <w:r w:rsidR="004B0CB4">
        <w:rPr>
          <w:rStyle w:val="FootnoteReference"/>
          <w:rFonts w:ascii="Arial" w:hAnsi="Arial" w:cs="Arial"/>
        </w:rPr>
        <w:footnoteReference w:id="122"/>
      </w:r>
    </w:p>
    <w:p w14:paraId="01E89FBF" w14:textId="65DC31D1" w:rsidR="00850C41" w:rsidRPr="00850C41" w:rsidRDefault="00850C41" w:rsidP="00850C41">
      <w:pPr>
        <w:numPr>
          <w:ilvl w:val="0"/>
          <w:numId w:val="28"/>
        </w:numPr>
        <w:jc w:val="both"/>
        <w:rPr>
          <w:rFonts w:ascii="Arial" w:hAnsi="Arial" w:cs="Arial"/>
        </w:rPr>
      </w:pPr>
      <w:r w:rsidRPr="00850C41">
        <w:rPr>
          <w:rFonts w:ascii="Arial" w:hAnsi="Arial" w:cs="Arial"/>
          <w:b/>
          <w:bCs/>
        </w:rPr>
        <w:t>Trajan (r. 98–117)</w:t>
      </w:r>
      <w:r w:rsidRPr="00850C41">
        <w:rPr>
          <w:rFonts w:ascii="Arial" w:hAnsi="Arial" w:cs="Arial"/>
        </w:rPr>
        <w:t> — limitation on persecution: Tertullian notes that Trajan “to some extent made naught” of earlier harsher practice by forbidding Christians to be </w:t>
      </w:r>
      <w:r w:rsidRPr="00850C41">
        <w:rPr>
          <w:rFonts w:ascii="Arial" w:hAnsi="Arial" w:cs="Arial"/>
          <w:b/>
          <w:bCs/>
        </w:rPr>
        <w:t>sought after</w:t>
      </w:r>
      <w:r w:rsidRPr="00850C41">
        <w:rPr>
          <w:rFonts w:ascii="Arial" w:hAnsi="Arial" w:cs="Arial"/>
        </w:rPr>
        <w:t> (“forbidding that Christians be sought after”). </w:t>
      </w:r>
      <w:r w:rsidR="00A71AD2">
        <w:rPr>
          <w:rStyle w:val="FootnoteReference"/>
          <w:rFonts w:ascii="Arial" w:hAnsi="Arial" w:cs="Arial"/>
        </w:rPr>
        <w:footnoteReference w:id="123"/>
      </w:r>
    </w:p>
    <w:p w14:paraId="54451BB5" w14:textId="549C54A9" w:rsidR="00850C41" w:rsidRPr="00850C41" w:rsidRDefault="00850C41" w:rsidP="00850C41">
      <w:pPr>
        <w:numPr>
          <w:ilvl w:val="0"/>
          <w:numId w:val="28"/>
        </w:numPr>
        <w:jc w:val="both"/>
        <w:rPr>
          <w:rFonts w:ascii="Arial" w:hAnsi="Arial" w:cs="Arial"/>
        </w:rPr>
      </w:pPr>
      <w:r w:rsidRPr="00850C41">
        <w:rPr>
          <w:rFonts w:ascii="Arial" w:hAnsi="Arial" w:cs="Arial"/>
          <w:b/>
          <w:bCs/>
        </w:rPr>
        <w:t>Hadrian and Vespasian</w:t>
      </w:r>
      <w:r w:rsidRPr="00850C41">
        <w:rPr>
          <w:rFonts w:ascii="Arial" w:hAnsi="Arial" w:cs="Arial"/>
        </w:rPr>
        <w:t> — not enforcing persecution in the same way: Tertullian adds that neither Hadrian (though he searched for “strange and new” things) nor Vespasian enforced persecution against Christians. </w:t>
      </w:r>
      <w:r w:rsidR="00A71AD2">
        <w:rPr>
          <w:rStyle w:val="FootnoteReference"/>
          <w:rFonts w:ascii="Arial" w:hAnsi="Arial" w:cs="Arial"/>
        </w:rPr>
        <w:footnoteReference w:id="124"/>
      </w:r>
    </w:p>
    <w:p w14:paraId="7A44C6DE" w14:textId="583DECA2" w:rsidR="00850C41" w:rsidRPr="00850C41" w:rsidRDefault="00850C41" w:rsidP="00850C41">
      <w:pPr>
        <w:numPr>
          <w:ilvl w:val="0"/>
          <w:numId w:val="28"/>
        </w:numPr>
        <w:jc w:val="both"/>
        <w:rPr>
          <w:rFonts w:ascii="Arial" w:hAnsi="Arial" w:cs="Arial"/>
        </w:rPr>
      </w:pPr>
      <w:r w:rsidRPr="00850C41">
        <w:rPr>
          <w:rFonts w:ascii="Arial" w:hAnsi="Arial" w:cs="Arial"/>
          <w:b/>
          <w:bCs/>
        </w:rPr>
        <w:t>Marcus Aurelius (r. 161–180)</w:t>
      </w:r>
      <w:r w:rsidRPr="00850C41">
        <w:rPr>
          <w:rFonts w:ascii="Arial" w:hAnsi="Arial" w:cs="Arial"/>
        </w:rPr>
        <w:t> — mixed picture: Catholic tradition reports that “Christian blood flowed freely,” and that pagans blamed Christians during public calamities (famine, pestilence, drought, floods). </w:t>
      </w:r>
      <w:r w:rsidR="004E7FB9">
        <w:rPr>
          <w:rStyle w:val="FootnoteReference"/>
          <w:rFonts w:ascii="Arial" w:hAnsi="Arial" w:cs="Arial"/>
        </w:rPr>
        <w:footnoteReference w:id="125"/>
      </w:r>
      <w:r w:rsidRPr="00850C41">
        <w:rPr>
          <w:rFonts w:ascii="Arial" w:hAnsi="Arial" w:cs="Arial"/>
        </w:rPr>
        <w:br/>
        <w:t>At the same time, Tertullian says that from Marcus Aurelius “you will… see by examining the letters of Marcus Aurelius… he bears his testimony” that a drought was removed through prayers of Christians, and that while he didn’t remove legal disabilities by public law, he acted against accusers.</w:t>
      </w:r>
      <w:r w:rsidR="00BD6DB6">
        <w:rPr>
          <w:rStyle w:val="FootnoteReference"/>
          <w:rFonts w:ascii="Arial" w:hAnsi="Arial" w:cs="Arial"/>
        </w:rPr>
        <w:footnoteReference w:id="126"/>
      </w:r>
    </w:p>
    <w:p w14:paraId="3B8E3ADE" w14:textId="2508BA05" w:rsidR="00850C41" w:rsidRPr="00850C41" w:rsidRDefault="00850C41" w:rsidP="00850C41">
      <w:pPr>
        <w:numPr>
          <w:ilvl w:val="0"/>
          <w:numId w:val="28"/>
        </w:numPr>
        <w:jc w:val="both"/>
        <w:rPr>
          <w:rFonts w:ascii="Arial" w:hAnsi="Arial" w:cs="Arial"/>
        </w:rPr>
      </w:pPr>
      <w:r w:rsidRPr="00850C41">
        <w:rPr>
          <w:rFonts w:ascii="Arial" w:hAnsi="Arial" w:cs="Arial"/>
          <w:b/>
          <w:bCs/>
        </w:rPr>
        <w:t>Antoninus Pius (r. 138–161)</w:t>
      </w:r>
      <w:r w:rsidRPr="00850C41">
        <w:rPr>
          <w:rFonts w:ascii="Arial" w:hAnsi="Arial" w:cs="Arial"/>
        </w:rPr>
        <w:t> — “peace” phase: Sulpicius Severus writes that “after Adrian, the churches had peace under the rule of Antoninus Pius.” </w:t>
      </w:r>
      <w:r w:rsidR="007F4E09">
        <w:rPr>
          <w:rStyle w:val="FootnoteReference"/>
          <w:rFonts w:ascii="Arial" w:hAnsi="Arial" w:cs="Arial"/>
        </w:rPr>
        <w:footnoteReference w:id="127"/>
      </w:r>
    </w:p>
    <w:p w14:paraId="5A75392E" w14:textId="43C49602" w:rsidR="00850C41" w:rsidRPr="00850C41" w:rsidRDefault="00850C41" w:rsidP="00850C41">
      <w:pPr>
        <w:numPr>
          <w:ilvl w:val="0"/>
          <w:numId w:val="28"/>
        </w:numPr>
        <w:jc w:val="both"/>
        <w:rPr>
          <w:rFonts w:ascii="Arial" w:hAnsi="Arial" w:cs="Arial"/>
        </w:rPr>
      </w:pPr>
      <w:r w:rsidRPr="00850C41">
        <w:rPr>
          <w:rFonts w:ascii="Arial" w:hAnsi="Arial" w:cs="Arial"/>
          <w:b/>
          <w:bCs/>
        </w:rPr>
        <w:t>Septimius Severus (r. 193–211)</w:t>
      </w:r>
      <w:r w:rsidRPr="00850C41">
        <w:rPr>
          <w:rFonts w:ascii="Arial" w:hAnsi="Arial" w:cs="Arial"/>
        </w:rPr>
        <w:t> — persecution continues: Sulpicius Severus records the “sixth persecution” under “the emperor Severus.” </w:t>
      </w:r>
      <w:r w:rsidR="007D0F0C">
        <w:rPr>
          <w:rStyle w:val="FootnoteReference"/>
          <w:rFonts w:ascii="Arial" w:hAnsi="Arial" w:cs="Arial"/>
        </w:rPr>
        <w:footnoteReference w:id="128"/>
      </w:r>
    </w:p>
    <w:p w14:paraId="5E1F6E14" w14:textId="1A598516" w:rsidR="00850C41" w:rsidRPr="00850C41" w:rsidRDefault="00850C41" w:rsidP="00850C41">
      <w:pPr>
        <w:numPr>
          <w:ilvl w:val="0"/>
          <w:numId w:val="28"/>
        </w:numPr>
        <w:jc w:val="both"/>
        <w:rPr>
          <w:rFonts w:ascii="Arial" w:hAnsi="Arial" w:cs="Arial"/>
        </w:rPr>
      </w:pPr>
      <w:r w:rsidRPr="00850C41">
        <w:rPr>
          <w:rFonts w:ascii="Arial" w:hAnsi="Arial" w:cs="Arial"/>
          <w:b/>
          <w:bCs/>
        </w:rPr>
        <w:t>Maximinus (mid-3rd century)</w:t>
      </w:r>
      <w:r w:rsidRPr="00850C41">
        <w:rPr>
          <w:rFonts w:ascii="Arial" w:hAnsi="Arial" w:cs="Arial"/>
        </w:rPr>
        <w:t> — targeted persecution of clergy in some churches: Sulpicius Severus says there was peace for an interval, “except that at the middle of that time Maximinus persecuted the clerics of some churches.” </w:t>
      </w:r>
      <w:r w:rsidR="007D0F0C">
        <w:rPr>
          <w:rStyle w:val="FootnoteReference"/>
          <w:rFonts w:ascii="Arial" w:hAnsi="Arial" w:cs="Arial"/>
        </w:rPr>
        <w:footnoteReference w:id="129"/>
      </w:r>
    </w:p>
    <w:p w14:paraId="76CEE355" w14:textId="4956CA8A" w:rsidR="00850C41" w:rsidRPr="00850C41" w:rsidRDefault="00850C41" w:rsidP="00850C41">
      <w:pPr>
        <w:numPr>
          <w:ilvl w:val="0"/>
          <w:numId w:val="28"/>
        </w:numPr>
        <w:jc w:val="both"/>
        <w:rPr>
          <w:rFonts w:ascii="Arial" w:hAnsi="Arial" w:cs="Arial"/>
        </w:rPr>
      </w:pPr>
      <w:r w:rsidRPr="00850C41">
        <w:rPr>
          <w:rFonts w:ascii="Arial" w:hAnsi="Arial" w:cs="Arial"/>
          <w:b/>
          <w:bCs/>
        </w:rPr>
        <w:t>Decius (r. 249–251)</w:t>
      </w:r>
      <w:r w:rsidRPr="00850C41">
        <w:rPr>
          <w:rFonts w:ascii="Arial" w:hAnsi="Arial" w:cs="Arial"/>
        </w:rPr>
        <w:t> — systematic persecution and apostasy pressure: the Catholic Encyclopedia describes his edict (issued in </w:t>
      </w:r>
      <w:r w:rsidRPr="00850C41">
        <w:rPr>
          <w:rFonts w:ascii="Arial" w:hAnsi="Arial" w:cs="Arial"/>
          <w:b/>
          <w:bCs/>
        </w:rPr>
        <w:t>250</w:t>
      </w:r>
      <w:r w:rsidRPr="00850C41">
        <w:rPr>
          <w:rFonts w:ascii="Arial" w:hAnsi="Arial" w:cs="Arial"/>
        </w:rPr>
        <w:t xml:space="preserve">) requiring all Christians </w:t>
      </w:r>
      <w:r w:rsidRPr="00850C41">
        <w:rPr>
          <w:rFonts w:ascii="Arial" w:hAnsi="Arial" w:cs="Arial"/>
        </w:rPr>
        <w:lastRenderedPageBreak/>
        <w:t>to offer sacrifice, making magistrates “religious inquisitors” who were responsible to punish Christians who refused to apostatize. </w:t>
      </w:r>
      <w:r w:rsidR="00AD58FC">
        <w:rPr>
          <w:rStyle w:val="FootnoteReference"/>
          <w:rFonts w:ascii="Arial" w:hAnsi="Arial" w:cs="Arial"/>
        </w:rPr>
        <w:footnoteReference w:id="130"/>
      </w:r>
    </w:p>
    <w:p w14:paraId="79F42D8F" w14:textId="07FD8E6B" w:rsidR="00850C41" w:rsidRPr="00850C41" w:rsidRDefault="00850C41" w:rsidP="00850C41">
      <w:pPr>
        <w:numPr>
          <w:ilvl w:val="0"/>
          <w:numId w:val="28"/>
        </w:numPr>
        <w:jc w:val="both"/>
        <w:rPr>
          <w:rFonts w:ascii="Arial" w:hAnsi="Arial" w:cs="Arial"/>
        </w:rPr>
      </w:pPr>
      <w:r w:rsidRPr="00850C41">
        <w:rPr>
          <w:rFonts w:ascii="Arial" w:hAnsi="Arial" w:cs="Arial"/>
          <w:b/>
          <w:bCs/>
        </w:rPr>
        <w:t>Valerian (r. 253–260)</w:t>
      </w:r>
      <w:r w:rsidRPr="00850C41">
        <w:rPr>
          <w:rFonts w:ascii="Arial" w:hAnsi="Arial" w:cs="Arial"/>
        </w:rPr>
        <w:t> — escalating measures against clergy and worship places: the Catholic Encyclopedia says Valerian issued an edict in </w:t>
      </w:r>
      <w:r w:rsidRPr="00850C41">
        <w:rPr>
          <w:rFonts w:ascii="Arial" w:hAnsi="Arial" w:cs="Arial"/>
          <w:b/>
          <w:bCs/>
        </w:rPr>
        <w:t>257</w:t>
      </w:r>
      <w:r w:rsidRPr="00850C41">
        <w:rPr>
          <w:rFonts w:ascii="Arial" w:hAnsi="Arial" w:cs="Arial"/>
        </w:rPr>
        <w:t> directed against bishops, priests, and deacons (with exile for those who refused sacrifice), and in </w:t>
      </w:r>
      <w:r w:rsidRPr="00850C41">
        <w:rPr>
          <w:rFonts w:ascii="Arial" w:hAnsi="Arial" w:cs="Arial"/>
          <w:b/>
          <w:bCs/>
        </w:rPr>
        <w:t>258</w:t>
      </w:r>
      <w:r w:rsidRPr="00850C41">
        <w:rPr>
          <w:rFonts w:ascii="Arial" w:hAnsi="Arial" w:cs="Arial"/>
        </w:rPr>
        <w:t> imposed even harsher penalties, including death for clergy refusing to offer sacrifice. </w:t>
      </w:r>
      <w:r w:rsidR="00F32A25">
        <w:rPr>
          <w:rStyle w:val="FootnoteReference"/>
          <w:rFonts w:ascii="Arial" w:hAnsi="Arial" w:cs="Arial"/>
        </w:rPr>
        <w:footnoteReference w:id="131"/>
      </w:r>
    </w:p>
    <w:p w14:paraId="2784C68E" w14:textId="79A7F9F4" w:rsidR="00850C41" w:rsidRPr="00850C41" w:rsidRDefault="00850C41" w:rsidP="00850C41">
      <w:pPr>
        <w:numPr>
          <w:ilvl w:val="0"/>
          <w:numId w:val="28"/>
        </w:numPr>
        <w:jc w:val="both"/>
        <w:rPr>
          <w:rFonts w:ascii="Arial" w:hAnsi="Arial" w:cs="Arial"/>
        </w:rPr>
      </w:pPr>
      <w:r w:rsidRPr="00850C41">
        <w:rPr>
          <w:rFonts w:ascii="Arial" w:hAnsi="Arial" w:cs="Arial"/>
          <w:b/>
          <w:bCs/>
        </w:rPr>
        <w:t>Diocletian and Maximian (r. 284–305)</w:t>
      </w:r>
      <w:r w:rsidRPr="00850C41">
        <w:rPr>
          <w:rFonts w:ascii="Arial" w:hAnsi="Arial" w:cs="Arial"/>
        </w:rPr>
        <w:t> — the most “bitter” long persecution: Sulpicius Severus calls it “a most bitter persecution” lasting “ten continuous years.” 4 Aphrahat likewise speaks of “the days of Diocletian” when there was “great affliction and persecution to the whole Church of God… [and] many confessors and martyrs.” </w:t>
      </w:r>
      <w:r w:rsidR="00CB1D04">
        <w:rPr>
          <w:rStyle w:val="FootnoteReference"/>
          <w:rFonts w:ascii="Arial" w:hAnsi="Arial" w:cs="Arial"/>
        </w:rPr>
        <w:footnoteReference w:id="132"/>
      </w:r>
    </w:p>
    <w:p w14:paraId="2BC1F5F3" w14:textId="35BA815D" w:rsidR="00850C41" w:rsidRPr="00850C41" w:rsidRDefault="00850C41" w:rsidP="00850C41">
      <w:pPr>
        <w:numPr>
          <w:ilvl w:val="0"/>
          <w:numId w:val="28"/>
        </w:numPr>
        <w:jc w:val="both"/>
        <w:rPr>
          <w:rFonts w:ascii="Arial" w:hAnsi="Arial" w:cs="Arial"/>
        </w:rPr>
      </w:pPr>
      <w:r w:rsidRPr="00850C41">
        <w:rPr>
          <w:rFonts w:ascii="Arial" w:hAnsi="Arial" w:cs="Arial"/>
          <w:b/>
          <w:bCs/>
        </w:rPr>
        <w:t>Gallienus (r. 260–268)</w:t>
      </w:r>
      <w:r w:rsidRPr="00850C41">
        <w:rPr>
          <w:rFonts w:ascii="Arial" w:hAnsi="Arial" w:cs="Arial"/>
        </w:rPr>
        <w:t> — reversal after Valerian’s capture: the Catholic Encyclopedia says the persecution ended when Valerian was captured (260) and that his successor </w:t>
      </w:r>
      <w:r w:rsidRPr="00850C41">
        <w:rPr>
          <w:rFonts w:ascii="Arial" w:hAnsi="Arial" w:cs="Arial"/>
          <w:b/>
          <w:bCs/>
        </w:rPr>
        <w:t>Gallienus</w:t>
      </w:r>
      <w:r w:rsidRPr="00850C41">
        <w:rPr>
          <w:rFonts w:ascii="Arial" w:hAnsi="Arial" w:cs="Arial"/>
        </w:rPr>
        <w:t> revoked the edict and restored bishops’ access to cemeteries and meeting places. </w:t>
      </w:r>
      <w:r w:rsidR="00234AC3">
        <w:rPr>
          <w:rStyle w:val="FootnoteReference"/>
          <w:rFonts w:ascii="Arial" w:hAnsi="Arial" w:cs="Arial"/>
        </w:rPr>
        <w:footnoteReference w:id="133"/>
      </w:r>
    </w:p>
    <w:p w14:paraId="4B05463D" w14:textId="77777777" w:rsidR="00850C41" w:rsidRPr="00850C41" w:rsidRDefault="00850C41" w:rsidP="00850C41">
      <w:pPr>
        <w:jc w:val="both"/>
        <w:rPr>
          <w:rFonts w:ascii="Arial" w:hAnsi="Arial" w:cs="Arial"/>
          <w:b/>
          <w:bCs/>
        </w:rPr>
      </w:pPr>
      <w:r w:rsidRPr="00850C41">
        <w:rPr>
          <w:rFonts w:ascii="Arial" w:hAnsi="Arial" w:cs="Arial"/>
          <w:b/>
          <w:bCs/>
        </w:rPr>
        <w:t>Key people and communities (martyrs, bishops, and Church figures)</w:t>
      </w:r>
    </w:p>
    <w:p w14:paraId="24647FA2" w14:textId="7F74D4F7" w:rsidR="00850C41" w:rsidRPr="00850C41" w:rsidRDefault="00850C41" w:rsidP="00850C41">
      <w:pPr>
        <w:numPr>
          <w:ilvl w:val="0"/>
          <w:numId w:val="29"/>
        </w:numPr>
        <w:jc w:val="both"/>
        <w:rPr>
          <w:rFonts w:ascii="Arial" w:hAnsi="Arial" w:cs="Arial"/>
        </w:rPr>
      </w:pPr>
      <w:r w:rsidRPr="00850C41">
        <w:rPr>
          <w:rFonts w:ascii="Arial" w:hAnsi="Arial" w:cs="Arial"/>
          <w:b/>
          <w:bCs/>
        </w:rPr>
        <w:t>Paul and Peter (Rome)</w:t>
      </w:r>
      <w:r w:rsidRPr="00850C41">
        <w:rPr>
          <w:rFonts w:ascii="Arial" w:hAnsi="Arial" w:cs="Arial"/>
        </w:rPr>
        <w:t> — Eusebius’ chapter heading links Nero’s persecution with their martyrdom at Rome “in behalf of religion.” </w:t>
      </w:r>
      <w:r w:rsidR="007C357C">
        <w:rPr>
          <w:rStyle w:val="FootnoteReference"/>
          <w:rFonts w:ascii="Arial" w:hAnsi="Arial" w:cs="Arial"/>
        </w:rPr>
        <w:footnoteReference w:id="134"/>
      </w:r>
    </w:p>
    <w:p w14:paraId="3E812BCA" w14:textId="1502539D" w:rsidR="00850C41" w:rsidRPr="00850C41" w:rsidRDefault="00850C41" w:rsidP="00850C41">
      <w:pPr>
        <w:numPr>
          <w:ilvl w:val="0"/>
          <w:numId w:val="29"/>
        </w:numPr>
        <w:jc w:val="both"/>
        <w:rPr>
          <w:rFonts w:ascii="Arial" w:hAnsi="Arial" w:cs="Arial"/>
        </w:rPr>
      </w:pPr>
      <w:r w:rsidRPr="00850C41">
        <w:rPr>
          <w:rFonts w:ascii="Arial" w:hAnsi="Arial" w:cs="Arial"/>
          <w:b/>
          <w:bCs/>
        </w:rPr>
        <w:t>Leonida (father of Origen)</w:t>
      </w:r>
      <w:r w:rsidRPr="00850C41">
        <w:rPr>
          <w:rFonts w:ascii="Arial" w:hAnsi="Arial" w:cs="Arial"/>
        </w:rPr>
        <w:t> — martyrdom during the Severan persecution: Sulpicius Severus says that “At this time Leonida, the father of Origen, poured forth his sacred blood in martyrdom.” </w:t>
      </w:r>
      <w:r w:rsidR="00EB07C5">
        <w:rPr>
          <w:rStyle w:val="FootnoteReference"/>
          <w:rFonts w:ascii="Arial" w:hAnsi="Arial" w:cs="Arial"/>
        </w:rPr>
        <w:footnoteReference w:id="135"/>
      </w:r>
    </w:p>
    <w:p w14:paraId="7C79B839" w14:textId="445C6EC4" w:rsidR="00850C41" w:rsidRPr="00850C41" w:rsidRDefault="00850C41" w:rsidP="00850C41">
      <w:pPr>
        <w:numPr>
          <w:ilvl w:val="0"/>
          <w:numId w:val="29"/>
        </w:numPr>
        <w:jc w:val="both"/>
        <w:rPr>
          <w:rFonts w:ascii="Arial" w:hAnsi="Arial" w:cs="Arial"/>
        </w:rPr>
      </w:pPr>
      <w:r w:rsidRPr="00850C41">
        <w:rPr>
          <w:rFonts w:ascii="Arial" w:hAnsi="Arial" w:cs="Arial"/>
          <w:b/>
          <w:bCs/>
        </w:rPr>
        <w:t>Cornelius (Rome) and Cyprian (Carthage)</w:t>
      </w:r>
      <w:r w:rsidRPr="00850C41">
        <w:rPr>
          <w:rFonts w:ascii="Arial" w:hAnsi="Arial" w:cs="Arial"/>
        </w:rPr>
        <w:t> — martyrdom under Decius and Valerian: Jerome states that “during the persecutions of Decius and Valerian,” Cornelius at Rome and Cyprian at Carthage “shed their blood.” </w:t>
      </w:r>
      <w:r w:rsidR="009D07DE">
        <w:rPr>
          <w:rStyle w:val="FootnoteReference"/>
          <w:rFonts w:ascii="Arial" w:hAnsi="Arial" w:cs="Arial"/>
        </w:rPr>
        <w:footnoteReference w:id="136"/>
      </w:r>
    </w:p>
    <w:p w14:paraId="649D6CB9" w14:textId="20999938" w:rsidR="00850C41" w:rsidRPr="00850C41" w:rsidRDefault="00850C41" w:rsidP="00850C41">
      <w:pPr>
        <w:numPr>
          <w:ilvl w:val="0"/>
          <w:numId w:val="29"/>
        </w:numPr>
        <w:jc w:val="both"/>
        <w:rPr>
          <w:rFonts w:ascii="Arial" w:hAnsi="Arial" w:cs="Arial"/>
        </w:rPr>
      </w:pPr>
      <w:r w:rsidRPr="00850C41">
        <w:rPr>
          <w:rFonts w:ascii="Arial" w:hAnsi="Arial" w:cs="Arial"/>
          <w:b/>
          <w:bCs/>
        </w:rPr>
        <w:t>Pope Sixtus II and St. Cyprian of Carthage</w:t>
      </w:r>
      <w:r w:rsidRPr="00850C41">
        <w:rPr>
          <w:rFonts w:ascii="Arial" w:hAnsi="Arial" w:cs="Arial"/>
        </w:rPr>
        <w:t> — among those martyred in the Valerian period: the Catholic Encyclopedia explicitly lists them among martyrs of the Valerian persecution. </w:t>
      </w:r>
      <w:r w:rsidR="00B365A9">
        <w:rPr>
          <w:rStyle w:val="FootnoteReference"/>
          <w:rFonts w:ascii="Arial" w:hAnsi="Arial" w:cs="Arial"/>
        </w:rPr>
        <w:footnoteReference w:id="137"/>
      </w:r>
    </w:p>
    <w:p w14:paraId="0660E587" w14:textId="282AC2FA" w:rsidR="00850C41" w:rsidRPr="00850C41" w:rsidRDefault="00850C41" w:rsidP="00850C41">
      <w:pPr>
        <w:numPr>
          <w:ilvl w:val="0"/>
          <w:numId w:val="29"/>
        </w:numPr>
        <w:jc w:val="both"/>
        <w:rPr>
          <w:rFonts w:ascii="Arial" w:hAnsi="Arial" w:cs="Arial"/>
        </w:rPr>
      </w:pPr>
      <w:r w:rsidRPr="00850C41">
        <w:rPr>
          <w:rFonts w:ascii="Arial" w:hAnsi="Arial" w:cs="Arial"/>
          <w:b/>
          <w:bCs/>
        </w:rPr>
        <w:lastRenderedPageBreak/>
        <w:t>Blandina and companions (Lyons/Vienne)</w:t>
      </w:r>
      <w:r w:rsidRPr="00850C41">
        <w:rPr>
          <w:rFonts w:ascii="Arial" w:hAnsi="Arial" w:cs="Arial"/>
        </w:rPr>
        <w:t> — martyrdom recorded in early accounts during the era associated with Marcus Aurelius: the Catholic Encyclopedia notes that the “Letters of the Churches of Lyons and Vienne” include a description of “the tortures inflicted… on Blandina and her companions at Lyons.” </w:t>
      </w:r>
      <w:r w:rsidR="00817442">
        <w:rPr>
          <w:rStyle w:val="FootnoteReference"/>
          <w:rFonts w:ascii="Arial" w:hAnsi="Arial" w:cs="Arial"/>
        </w:rPr>
        <w:footnoteReference w:id="138"/>
      </w:r>
    </w:p>
    <w:p w14:paraId="4E522A3C" w14:textId="77777777" w:rsidR="00850C41" w:rsidRPr="00850C41" w:rsidRDefault="00850C41" w:rsidP="00850C41">
      <w:pPr>
        <w:jc w:val="both"/>
        <w:rPr>
          <w:rFonts w:ascii="Arial" w:hAnsi="Arial" w:cs="Arial"/>
          <w:b/>
          <w:bCs/>
        </w:rPr>
      </w:pPr>
      <w:r w:rsidRPr="00850C41">
        <w:rPr>
          <w:rFonts w:ascii="Arial" w:hAnsi="Arial" w:cs="Arial"/>
          <w:b/>
          <w:bCs/>
        </w:rPr>
        <w:t>A simple chronological “map” of major phases (as reflected in the sources)</w:t>
      </w:r>
    </w:p>
    <w:p w14:paraId="412B107F" w14:textId="5A3FE458" w:rsidR="00850C41" w:rsidRPr="00850C41" w:rsidRDefault="00850C41" w:rsidP="00850C41">
      <w:pPr>
        <w:numPr>
          <w:ilvl w:val="0"/>
          <w:numId w:val="30"/>
        </w:numPr>
        <w:jc w:val="both"/>
        <w:rPr>
          <w:rFonts w:ascii="Arial" w:hAnsi="Arial" w:cs="Arial"/>
        </w:rPr>
      </w:pPr>
      <w:r w:rsidRPr="00850C41">
        <w:rPr>
          <w:rFonts w:ascii="Arial" w:hAnsi="Arial" w:cs="Arial"/>
          <w:b/>
          <w:bCs/>
        </w:rPr>
        <w:t>First imperial persecution associated with Christians: Nero</w:t>
      </w:r>
      <w:r w:rsidRPr="00850C41">
        <w:rPr>
          <w:rFonts w:ascii="Arial" w:hAnsi="Arial" w:cs="Arial"/>
        </w:rPr>
        <w:t> (especially at Rome). </w:t>
      </w:r>
      <w:r w:rsidR="00966D82">
        <w:rPr>
          <w:rStyle w:val="FootnoteReference"/>
          <w:rFonts w:ascii="Arial" w:hAnsi="Arial" w:cs="Arial"/>
        </w:rPr>
        <w:footnoteReference w:id="139"/>
      </w:r>
      <w:r w:rsidRPr="00850C41">
        <w:rPr>
          <w:rFonts w:ascii="Arial" w:hAnsi="Arial" w:cs="Arial"/>
        </w:rPr>
        <w:t> </w:t>
      </w:r>
      <w:r w:rsidR="00CF6634">
        <w:rPr>
          <w:rStyle w:val="FootnoteReference"/>
          <w:rFonts w:ascii="Arial" w:hAnsi="Arial" w:cs="Arial"/>
        </w:rPr>
        <w:footnoteReference w:id="140"/>
      </w:r>
    </w:p>
    <w:p w14:paraId="2C24A3AA" w14:textId="61937972" w:rsidR="00850C41" w:rsidRPr="00850C41" w:rsidRDefault="00850C41" w:rsidP="00850C41">
      <w:pPr>
        <w:numPr>
          <w:ilvl w:val="0"/>
          <w:numId w:val="30"/>
        </w:numPr>
        <w:jc w:val="both"/>
        <w:rPr>
          <w:rFonts w:ascii="Arial" w:hAnsi="Arial" w:cs="Arial"/>
        </w:rPr>
      </w:pPr>
      <w:r w:rsidRPr="00850C41">
        <w:rPr>
          <w:rFonts w:ascii="Arial" w:hAnsi="Arial" w:cs="Arial"/>
          <w:b/>
          <w:bCs/>
        </w:rPr>
        <w:t>Further persecution attempts: Domitian</w:t>
      </w:r>
      <w:r w:rsidRPr="00850C41">
        <w:rPr>
          <w:rFonts w:ascii="Arial" w:hAnsi="Arial" w:cs="Arial"/>
        </w:rPr>
        <w:t> (then halted). </w:t>
      </w:r>
      <w:r w:rsidR="00CF6634">
        <w:rPr>
          <w:rStyle w:val="FootnoteReference"/>
          <w:rFonts w:ascii="Arial" w:hAnsi="Arial" w:cs="Arial"/>
        </w:rPr>
        <w:footnoteReference w:id="141"/>
      </w:r>
    </w:p>
    <w:p w14:paraId="14A78E32" w14:textId="6D438D21" w:rsidR="00850C41" w:rsidRPr="00850C41" w:rsidRDefault="00850C41" w:rsidP="00850C41">
      <w:pPr>
        <w:numPr>
          <w:ilvl w:val="0"/>
          <w:numId w:val="30"/>
        </w:numPr>
        <w:jc w:val="both"/>
        <w:rPr>
          <w:rFonts w:ascii="Arial" w:hAnsi="Arial" w:cs="Arial"/>
        </w:rPr>
      </w:pPr>
      <w:r w:rsidRPr="00850C41">
        <w:rPr>
          <w:rFonts w:ascii="Arial" w:hAnsi="Arial" w:cs="Arial"/>
          <w:b/>
          <w:bCs/>
        </w:rPr>
        <w:t>Periods of moderation/tolerance: Trajan, Hadrian, Vespasian</w:t>
      </w:r>
      <w:r w:rsidRPr="00850C41">
        <w:rPr>
          <w:rFonts w:ascii="Arial" w:hAnsi="Arial" w:cs="Arial"/>
        </w:rPr>
        <w:t> (not seeking out Christians / not enforcing persecution the same way). </w:t>
      </w:r>
      <w:r w:rsidR="007430D4">
        <w:rPr>
          <w:rStyle w:val="FootnoteReference"/>
          <w:rFonts w:ascii="Arial" w:hAnsi="Arial" w:cs="Arial"/>
        </w:rPr>
        <w:footnoteReference w:id="142"/>
      </w:r>
    </w:p>
    <w:p w14:paraId="7B06DB0B" w14:textId="5712C2E4" w:rsidR="00850C41" w:rsidRPr="00850C41" w:rsidRDefault="00850C41" w:rsidP="00850C41">
      <w:pPr>
        <w:numPr>
          <w:ilvl w:val="0"/>
          <w:numId w:val="30"/>
        </w:numPr>
        <w:jc w:val="both"/>
        <w:rPr>
          <w:rFonts w:ascii="Arial" w:hAnsi="Arial" w:cs="Arial"/>
        </w:rPr>
      </w:pPr>
      <w:r w:rsidRPr="00850C41">
        <w:rPr>
          <w:rFonts w:ascii="Arial" w:hAnsi="Arial" w:cs="Arial"/>
          <w:b/>
          <w:bCs/>
        </w:rPr>
        <w:t>Wider suffering in the Marcus Aurelius period</w:t>
      </w:r>
      <w:r w:rsidRPr="00850C41">
        <w:rPr>
          <w:rFonts w:ascii="Arial" w:hAnsi="Arial" w:cs="Arial"/>
        </w:rPr>
        <w:t>, with popular blame during disasters, yet also some protective actions toward Christians. </w:t>
      </w:r>
      <w:r w:rsidR="007430D4">
        <w:rPr>
          <w:rStyle w:val="FootnoteReference"/>
          <w:rFonts w:ascii="Arial" w:hAnsi="Arial" w:cs="Arial"/>
        </w:rPr>
        <w:footnoteReference w:id="143"/>
      </w:r>
      <w:r w:rsidRPr="00850C41">
        <w:rPr>
          <w:rFonts w:ascii="Arial" w:hAnsi="Arial" w:cs="Arial"/>
        </w:rPr>
        <w:t> </w:t>
      </w:r>
      <w:r w:rsidR="007430D4">
        <w:rPr>
          <w:rStyle w:val="FootnoteReference"/>
          <w:rFonts w:ascii="Arial" w:hAnsi="Arial" w:cs="Arial"/>
        </w:rPr>
        <w:footnoteReference w:id="144"/>
      </w:r>
    </w:p>
    <w:p w14:paraId="510E2EC1" w14:textId="435C5BAC" w:rsidR="00850C41" w:rsidRPr="00850C41" w:rsidRDefault="00850C41" w:rsidP="00850C41">
      <w:pPr>
        <w:numPr>
          <w:ilvl w:val="0"/>
          <w:numId w:val="30"/>
        </w:numPr>
        <w:jc w:val="both"/>
        <w:rPr>
          <w:rFonts w:ascii="Arial" w:hAnsi="Arial" w:cs="Arial"/>
        </w:rPr>
      </w:pPr>
      <w:r w:rsidRPr="00850C41">
        <w:rPr>
          <w:rFonts w:ascii="Arial" w:hAnsi="Arial" w:cs="Arial"/>
          <w:b/>
          <w:bCs/>
        </w:rPr>
        <w:t>Systematic state persecution becomes explicit under Decius (edict in 250)</w:t>
      </w:r>
      <w:r w:rsidRPr="00850C41">
        <w:rPr>
          <w:rFonts w:ascii="Arial" w:hAnsi="Arial" w:cs="Arial"/>
        </w:rPr>
        <w:t>, then intensifies under </w:t>
      </w:r>
      <w:r w:rsidRPr="00850C41">
        <w:rPr>
          <w:rFonts w:ascii="Arial" w:hAnsi="Arial" w:cs="Arial"/>
          <w:b/>
          <w:bCs/>
        </w:rPr>
        <w:t>Valerian (257–258)</w:t>
      </w:r>
      <w:r w:rsidRPr="00850C41">
        <w:rPr>
          <w:rFonts w:ascii="Arial" w:hAnsi="Arial" w:cs="Arial"/>
        </w:rPr>
        <w:t> targeting clergy and worship sites. </w:t>
      </w:r>
      <w:r w:rsidR="007430D4">
        <w:rPr>
          <w:rStyle w:val="FootnoteReference"/>
          <w:rFonts w:ascii="Arial" w:hAnsi="Arial" w:cs="Arial"/>
        </w:rPr>
        <w:footnoteReference w:id="145"/>
      </w:r>
    </w:p>
    <w:p w14:paraId="28248266" w14:textId="540D1EC7" w:rsidR="00850C41" w:rsidRPr="00850C41" w:rsidRDefault="00850C41" w:rsidP="00850C41">
      <w:pPr>
        <w:numPr>
          <w:ilvl w:val="0"/>
          <w:numId w:val="30"/>
        </w:numPr>
        <w:jc w:val="both"/>
        <w:rPr>
          <w:rFonts w:ascii="Arial" w:hAnsi="Arial" w:cs="Arial"/>
        </w:rPr>
      </w:pPr>
      <w:r w:rsidRPr="00850C41">
        <w:rPr>
          <w:rFonts w:ascii="Arial" w:hAnsi="Arial" w:cs="Arial"/>
          <w:b/>
          <w:bCs/>
        </w:rPr>
        <w:t>Maximum intensity: Diocletian and Maximian</w:t>
      </w:r>
      <w:r w:rsidRPr="00850C41">
        <w:rPr>
          <w:rFonts w:ascii="Arial" w:hAnsi="Arial" w:cs="Arial"/>
        </w:rPr>
        <w:t> for about </w:t>
      </w:r>
      <w:r w:rsidRPr="00850C41">
        <w:rPr>
          <w:rFonts w:ascii="Arial" w:hAnsi="Arial" w:cs="Arial"/>
          <w:b/>
          <w:bCs/>
        </w:rPr>
        <w:t>ten years</w:t>
      </w:r>
      <w:r w:rsidRPr="00850C41">
        <w:rPr>
          <w:rFonts w:ascii="Arial" w:hAnsi="Arial" w:cs="Arial"/>
        </w:rPr>
        <w:t>; later </w:t>
      </w:r>
      <w:r w:rsidRPr="00850C41">
        <w:rPr>
          <w:rFonts w:ascii="Arial" w:hAnsi="Arial" w:cs="Arial"/>
          <w:b/>
          <w:bCs/>
        </w:rPr>
        <w:t>Gallienus</w:t>
      </w:r>
      <w:r w:rsidRPr="00850C41">
        <w:rPr>
          <w:rFonts w:ascii="Arial" w:hAnsi="Arial" w:cs="Arial"/>
        </w:rPr>
        <w:t> revokes Valerian’s edicts. </w:t>
      </w:r>
      <w:r w:rsidR="000C3646">
        <w:rPr>
          <w:rStyle w:val="FootnoteReference"/>
          <w:rFonts w:ascii="Arial" w:hAnsi="Arial" w:cs="Arial"/>
        </w:rPr>
        <w:footnoteReference w:id="146"/>
      </w:r>
      <w:r w:rsidRPr="00850C41">
        <w:rPr>
          <w:rFonts w:ascii="Arial" w:hAnsi="Arial" w:cs="Arial"/>
        </w:rPr>
        <w:t> </w:t>
      </w:r>
      <w:r w:rsidR="009A69FB">
        <w:rPr>
          <w:rStyle w:val="FootnoteReference"/>
          <w:rFonts w:ascii="Arial" w:hAnsi="Arial" w:cs="Arial"/>
        </w:rPr>
        <w:footnoteReference w:id="147"/>
      </w:r>
    </w:p>
    <w:p w14:paraId="0F7FF35F" w14:textId="510719AB" w:rsidR="00850C41" w:rsidRPr="00720AFF" w:rsidRDefault="00850C41" w:rsidP="009E4076">
      <w:pPr>
        <w:jc w:val="both"/>
        <w:rPr>
          <w:rFonts w:ascii="Arial" w:hAnsi="Arial" w:cs="Arial"/>
        </w:rPr>
      </w:pPr>
      <w:r w:rsidRPr="00850C41">
        <w:rPr>
          <w:rFonts w:ascii="Arial" w:hAnsi="Arial" w:cs="Arial"/>
        </w:rPr>
        <w:t>These are the key figures and events most directly named in the provided sources on Roman-imperial persecution of Christians.</w:t>
      </w:r>
    </w:p>
    <w:p w14:paraId="393142A7" w14:textId="569E6D92" w:rsidR="00B40961" w:rsidRPr="00720AFF" w:rsidRDefault="007430D4" w:rsidP="00B40961">
      <w:pPr>
        <w:spacing w:before="100" w:beforeAutospacing="1" w:after="100" w:afterAutospacing="1" w:line="240" w:lineRule="auto"/>
        <w:outlineLvl w:val="2"/>
        <w:rPr>
          <w:rFonts w:ascii="Arial" w:eastAsia="Times New Roman" w:hAnsi="Arial" w:cs="Arial"/>
          <w:b/>
          <w:bCs/>
          <w:kern w:val="0"/>
          <w:sz w:val="27"/>
          <w:szCs w:val="27"/>
          <w14:ligatures w14:val="none"/>
        </w:rPr>
      </w:pPr>
      <w:r>
        <w:rPr>
          <w:rFonts w:ascii="Arial" w:eastAsia="Times New Roman" w:hAnsi="Arial" w:cs="Arial"/>
          <w:b/>
          <w:bCs/>
          <w:kern w:val="0"/>
          <w:sz w:val="27"/>
          <w:szCs w:val="27"/>
          <w14:ligatures w14:val="none"/>
        </w:rPr>
        <w:t>I</w:t>
      </w:r>
      <w:r w:rsidR="00B40961" w:rsidRPr="00720AFF">
        <w:rPr>
          <w:rFonts w:ascii="Arial" w:eastAsia="Times New Roman" w:hAnsi="Arial" w:cs="Arial"/>
          <w:b/>
          <w:bCs/>
          <w:kern w:val="0"/>
          <w:sz w:val="27"/>
          <w:szCs w:val="27"/>
          <w14:ligatures w14:val="none"/>
        </w:rPr>
        <w:t>. Nero and the Great Fire of Rome (64 AD) – The First Major Persecution and Scapegoating</w:t>
      </w:r>
    </w:p>
    <w:p w14:paraId="31D6C813" w14:textId="77777777" w:rsidR="00B40961" w:rsidRPr="00720AFF" w:rsidRDefault="00B40961" w:rsidP="00B40961">
      <w:pPr>
        <w:spacing w:before="100" w:beforeAutospacing="1" w:after="100" w:afterAutospacing="1" w:line="240" w:lineRule="auto"/>
        <w:rPr>
          <w:rFonts w:ascii="Arial" w:eastAsia="Times New Roman" w:hAnsi="Arial" w:cs="Arial"/>
          <w:kern w:val="0"/>
          <w14:ligatures w14:val="none"/>
        </w:rPr>
      </w:pPr>
      <w:r w:rsidRPr="00720AFF">
        <w:rPr>
          <w:rFonts w:ascii="Arial" w:eastAsia="Times New Roman" w:hAnsi="Arial" w:cs="Arial"/>
          <w:b/>
          <w:bCs/>
          <w:kern w:val="0"/>
          <w14:ligatures w14:val="none"/>
        </w:rPr>
        <w:t>Pre-Fire Context</w:t>
      </w:r>
      <w:r w:rsidRPr="00720AFF">
        <w:rPr>
          <w:rFonts w:ascii="Arial" w:eastAsia="Times New Roman" w:hAnsi="Arial" w:cs="Arial"/>
          <w:kern w:val="0"/>
          <w14:ligatures w14:val="none"/>
        </w:rPr>
        <w:t xml:space="preserve">: Early Christians were often viewed by Romans as a Jewish sect. Judaism held </w:t>
      </w:r>
      <w:r w:rsidRPr="00720AFF">
        <w:rPr>
          <w:rFonts w:ascii="Arial" w:eastAsia="Times New Roman" w:hAnsi="Arial" w:cs="Arial"/>
          <w:i/>
          <w:iCs/>
          <w:kern w:val="0"/>
          <w14:ligatures w14:val="none"/>
        </w:rPr>
        <w:t>religio licita</w:t>
      </w:r>
      <w:r w:rsidRPr="00720AFF">
        <w:rPr>
          <w:rFonts w:ascii="Arial" w:eastAsia="Times New Roman" w:hAnsi="Arial" w:cs="Arial"/>
          <w:kern w:val="0"/>
          <w14:ligatures w14:val="none"/>
        </w:rPr>
        <w:t xml:space="preserve"> status due to its antiquity, exempting Jews from the imperial cult. After the Council of Jerusalem (~50 AD) and the spread to Gentiles, Christianity diverged, appearing secretive and subversive. Romans distrusted their pre-dawn </w:t>
      </w:r>
      <w:r w:rsidRPr="00720AFF">
        <w:rPr>
          <w:rFonts w:ascii="Arial" w:eastAsia="Times New Roman" w:hAnsi="Arial" w:cs="Arial"/>
          <w:kern w:val="0"/>
          <w14:ligatures w14:val="none"/>
        </w:rPr>
        <w:lastRenderedPageBreak/>
        <w:t xml:space="preserve">meetings, Eucharistic language (misunderstood as cannibalism), refusal to honor the emperor's </w:t>
      </w:r>
      <w:r w:rsidRPr="00720AFF">
        <w:rPr>
          <w:rFonts w:ascii="Arial" w:eastAsia="Times New Roman" w:hAnsi="Arial" w:cs="Arial"/>
          <w:i/>
          <w:iCs/>
          <w:kern w:val="0"/>
          <w14:ligatures w14:val="none"/>
        </w:rPr>
        <w:t>genius</w:t>
      </w:r>
      <w:r w:rsidRPr="00720AFF">
        <w:rPr>
          <w:rFonts w:ascii="Arial" w:eastAsia="Times New Roman" w:hAnsi="Arial" w:cs="Arial"/>
          <w:kern w:val="0"/>
          <w14:ligatures w14:val="none"/>
        </w:rPr>
        <w:t>, and perceived "hatred of the human race" (</w:t>
      </w:r>
      <w:r w:rsidRPr="00720AFF">
        <w:rPr>
          <w:rFonts w:ascii="Arial" w:eastAsia="Times New Roman" w:hAnsi="Arial" w:cs="Arial"/>
          <w:i/>
          <w:iCs/>
          <w:kern w:val="0"/>
          <w14:ligatures w14:val="none"/>
        </w:rPr>
        <w:t>odium humani generis</w:t>
      </w:r>
      <w:r w:rsidRPr="00720AFF">
        <w:rPr>
          <w:rFonts w:ascii="Arial" w:eastAsia="Times New Roman" w:hAnsi="Arial" w:cs="Arial"/>
          <w:kern w:val="0"/>
          <w14:ligatures w14:val="none"/>
        </w:rPr>
        <w:t>).</w:t>
      </w:r>
    </w:p>
    <w:p w14:paraId="17C65EB7" w14:textId="77777777" w:rsidR="00B40961" w:rsidRPr="00720AFF" w:rsidRDefault="00B40961" w:rsidP="009D07DE">
      <w:p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b/>
          <w:bCs/>
          <w:kern w:val="0"/>
          <w14:ligatures w14:val="none"/>
        </w:rPr>
        <w:t>The Fire and Crisis</w:t>
      </w:r>
      <w:r w:rsidRPr="00720AFF">
        <w:rPr>
          <w:rFonts w:ascii="Arial" w:eastAsia="Times New Roman" w:hAnsi="Arial" w:cs="Arial"/>
          <w:kern w:val="0"/>
          <w14:ligatures w14:val="none"/>
        </w:rPr>
        <w:t xml:space="preserve">: In July 64 AD, a massive fire destroyed large parts of Rome (10 of 14 districts) over six days and seven nights. Nero was in Antium but returned to fund relief from his own resources, opening his gardens and public buildings. Rumors accused him of arson to build the </w:t>
      </w:r>
      <w:r w:rsidRPr="00720AFF">
        <w:rPr>
          <w:rFonts w:ascii="Arial" w:eastAsia="Times New Roman" w:hAnsi="Arial" w:cs="Arial"/>
          <w:i/>
          <w:iCs/>
          <w:kern w:val="0"/>
          <w14:ligatures w14:val="none"/>
        </w:rPr>
        <w:t>Domus Aurea</w:t>
      </w:r>
      <w:r w:rsidRPr="00720AFF">
        <w:rPr>
          <w:rFonts w:ascii="Arial" w:eastAsia="Times New Roman" w:hAnsi="Arial" w:cs="Arial"/>
          <w:kern w:val="0"/>
          <w14:ligatures w14:val="none"/>
        </w:rPr>
        <w:t xml:space="preserve"> (Golden House), featuring a colossal Nero statue and lakes. Suetonius claimed Nero sang of Troy's fall while watching (likely embellished); Tacitus notes the persistent rumors.</w:t>
      </w:r>
    </w:p>
    <w:p w14:paraId="302C55D8" w14:textId="77777777" w:rsidR="00B40961" w:rsidRPr="00720AFF" w:rsidRDefault="00B40961" w:rsidP="009D07DE">
      <w:p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b/>
          <w:bCs/>
          <w:kern w:val="0"/>
          <w14:ligatures w14:val="none"/>
        </w:rPr>
        <w:t>The Persecution</w:t>
      </w:r>
      <w:r w:rsidRPr="00720AFF">
        <w:rPr>
          <w:rFonts w:ascii="Arial" w:eastAsia="Times New Roman" w:hAnsi="Arial" w:cs="Arial"/>
          <w:kern w:val="0"/>
          <w14:ligatures w14:val="none"/>
        </w:rPr>
        <w:t>: To deflect blame, Nero targeted Christians, a small, unpopular group. Tacitus (</w:t>
      </w:r>
      <w:r w:rsidRPr="00720AFF">
        <w:rPr>
          <w:rFonts w:ascii="Arial" w:eastAsia="Times New Roman" w:hAnsi="Arial" w:cs="Arial"/>
          <w:i/>
          <w:iCs/>
          <w:kern w:val="0"/>
          <w14:ligatures w14:val="none"/>
        </w:rPr>
        <w:t>Annals</w:t>
      </w:r>
      <w:r w:rsidRPr="00720AFF">
        <w:rPr>
          <w:rFonts w:ascii="Arial" w:eastAsia="Times New Roman" w:hAnsi="Arial" w:cs="Arial"/>
          <w:kern w:val="0"/>
          <w14:ligatures w14:val="none"/>
        </w:rPr>
        <w:t xml:space="preserve"> 15.44) is the key source: Nero inflicted "exquisite tortures." Executions became public spectacles in his gardens on Vatican Hill:</w:t>
      </w:r>
    </w:p>
    <w:p w14:paraId="2FE5FE43" w14:textId="77777777" w:rsidR="00B40961" w:rsidRPr="00720AFF" w:rsidRDefault="00B40961" w:rsidP="009D07DE">
      <w:pPr>
        <w:numPr>
          <w:ilvl w:val="0"/>
          <w:numId w:val="25"/>
        </w:num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b/>
          <w:bCs/>
          <w:kern w:val="0"/>
          <w14:ligatures w14:val="none"/>
        </w:rPr>
        <w:t>Damnatio ad bestias</w:t>
      </w:r>
      <w:r w:rsidRPr="00720AFF">
        <w:rPr>
          <w:rFonts w:ascii="Arial" w:eastAsia="Times New Roman" w:hAnsi="Arial" w:cs="Arial"/>
          <w:kern w:val="0"/>
          <w14:ligatures w14:val="none"/>
        </w:rPr>
        <w:t>: Victims sewn into animal skins and torn by dogs.</w:t>
      </w:r>
    </w:p>
    <w:p w14:paraId="25580C0F" w14:textId="77777777" w:rsidR="00B40961" w:rsidRPr="00720AFF" w:rsidRDefault="00B40961" w:rsidP="009D07DE">
      <w:pPr>
        <w:numPr>
          <w:ilvl w:val="0"/>
          <w:numId w:val="25"/>
        </w:num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b/>
          <w:bCs/>
          <w:kern w:val="0"/>
          <w14:ligatures w14:val="none"/>
        </w:rPr>
        <w:t>Crucifixion and burning</w:t>
      </w:r>
      <w:r w:rsidRPr="00720AFF">
        <w:rPr>
          <w:rFonts w:ascii="Arial" w:eastAsia="Times New Roman" w:hAnsi="Arial" w:cs="Arial"/>
          <w:kern w:val="0"/>
          <w14:ligatures w14:val="none"/>
        </w:rPr>
        <w:t>: Nailed to crosses/stakes, covered in pitch, and ignited as "human torches" at night. Nero, dressed as a charioteer, mingled with spectators.</w:t>
      </w:r>
    </w:p>
    <w:p w14:paraId="3DD36C5F" w14:textId="77777777" w:rsidR="00B40961" w:rsidRPr="00720AFF" w:rsidRDefault="00B40961" w:rsidP="009D07DE">
      <w:p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kern w:val="0"/>
          <w14:ligatures w14:val="none"/>
        </w:rPr>
        <w:t>This was likely localized to Rome and tied to arson charges plus general suspicions, though Tacitus suggests pity for the victims among some Romans. Tradition holds that Apostles Peter (crucified upside-down) and Paul (beheaded as a citizen) died around this time.</w:t>
      </w:r>
    </w:p>
    <w:p w14:paraId="72F158F1" w14:textId="77777777" w:rsidR="00B40961" w:rsidRPr="00720AFF" w:rsidRDefault="00B40961" w:rsidP="009D07DE">
      <w:p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b/>
          <w:bCs/>
          <w:kern w:val="0"/>
          <w14:ligatures w14:val="none"/>
        </w:rPr>
        <w:t>Significance</w:t>
      </w:r>
      <w:r w:rsidRPr="00720AFF">
        <w:rPr>
          <w:rFonts w:ascii="Arial" w:eastAsia="Times New Roman" w:hAnsi="Arial" w:cs="Arial"/>
          <w:kern w:val="0"/>
          <w14:ligatures w14:val="none"/>
        </w:rPr>
        <w:t>: It set a precedent that "being Christian" (</w:t>
      </w:r>
      <w:r w:rsidRPr="00720AFF">
        <w:rPr>
          <w:rFonts w:ascii="Arial" w:eastAsia="Times New Roman" w:hAnsi="Arial" w:cs="Arial"/>
          <w:i/>
          <w:iCs/>
          <w:kern w:val="0"/>
          <w14:ligatures w14:val="none"/>
        </w:rPr>
        <w:t>nomen ipsum</w:t>
      </w:r>
      <w:r w:rsidRPr="00720AFF">
        <w:rPr>
          <w:rFonts w:ascii="Arial" w:eastAsia="Times New Roman" w:hAnsi="Arial" w:cs="Arial"/>
          <w:kern w:val="0"/>
          <w14:ligatures w14:val="none"/>
        </w:rPr>
        <w:t xml:space="preserve">) could be treated as a capital offense, detaching Christianity from Judaism's protections. It was extrajudicial but established </w:t>
      </w:r>
      <w:r w:rsidRPr="00720AFF">
        <w:rPr>
          <w:rFonts w:ascii="Arial" w:eastAsia="Times New Roman" w:hAnsi="Arial" w:cs="Arial"/>
          <w:i/>
          <w:iCs/>
          <w:kern w:val="0"/>
          <w14:ligatures w14:val="none"/>
        </w:rPr>
        <w:t>odium humani generis</w:t>
      </w:r>
      <w:r w:rsidRPr="00720AFF">
        <w:rPr>
          <w:rFonts w:ascii="Arial" w:eastAsia="Times New Roman" w:hAnsi="Arial" w:cs="Arial"/>
          <w:kern w:val="0"/>
          <w14:ligatures w14:val="none"/>
        </w:rPr>
        <w:t xml:space="preserve"> as a charge implying subversion.</w:t>
      </w:r>
    </w:p>
    <w:p w14:paraId="2FEE0CFD" w14:textId="4A52E866" w:rsidR="00B40961" w:rsidRPr="00720AFF" w:rsidRDefault="007430D4" w:rsidP="009D07DE">
      <w:pPr>
        <w:spacing w:before="100" w:beforeAutospacing="1" w:after="100" w:afterAutospacing="1" w:line="240" w:lineRule="auto"/>
        <w:jc w:val="both"/>
        <w:outlineLvl w:val="2"/>
        <w:rPr>
          <w:rFonts w:ascii="Arial" w:eastAsia="Times New Roman" w:hAnsi="Arial" w:cs="Arial"/>
          <w:b/>
          <w:bCs/>
          <w:kern w:val="0"/>
          <w:sz w:val="27"/>
          <w:szCs w:val="27"/>
          <w14:ligatures w14:val="none"/>
        </w:rPr>
      </w:pPr>
      <w:r>
        <w:rPr>
          <w:rFonts w:ascii="Arial" w:eastAsia="Times New Roman" w:hAnsi="Arial" w:cs="Arial"/>
          <w:b/>
          <w:bCs/>
          <w:kern w:val="0"/>
          <w:sz w:val="27"/>
          <w:szCs w:val="27"/>
          <w14:ligatures w14:val="none"/>
        </w:rPr>
        <w:t>II</w:t>
      </w:r>
      <w:r w:rsidR="00B40961" w:rsidRPr="00720AFF">
        <w:rPr>
          <w:rFonts w:ascii="Arial" w:eastAsia="Times New Roman" w:hAnsi="Arial" w:cs="Arial"/>
          <w:b/>
          <w:bCs/>
          <w:kern w:val="0"/>
          <w:sz w:val="27"/>
          <w:szCs w:val="27"/>
          <w14:ligatures w14:val="none"/>
        </w:rPr>
        <w:t>. Domitian (81–96 AD) – Autocracy, the Imperial Cult, and Charges of Atheism</w:t>
      </w:r>
    </w:p>
    <w:p w14:paraId="5A750E11" w14:textId="77777777" w:rsidR="00B40961" w:rsidRPr="00720AFF" w:rsidRDefault="00B40961" w:rsidP="009D07DE">
      <w:p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b/>
          <w:bCs/>
          <w:kern w:val="0"/>
          <w14:ligatures w14:val="none"/>
        </w:rPr>
        <w:t>Shift to Divine Autocracy</w:t>
      </w:r>
      <w:r w:rsidRPr="00720AFF">
        <w:rPr>
          <w:rFonts w:ascii="Arial" w:eastAsia="Times New Roman" w:hAnsi="Arial" w:cs="Arial"/>
          <w:kern w:val="0"/>
          <w14:ligatures w14:val="none"/>
        </w:rPr>
        <w:t xml:space="preserve">: Domitian demanded the title </w:t>
      </w:r>
      <w:r w:rsidRPr="00720AFF">
        <w:rPr>
          <w:rFonts w:ascii="Arial" w:eastAsia="Times New Roman" w:hAnsi="Arial" w:cs="Arial"/>
          <w:i/>
          <w:iCs/>
          <w:kern w:val="0"/>
          <w14:ligatures w14:val="none"/>
        </w:rPr>
        <w:t>Dominus et Deus</w:t>
      </w:r>
      <w:r w:rsidRPr="00720AFF">
        <w:rPr>
          <w:rFonts w:ascii="Arial" w:eastAsia="Times New Roman" w:hAnsi="Arial" w:cs="Arial"/>
          <w:kern w:val="0"/>
          <w14:ligatures w14:val="none"/>
        </w:rPr>
        <w:t xml:space="preserve"> ("Lord and God"), moving away from the </w:t>
      </w:r>
      <w:r w:rsidRPr="00720AFF">
        <w:rPr>
          <w:rFonts w:ascii="Arial" w:eastAsia="Times New Roman" w:hAnsi="Arial" w:cs="Arial"/>
          <w:i/>
          <w:iCs/>
          <w:kern w:val="0"/>
          <w14:ligatures w14:val="none"/>
        </w:rPr>
        <w:t>princeps</w:t>
      </w:r>
      <w:r w:rsidRPr="00720AFF">
        <w:rPr>
          <w:rFonts w:ascii="Arial" w:eastAsia="Times New Roman" w:hAnsi="Arial" w:cs="Arial"/>
          <w:kern w:val="0"/>
          <w14:ligatures w14:val="none"/>
        </w:rPr>
        <w:t xml:space="preserve"> ideal toward overt divinity. This clashed with Christian refusal to participate in sacrifices or the imperial cult. The Book of Revelation (likely from this era) symbolizes Rome as "Babylon" and the emperor as the "Beast."</w:t>
      </w:r>
    </w:p>
    <w:p w14:paraId="57A978F1" w14:textId="77777777" w:rsidR="00B40961" w:rsidRPr="00720AFF" w:rsidRDefault="00B40961" w:rsidP="009D07DE">
      <w:p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b/>
          <w:bCs/>
          <w:kern w:val="0"/>
          <w14:ligatures w14:val="none"/>
        </w:rPr>
        <w:t>Nature of Persecution</w:t>
      </w:r>
      <w:r w:rsidRPr="00720AFF">
        <w:rPr>
          <w:rFonts w:ascii="Arial" w:eastAsia="Times New Roman" w:hAnsi="Arial" w:cs="Arial"/>
          <w:kern w:val="0"/>
          <w14:ligatures w14:val="none"/>
        </w:rPr>
        <w:t xml:space="preserve">: Focused more on elites than the masses. Dio Cassius records the execution of Domitian's cousin, consul Flavius Clemens, for "atheism" and "Jewish ways," with his wife Flavia Domitilla exiled. "Atheism" meant failing to honor Roman gods, endangering </w:t>
      </w:r>
      <w:r w:rsidRPr="00720AFF">
        <w:rPr>
          <w:rFonts w:ascii="Arial" w:eastAsia="Times New Roman" w:hAnsi="Arial" w:cs="Arial"/>
          <w:i/>
          <w:iCs/>
          <w:kern w:val="0"/>
          <w14:ligatures w14:val="none"/>
        </w:rPr>
        <w:t>pax deorum</w:t>
      </w:r>
      <w:r w:rsidRPr="00720AFF">
        <w:rPr>
          <w:rFonts w:ascii="Arial" w:eastAsia="Times New Roman" w:hAnsi="Arial" w:cs="Arial"/>
          <w:kern w:val="0"/>
          <w14:ligatures w14:val="none"/>
        </w:rPr>
        <w:t xml:space="preserve"> (peace with the gods). Christians' refusal risked divine wrath on the state.</w:t>
      </w:r>
    </w:p>
    <w:p w14:paraId="1B919C6E" w14:textId="77777777" w:rsidR="00B40961" w:rsidRPr="00720AFF" w:rsidRDefault="00B40961" w:rsidP="009D07DE">
      <w:p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kern w:val="0"/>
          <w14:ligatures w14:val="none"/>
        </w:rPr>
        <w:t xml:space="preserve">Persecution was not empire-wide systematic hunts but targeted via denunciations, especially among senators suspected of disloyalty. It was brief; Domitian's assassination in 96 AD led the Senate to damn his memory and rescind measures. Christian writers like </w:t>
      </w:r>
      <w:r w:rsidRPr="00720AFF">
        <w:rPr>
          <w:rFonts w:ascii="Arial" w:eastAsia="Times New Roman" w:hAnsi="Arial" w:cs="Arial"/>
          <w:kern w:val="0"/>
          <w14:ligatures w14:val="none"/>
        </w:rPr>
        <w:lastRenderedPageBreak/>
        <w:t>Tertullian later referenced blame for disasters ("Christians to the lions!"), but Domitian's actions were politically motivated paranoia.</w:t>
      </w:r>
    </w:p>
    <w:p w14:paraId="3C2AEA7F" w14:textId="77777777" w:rsidR="00B40961" w:rsidRPr="00720AFF" w:rsidRDefault="00B40961" w:rsidP="009D07DE">
      <w:p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b/>
          <w:bCs/>
          <w:kern w:val="0"/>
          <w14:ligatures w14:val="none"/>
        </w:rPr>
        <w:t>Nuance</w:t>
      </w:r>
      <w:r w:rsidRPr="00720AFF">
        <w:rPr>
          <w:rFonts w:ascii="Arial" w:eastAsia="Times New Roman" w:hAnsi="Arial" w:cs="Arial"/>
          <w:kern w:val="0"/>
          <w14:ligatures w14:val="none"/>
        </w:rPr>
        <w:t>: Evidence for broad anti-Christian policy is debated; it overlapped with Jewish tax enforcement and elite purges.</w:t>
      </w:r>
    </w:p>
    <w:p w14:paraId="5572EF5D" w14:textId="0EC46440" w:rsidR="00B40961" w:rsidRPr="00720AFF" w:rsidRDefault="007430D4" w:rsidP="009D07DE">
      <w:pPr>
        <w:spacing w:before="100" w:beforeAutospacing="1" w:after="100" w:afterAutospacing="1" w:line="240" w:lineRule="auto"/>
        <w:jc w:val="both"/>
        <w:outlineLvl w:val="2"/>
        <w:rPr>
          <w:rFonts w:ascii="Arial" w:eastAsia="Times New Roman" w:hAnsi="Arial" w:cs="Arial"/>
          <w:b/>
          <w:bCs/>
          <w:kern w:val="0"/>
          <w:sz w:val="27"/>
          <w:szCs w:val="27"/>
          <w14:ligatures w14:val="none"/>
        </w:rPr>
      </w:pPr>
      <w:r>
        <w:rPr>
          <w:rFonts w:ascii="Arial" w:eastAsia="Times New Roman" w:hAnsi="Arial" w:cs="Arial"/>
          <w:b/>
          <w:bCs/>
          <w:kern w:val="0"/>
          <w:sz w:val="27"/>
          <w:szCs w:val="27"/>
          <w14:ligatures w14:val="none"/>
        </w:rPr>
        <w:t>III</w:t>
      </w:r>
      <w:r w:rsidR="00B40961" w:rsidRPr="00720AFF">
        <w:rPr>
          <w:rFonts w:ascii="Arial" w:eastAsia="Times New Roman" w:hAnsi="Arial" w:cs="Arial"/>
          <w:b/>
          <w:bCs/>
          <w:kern w:val="0"/>
          <w:sz w:val="27"/>
          <w:szCs w:val="27"/>
          <w14:ligatures w14:val="none"/>
        </w:rPr>
        <w:t>. Trajanic Policy (c. 112 AD) – Pragmatic "Don't Ask, Don't Tell"</w:t>
      </w:r>
    </w:p>
    <w:p w14:paraId="3555ABD6" w14:textId="77777777" w:rsidR="00B40961" w:rsidRPr="00720AFF" w:rsidRDefault="00B40961" w:rsidP="009D07DE">
      <w:p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b/>
          <w:bCs/>
          <w:kern w:val="0"/>
          <w14:ligatures w14:val="none"/>
        </w:rPr>
        <w:t>Pliny-Trajan Correspondence</w:t>
      </w:r>
      <w:r w:rsidRPr="00720AFF">
        <w:rPr>
          <w:rFonts w:ascii="Arial" w:eastAsia="Times New Roman" w:hAnsi="Arial" w:cs="Arial"/>
          <w:kern w:val="0"/>
          <w14:ligatures w14:val="none"/>
        </w:rPr>
        <w:t xml:space="preserve">: Pliny the Younger, governor of Bithynia-Pontus, faced local denunciations. In </w:t>
      </w:r>
      <w:r w:rsidRPr="00720AFF">
        <w:rPr>
          <w:rFonts w:ascii="Arial" w:eastAsia="Times New Roman" w:hAnsi="Arial" w:cs="Arial"/>
          <w:i/>
          <w:iCs/>
          <w:kern w:val="0"/>
          <w14:ligatures w14:val="none"/>
        </w:rPr>
        <w:t>Epistles</w:t>
      </w:r>
      <w:r w:rsidRPr="00720AFF">
        <w:rPr>
          <w:rFonts w:ascii="Arial" w:eastAsia="Times New Roman" w:hAnsi="Arial" w:cs="Arial"/>
          <w:kern w:val="0"/>
          <w14:ligatures w14:val="none"/>
        </w:rPr>
        <w:t xml:space="preserve"> 10.96, he described interrogating Christians: they met before dawn, sang hymns to Christ, took oaths against crimes, and shared a meal. He executed refusers but sought guidance.</w:t>
      </w:r>
    </w:p>
    <w:p w14:paraId="32ADFD8B" w14:textId="77777777" w:rsidR="00B40961" w:rsidRPr="00720AFF" w:rsidRDefault="00B40961" w:rsidP="009D07DE">
      <w:p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b/>
          <w:bCs/>
          <w:kern w:val="0"/>
          <w14:ligatures w14:val="none"/>
        </w:rPr>
        <w:t>Trajan's Reply</w:t>
      </w:r>
      <w:r w:rsidRPr="00720AFF">
        <w:rPr>
          <w:rFonts w:ascii="Arial" w:eastAsia="Times New Roman" w:hAnsi="Arial" w:cs="Arial"/>
          <w:kern w:val="0"/>
          <w14:ligatures w14:val="none"/>
        </w:rPr>
        <w:t xml:space="preserve"> (</w:t>
      </w:r>
      <w:r w:rsidRPr="00720AFF">
        <w:rPr>
          <w:rFonts w:ascii="Arial" w:eastAsia="Times New Roman" w:hAnsi="Arial" w:cs="Arial"/>
          <w:i/>
          <w:iCs/>
          <w:kern w:val="0"/>
          <w14:ligatures w14:val="none"/>
        </w:rPr>
        <w:t>Epistles</w:t>
      </w:r>
      <w:r w:rsidRPr="00720AFF">
        <w:rPr>
          <w:rFonts w:ascii="Arial" w:eastAsia="Times New Roman" w:hAnsi="Arial" w:cs="Arial"/>
          <w:kern w:val="0"/>
          <w14:ligatures w14:val="none"/>
        </w:rPr>
        <w:t xml:space="preserve"> 10.97): Established a moderate framework:</w:t>
      </w:r>
    </w:p>
    <w:p w14:paraId="57E49E4D" w14:textId="77777777" w:rsidR="00B40961" w:rsidRPr="00720AFF" w:rsidRDefault="00B40961" w:rsidP="009D07DE">
      <w:pPr>
        <w:numPr>
          <w:ilvl w:val="0"/>
          <w:numId w:val="26"/>
        </w:num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kern w:val="0"/>
          <w14:ligatures w14:val="none"/>
        </w:rPr>
        <w:t>No proactive searches (</w:t>
      </w:r>
      <w:r w:rsidRPr="00720AFF">
        <w:rPr>
          <w:rFonts w:ascii="Arial" w:eastAsia="Times New Roman" w:hAnsi="Arial" w:cs="Arial"/>
          <w:i/>
          <w:iCs/>
          <w:kern w:val="0"/>
          <w14:ligatures w14:val="none"/>
        </w:rPr>
        <w:t>conquirendi non sunt</w:t>
      </w:r>
      <w:r w:rsidRPr="00720AFF">
        <w:rPr>
          <w:rFonts w:ascii="Arial" w:eastAsia="Times New Roman" w:hAnsi="Arial" w:cs="Arial"/>
          <w:kern w:val="0"/>
          <w14:ligatures w14:val="none"/>
        </w:rPr>
        <w:t>).</w:t>
      </w:r>
    </w:p>
    <w:p w14:paraId="7899E3E2" w14:textId="77777777" w:rsidR="00B40961" w:rsidRPr="00720AFF" w:rsidRDefault="00B40961" w:rsidP="009D07DE">
      <w:pPr>
        <w:numPr>
          <w:ilvl w:val="0"/>
          <w:numId w:val="26"/>
        </w:num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kern w:val="0"/>
          <w14:ligatures w14:val="none"/>
        </w:rPr>
        <w:t>No anonymous accusations (dangerous precedent).</w:t>
      </w:r>
    </w:p>
    <w:p w14:paraId="42C8553B" w14:textId="77777777" w:rsidR="00B40961" w:rsidRPr="00720AFF" w:rsidRDefault="00B40961" w:rsidP="009D07DE">
      <w:pPr>
        <w:numPr>
          <w:ilvl w:val="0"/>
          <w:numId w:val="26"/>
        </w:num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kern w:val="0"/>
          <w14:ligatures w14:val="none"/>
        </w:rPr>
        <w:t>Offer recantation via sacrifice to gods/emperor; pardon if compliant.</w:t>
      </w:r>
    </w:p>
    <w:p w14:paraId="1A7A834A" w14:textId="77777777" w:rsidR="00B40961" w:rsidRPr="00720AFF" w:rsidRDefault="00B40961" w:rsidP="009D07DE">
      <w:pPr>
        <w:numPr>
          <w:ilvl w:val="0"/>
          <w:numId w:val="26"/>
        </w:num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kern w:val="0"/>
          <w14:ligatures w14:val="none"/>
        </w:rPr>
        <w:t xml:space="preserve">Punish persistent </w:t>
      </w:r>
      <w:r w:rsidRPr="00720AFF">
        <w:rPr>
          <w:rFonts w:ascii="Arial" w:eastAsia="Times New Roman" w:hAnsi="Arial" w:cs="Arial"/>
          <w:i/>
          <w:iCs/>
          <w:kern w:val="0"/>
          <w14:ligatures w14:val="none"/>
        </w:rPr>
        <w:t>contumacia</w:t>
      </w:r>
      <w:r w:rsidRPr="00720AFF">
        <w:rPr>
          <w:rFonts w:ascii="Arial" w:eastAsia="Times New Roman" w:hAnsi="Arial" w:cs="Arial"/>
          <w:kern w:val="0"/>
          <w14:ligatures w14:val="none"/>
        </w:rPr>
        <w:t xml:space="preserve"> (obstinacy), not belief alone.</w:t>
      </w:r>
    </w:p>
    <w:p w14:paraId="690B72F7" w14:textId="77777777" w:rsidR="00B40961" w:rsidRPr="00720AFF" w:rsidRDefault="00B40961" w:rsidP="009D07DE">
      <w:p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b/>
          <w:bCs/>
          <w:kern w:val="0"/>
          <w14:ligatures w14:val="none"/>
        </w:rPr>
        <w:t>Refinements under Hadrian and Antoninus Pius</w:t>
      </w:r>
      <w:r w:rsidRPr="00720AFF">
        <w:rPr>
          <w:rFonts w:ascii="Arial" w:eastAsia="Times New Roman" w:hAnsi="Arial" w:cs="Arial"/>
          <w:kern w:val="0"/>
          <w14:ligatures w14:val="none"/>
        </w:rPr>
        <w:t>: Hadrian emphasized lawful trials and specific crimes over mob pressure. Antoninus Pius warned against abusing Christians without due process. This created a reactive, case-by-case approach focused on public order.</w:t>
      </w:r>
    </w:p>
    <w:p w14:paraId="774659B3" w14:textId="7A26A8BC" w:rsidR="00B40961" w:rsidRPr="00720AFF" w:rsidRDefault="007430D4" w:rsidP="009D07DE">
      <w:pPr>
        <w:spacing w:before="100" w:beforeAutospacing="1" w:after="100" w:afterAutospacing="1" w:line="240" w:lineRule="auto"/>
        <w:jc w:val="both"/>
        <w:outlineLvl w:val="2"/>
        <w:rPr>
          <w:rFonts w:ascii="Arial" w:eastAsia="Times New Roman" w:hAnsi="Arial" w:cs="Arial"/>
          <w:b/>
          <w:bCs/>
          <w:kern w:val="0"/>
          <w:sz w:val="27"/>
          <w:szCs w:val="27"/>
          <w14:ligatures w14:val="none"/>
        </w:rPr>
      </w:pPr>
      <w:r>
        <w:rPr>
          <w:rFonts w:ascii="Arial" w:eastAsia="Times New Roman" w:hAnsi="Arial" w:cs="Arial"/>
          <w:b/>
          <w:bCs/>
          <w:kern w:val="0"/>
          <w:sz w:val="27"/>
          <w:szCs w:val="27"/>
          <w14:ligatures w14:val="none"/>
        </w:rPr>
        <w:t>IV</w:t>
      </w:r>
      <w:r w:rsidR="00B40961" w:rsidRPr="00720AFF">
        <w:rPr>
          <w:rFonts w:ascii="Arial" w:eastAsia="Times New Roman" w:hAnsi="Arial" w:cs="Arial"/>
          <w:b/>
          <w:bCs/>
          <w:kern w:val="0"/>
          <w:sz w:val="27"/>
          <w:szCs w:val="27"/>
          <w14:ligatures w14:val="none"/>
        </w:rPr>
        <w:t>. Marcus Aurelius (161–180 AD) – Philosophical Contempt and Crisis-Driven Mob Violence</w:t>
      </w:r>
    </w:p>
    <w:p w14:paraId="60EC1E6A" w14:textId="77777777" w:rsidR="00B40961" w:rsidRPr="00720AFF" w:rsidRDefault="00B40961" w:rsidP="009D07DE">
      <w:p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b/>
          <w:bCs/>
          <w:kern w:val="0"/>
          <w14:ligatures w14:val="none"/>
        </w:rPr>
        <w:t>Stoic Perspective</w:t>
      </w:r>
      <w:r w:rsidRPr="00720AFF">
        <w:rPr>
          <w:rFonts w:ascii="Arial" w:eastAsia="Times New Roman" w:hAnsi="Arial" w:cs="Arial"/>
          <w:kern w:val="0"/>
          <w14:ligatures w14:val="none"/>
        </w:rPr>
        <w:t xml:space="preserve">: Marcus, author of </w:t>
      </w:r>
      <w:r w:rsidRPr="00720AFF">
        <w:rPr>
          <w:rFonts w:ascii="Arial" w:eastAsia="Times New Roman" w:hAnsi="Arial" w:cs="Arial"/>
          <w:i/>
          <w:iCs/>
          <w:kern w:val="0"/>
          <w14:ligatures w14:val="none"/>
        </w:rPr>
        <w:t>Meditations</w:t>
      </w:r>
      <w:r w:rsidRPr="00720AFF">
        <w:rPr>
          <w:rFonts w:ascii="Arial" w:eastAsia="Times New Roman" w:hAnsi="Arial" w:cs="Arial"/>
          <w:kern w:val="0"/>
          <w14:ligatures w14:val="none"/>
        </w:rPr>
        <w:t xml:space="preserve">, viewed Christian "obstinacy" and eager martyrdom as irrational theater, contrasting Stoic rational endurance (see </w:t>
      </w:r>
      <w:r w:rsidRPr="00720AFF">
        <w:rPr>
          <w:rFonts w:ascii="Arial" w:eastAsia="Times New Roman" w:hAnsi="Arial" w:cs="Arial"/>
          <w:i/>
          <w:iCs/>
          <w:kern w:val="0"/>
          <w14:ligatures w14:val="none"/>
        </w:rPr>
        <w:t>Meditations</w:t>
      </w:r>
      <w:r w:rsidRPr="00720AFF">
        <w:rPr>
          <w:rFonts w:ascii="Arial" w:eastAsia="Times New Roman" w:hAnsi="Arial" w:cs="Arial"/>
          <w:kern w:val="0"/>
          <w14:ligatures w14:val="none"/>
        </w:rPr>
        <w:t xml:space="preserve"> 11.3).</w:t>
      </w:r>
    </w:p>
    <w:p w14:paraId="5D57A20C" w14:textId="77777777" w:rsidR="00B40961" w:rsidRPr="00720AFF" w:rsidRDefault="00B40961" w:rsidP="009D07DE">
      <w:p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b/>
          <w:bCs/>
          <w:kern w:val="0"/>
          <w14:ligatures w14:val="none"/>
        </w:rPr>
        <w:t>Context of Crises</w:t>
      </w:r>
      <w:r w:rsidRPr="00720AFF">
        <w:rPr>
          <w:rFonts w:ascii="Arial" w:eastAsia="Times New Roman" w:hAnsi="Arial" w:cs="Arial"/>
          <w:kern w:val="0"/>
          <w14:ligatures w14:val="none"/>
        </w:rPr>
        <w:t>: The Antonine Plague (likely smallpox) killed millions (~10% of population). Germanic invasions and Parthian wars added strain. Romans turned to traditional piety; Christians were scapegoated.</w:t>
      </w:r>
    </w:p>
    <w:p w14:paraId="05F08286" w14:textId="77777777" w:rsidR="00B40961" w:rsidRPr="00720AFF" w:rsidRDefault="00B40961" w:rsidP="009D07DE">
      <w:p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b/>
          <w:bCs/>
          <w:kern w:val="0"/>
          <w14:ligatures w14:val="none"/>
        </w:rPr>
        <w:t>Lyons Martyrdom (177 AD)</w:t>
      </w:r>
      <w:r w:rsidRPr="00720AFF">
        <w:rPr>
          <w:rFonts w:ascii="Arial" w:eastAsia="Times New Roman" w:hAnsi="Arial" w:cs="Arial"/>
          <w:kern w:val="0"/>
          <w14:ligatures w14:val="none"/>
        </w:rPr>
        <w:t>: Vividly described in a letter preserved by Eusebius (</w:t>
      </w:r>
      <w:r w:rsidRPr="00720AFF">
        <w:rPr>
          <w:rFonts w:ascii="Arial" w:eastAsia="Times New Roman" w:hAnsi="Arial" w:cs="Arial"/>
          <w:i/>
          <w:iCs/>
          <w:kern w:val="0"/>
          <w14:ligatures w14:val="none"/>
        </w:rPr>
        <w:t>Ecclesiastical History</w:t>
      </w:r>
      <w:r w:rsidRPr="00720AFF">
        <w:rPr>
          <w:rFonts w:ascii="Arial" w:eastAsia="Times New Roman" w:hAnsi="Arial" w:cs="Arial"/>
          <w:kern w:val="0"/>
          <w14:ligatures w14:val="none"/>
        </w:rPr>
        <w:t xml:space="preserve"> 5.1). Mob violence in Lugdunum (Lyons) barred Christians from markets/baths. Key figures:</w:t>
      </w:r>
    </w:p>
    <w:p w14:paraId="76CC1230" w14:textId="77777777" w:rsidR="00B40961" w:rsidRPr="00720AFF" w:rsidRDefault="00B40961" w:rsidP="009D07DE">
      <w:pPr>
        <w:numPr>
          <w:ilvl w:val="0"/>
          <w:numId w:val="27"/>
        </w:num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b/>
          <w:bCs/>
          <w:kern w:val="0"/>
          <w14:ligatures w14:val="none"/>
        </w:rPr>
        <w:t>Blandina</w:t>
      </w:r>
      <w:r w:rsidRPr="00720AFF">
        <w:rPr>
          <w:rFonts w:ascii="Arial" w:eastAsia="Times New Roman" w:hAnsi="Arial" w:cs="Arial"/>
          <w:kern w:val="0"/>
          <w14:ligatures w14:val="none"/>
        </w:rPr>
        <w:t>: A frail slave girl who endured repeated tortures (gridiron, bull, etc.) with remarkable endurance, inspiring others. She was finally killed by dagger.</w:t>
      </w:r>
    </w:p>
    <w:p w14:paraId="0DE2AE88" w14:textId="77777777" w:rsidR="00B40961" w:rsidRPr="00720AFF" w:rsidRDefault="00B40961" w:rsidP="009D07DE">
      <w:pPr>
        <w:numPr>
          <w:ilvl w:val="0"/>
          <w:numId w:val="27"/>
        </w:num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b/>
          <w:bCs/>
          <w:kern w:val="0"/>
          <w14:ligatures w14:val="none"/>
        </w:rPr>
        <w:t>Pothinus</w:t>
      </w:r>
      <w:r w:rsidRPr="00720AFF">
        <w:rPr>
          <w:rFonts w:ascii="Arial" w:eastAsia="Times New Roman" w:hAnsi="Arial" w:cs="Arial"/>
          <w:kern w:val="0"/>
          <w14:ligatures w14:val="none"/>
        </w:rPr>
        <w:t>: 90-year-old bishop, beaten and died in prison.</w:t>
      </w:r>
    </w:p>
    <w:p w14:paraId="4C4E4AE2" w14:textId="77777777" w:rsidR="00B40961" w:rsidRPr="00720AFF" w:rsidRDefault="00B40961" w:rsidP="009D07DE">
      <w:pPr>
        <w:numPr>
          <w:ilvl w:val="0"/>
          <w:numId w:val="27"/>
        </w:num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kern w:val="0"/>
          <w14:ligatures w14:val="none"/>
        </w:rPr>
        <w:t>Citizens beheaded; others to beasts. The governor eventually intervened but allowed executions to maintain order.</w:t>
      </w:r>
    </w:p>
    <w:p w14:paraId="729B91C5" w14:textId="77777777" w:rsidR="00B40961" w:rsidRPr="00720AFF" w:rsidRDefault="00B40961" w:rsidP="009D07DE">
      <w:pPr>
        <w:spacing w:before="100" w:beforeAutospacing="1" w:after="100" w:afterAutospacing="1" w:line="240" w:lineRule="auto"/>
        <w:jc w:val="both"/>
        <w:rPr>
          <w:rFonts w:ascii="Arial" w:eastAsia="Times New Roman" w:hAnsi="Arial" w:cs="Arial"/>
          <w:kern w:val="0"/>
          <w14:ligatures w14:val="none"/>
        </w:rPr>
      </w:pPr>
      <w:r w:rsidRPr="00720AFF">
        <w:rPr>
          <w:rFonts w:ascii="Arial" w:eastAsia="Times New Roman" w:hAnsi="Arial" w:cs="Arial"/>
          <w:kern w:val="0"/>
          <w14:ligatures w14:val="none"/>
        </w:rPr>
        <w:lastRenderedPageBreak/>
        <w:t>This was largely mob-driven, tolerated by authorities.</w:t>
      </w:r>
    </w:p>
    <w:p w14:paraId="55343251" w14:textId="5C83CC56" w:rsidR="00B40961" w:rsidRPr="00720AFF" w:rsidRDefault="007430D4" w:rsidP="009D07DE">
      <w:pPr>
        <w:spacing w:before="100" w:beforeAutospacing="1" w:after="100" w:afterAutospacing="1" w:line="240" w:lineRule="auto"/>
        <w:jc w:val="both"/>
        <w:outlineLvl w:val="2"/>
        <w:rPr>
          <w:rFonts w:ascii="Arial" w:eastAsia="Times New Roman" w:hAnsi="Arial" w:cs="Arial"/>
          <w:b/>
          <w:bCs/>
          <w:kern w:val="0"/>
          <w:sz w:val="27"/>
          <w:szCs w:val="27"/>
          <w14:ligatures w14:val="none"/>
        </w:rPr>
      </w:pPr>
      <w:r>
        <w:rPr>
          <w:rFonts w:ascii="Arial" w:eastAsia="Times New Roman" w:hAnsi="Arial" w:cs="Arial"/>
          <w:b/>
          <w:bCs/>
          <w:kern w:val="0"/>
          <w:sz w:val="27"/>
          <w:szCs w:val="27"/>
          <w14:ligatures w14:val="none"/>
        </w:rPr>
        <w:t>V</w:t>
      </w:r>
      <w:r w:rsidR="00B40961" w:rsidRPr="00720AFF">
        <w:rPr>
          <w:rFonts w:ascii="Arial" w:eastAsia="Times New Roman" w:hAnsi="Arial" w:cs="Arial"/>
          <w:b/>
          <w:bCs/>
          <w:kern w:val="0"/>
          <w:sz w:val="27"/>
          <w:szCs w:val="27"/>
          <w14:ligatures w14:val="none"/>
        </w:rPr>
        <w:t>. Theological and Moral Reflections on Martyrdom</w:t>
      </w:r>
    </w:p>
    <w:p w14:paraId="4E7B4217" w14:textId="77777777" w:rsidR="00B40961" w:rsidRPr="00720AFF" w:rsidRDefault="00B40961" w:rsidP="00B40961">
      <w:pPr>
        <w:spacing w:before="100" w:beforeAutospacing="1" w:after="100" w:afterAutospacing="1" w:line="240" w:lineRule="auto"/>
        <w:rPr>
          <w:rFonts w:ascii="Arial" w:eastAsia="Times New Roman" w:hAnsi="Arial" w:cs="Arial"/>
          <w:kern w:val="0"/>
          <w14:ligatures w14:val="none"/>
        </w:rPr>
      </w:pPr>
      <w:r w:rsidRPr="00720AFF">
        <w:rPr>
          <w:rFonts w:ascii="Arial" w:eastAsia="Times New Roman" w:hAnsi="Arial" w:cs="Arial"/>
          <w:b/>
          <w:bCs/>
          <w:kern w:val="0"/>
          <w14:ligatures w14:val="none"/>
        </w:rPr>
        <w:t>Voluntary Martyrdom</w:t>
      </w:r>
      <w:r w:rsidRPr="00720AFF">
        <w:rPr>
          <w:rFonts w:ascii="Arial" w:eastAsia="Times New Roman" w:hAnsi="Arial" w:cs="Arial"/>
          <w:kern w:val="0"/>
          <w14:ligatures w14:val="none"/>
        </w:rPr>
        <w:t>: Groups like Montanists sometimes sought death provocatively. Leaders like Clement of Alexandria and Cyprian condemned this as prideful suicide, distinguishing "red martyrdom" (blood) from "white martyrdom" (ascetic daily life). True martyrdom is a gift, not sought.</w:t>
      </w:r>
    </w:p>
    <w:p w14:paraId="69A33F13" w14:textId="77777777" w:rsidR="00B40961" w:rsidRPr="00720AFF" w:rsidRDefault="00B40961" w:rsidP="00B40961">
      <w:pPr>
        <w:spacing w:before="100" w:beforeAutospacing="1" w:after="100" w:afterAutospacing="1" w:line="240" w:lineRule="auto"/>
        <w:rPr>
          <w:rFonts w:ascii="Arial" w:eastAsia="Times New Roman" w:hAnsi="Arial" w:cs="Arial"/>
          <w:kern w:val="0"/>
          <w14:ligatures w14:val="none"/>
        </w:rPr>
      </w:pPr>
      <w:r w:rsidRPr="00720AFF">
        <w:rPr>
          <w:rFonts w:ascii="Arial" w:eastAsia="Times New Roman" w:hAnsi="Arial" w:cs="Arial"/>
          <w:b/>
          <w:bCs/>
          <w:kern w:val="0"/>
          <w14:ligatures w14:val="none"/>
        </w:rPr>
        <w:t>Augustine's Contribution (Donatist Controversy, 4th–5th centuries)</w:t>
      </w:r>
      <w:r w:rsidRPr="00720AFF">
        <w:rPr>
          <w:rFonts w:ascii="Arial" w:eastAsia="Times New Roman" w:hAnsi="Arial" w:cs="Arial"/>
          <w:kern w:val="0"/>
          <w14:ligatures w14:val="none"/>
        </w:rPr>
        <w:t>: Donatists claimed purity via their suffering under Diocletian, rejecting "traitors" (</w:t>
      </w:r>
      <w:r w:rsidRPr="00720AFF">
        <w:rPr>
          <w:rFonts w:ascii="Arial" w:eastAsia="Times New Roman" w:hAnsi="Arial" w:cs="Arial"/>
          <w:i/>
          <w:iCs/>
          <w:kern w:val="0"/>
          <w14:ligatures w14:val="none"/>
        </w:rPr>
        <w:t>traditores</w:t>
      </w:r>
      <w:r w:rsidRPr="00720AFF">
        <w:rPr>
          <w:rFonts w:ascii="Arial" w:eastAsia="Times New Roman" w:hAnsi="Arial" w:cs="Arial"/>
          <w:kern w:val="0"/>
          <w14:ligatures w14:val="none"/>
        </w:rPr>
        <w:t xml:space="preserve">). Augustine countered with </w:t>
      </w:r>
      <w:r w:rsidRPr="00720AFF">
        <w:rPr>
          <w:rFonts w:ascii="Arial" w:eastAsia="Times New Roman" w:hAnsi="Arial" w:cs="Arial"/>
          <w:i/>
          <w:iCs/>
          <w:kern w:val="0"/>
          <w14:ligatures w14:val="none"/>
        </w:rPr>
        <w:t>Martyrem facit causa, non poena</w:t>
      </w:r>
      <w:r w:rsidRPr="00720AFF">
        <w:rPr>
          <w:rFonts w:ascii="Arial" w:eastAsia="Times New Roman" w:hAnsi="Arial" w:cs="Arial"/>
          <w:kern w:val="0"/>
          <w14:ligatures w14:val="none"/>
        </w:rPr>
        <w:t xml:space="preserve"> ("The cause, not the punishment, makes the martyr"). Suffering alone does not sanctify—it must be for truth, Church unity, and without hatred. This prevented glorifying suffering for superiority and aided the Church's transition to majority status.</w:t>
      </w:r>
    </w:p>
    <w:p w14:paraId="36B7AA1F" w14:textId="77777777" w:rsidR="00B40961" w:rsidRPr="00720AFF" w:rsidRDefault="00B40961" w:rsidP="00B40961">
      <w:pPr>
        <w:spacing w:before="100" w:beforeAutospacing="1" w:after="100" w:afterAutospacing="1" w:line="240" w:lineRule="auto"/>
        <w:outlineLvl w:val="2"/>
        <w:rPr>
          <w:rFonts w:ascii="Arial" w:eastAsia="Times New Roman" w:hAnsi="Arial" w:cs="Arial"/>
          <w:b/>
          <w:bCs/>
          <w:kern w:val="0"/>
          <w:sz w:val="27"/>
          <w:szCs w:val="27"/>
          <w14:ligatures w14:val="none"/>
        </w:rPr>
      </w:pPr>
      <w:r w:rsidRPr="00720AFF">
        <w:rPr>
          <w:rFonts w:ascii="Arial" w:eastAsia="Times New Roman" w:hAnsi="Arial" w:cs="Arial"/>
          <w:b/>
          <w:bCs/>
          <w:kern w:val="0"/>
          <w:sz w:val="27"/>
          <w:szCs w:val="27"/>
          <w14:ligatures w14:val="none"/>
        </w:rPr>
        <w:t>Expanded Summary Table of Imperial Dynamics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1780"/>
        <w:gridCol w:w="1815"/>
        <w:gridCol w:w="1635"/>
        <w:gridCol w:w="2105"/>
      </w:tblGrid>
      <w:tr w:rsidR="00B40961" w:rsidRPr="00720AFF" w14:paraId="272D31D0" w14:textId="77777777" w:rsidTr="00440E29">
        <w:trPr>
          <w:tblHeader/>
          <w:tblCellSpacing w:w="15" w:type="dxa"/>
        </w:trPr>
        <w:tc>
          <w:tcPr>
            <w:tcW w:w="0" w:type="auto"/>
            <w:vAlign w:val="center"/>
            <w:hideMark/>
          </w:tcPr>
          <w:p w14:paraId="3F064885" w14:textId="77777777" w:rsidR="00B40961" w:rsidRPr="00720AFF" w:rsidRDefault="00B40961" w:rsidP="00B40961">
            <w:pPr>
              <w:spacing w:after="0" w:line="240" w:lineRule="auto"/>
              <w:jc w:val="center"/>
              <w:rPr>
                <w:rFonts w:ascii="Arial" w:eastAsia="Times New Roman" w:hAnsi="Arial" w:cs="Arial"/>
                <w:b/>
                <w:bCs/>
                <w:kern w:val="0"/>
                <w14:ligatures w14:val="none"/>
              </w:rPr>
            </w:pPr>
            <w:r w:rsidRPr="00720AFF">
              <w:rPr>
                <w:rFonts w:ascii="Arial" w:eastAsia="Times New Roman" w:hAnsi="Arial" w:cs="Arial"/>
                <w:b/>
                <w:bCs/>
                <w:kern w:val="0"/>
                <w14:ligatures w14:val="none"/>
              </w:rPr>
              <w:t>Phase</w:t>
            </w:r>
          </w:p>
        </w:tc>
        <w:tc>
          <w:tcPr>
            <w:tcW w:w="0" w:type="auto"/>
            <w:vAlign w:val="center"/>
            <w:hideMark/>
          </w:tcPr>
          <w:p w14:paraId="6F18E750" w14:textId="77777777" w:rsidR="00B40961" w:rsidRPr="00720AFF" w:rsidRDefault="00B40961" w:rsidP="00B40961">
            <w:pPr>
              <w:spacing w:after="0" w:line="240" w:lineRule="auto"/>
              <w:jc w:val="center"/>
              <w:rPr>
                <w:rFonts w:ascii="Arial" w:eastAsia="Times New Roman" w:hAnsi="Arial" w:cs="Arial"/>
                <w:b/>
                <w:bCs/>
                <w:kern w:val="0"/>
                <w14:ligatures w14:val="none"/>
              </w:rPr>
            </w:pPr>
            <w:r w:rsidRPr="00720AFF">
              <w:rPr>
                <w:rFonts w:ascii="Arial" w:eastAsia="Times New Roman" w:hAnsi="Arial" w:cs="Arial"/>
                <w:b/>
                <w:bCs/>
                <w:kern w:val="0"/>
                <w14:ligatures w14:val="none"/>
              </w:rPr>
              <w:t>Core Mechanism</w:t>
            </w:r>
          </w:p>
        </w:tc>
        <w:tc>
          <w:tcPr>
            <w:tcW w:w="0" w:type="auto"/>
            <w:vAlign w:val="center"/>
            <w:hideMark/>
          </w:tcPr>
          <w:p w14:paraId="296ECF77" w14:textId="77777777" w:rsidR="00B40961" w:rsidRPr="00720AFF" w:rsidRDefault="00B40961" w:rsidP="00B40961">
            <w:pPr>
              <w:spacing w:after="0" w:line="240" w:lineRule="auto"/>
              <w:jc w:val="center"/>
              <w:rPr>
                <w:rFonts w:ascii="Arial" w:eastAsia="Times New Roman" w:hAnsi="Arial" w:cs="Arial"/>
                <w:b/>
                <w:bCs/>
                <w:kern w:val="0"/>
                <w14:ligatures w14:val="none"/>
              </w:rPr>
            </w:pPr>
            <w:r w:rsidRPr="00720AFF">
              <w:rPr>
                <w:rFonts w:ascii="Arial" w:eastAsia="Times New Roman" w:hAnsi="Arial" w:cs="Arial"/>
                <w:b/>
                <w:bCs/>
                <w:kern w:val="0"/>
                <w14:ligatures w14:val="none"/>
              </w:rPr>
              <w:t>Geographical Scope</w:t>
            </w:r>
          </w:p>
        </w:tc>
        <w:tc>
          <w:tcPr>
            <w:tcW w:w="0" w:type="auto"/>
            <w:vAlign w:val="center"/>
            <w:hideMark/>
          </w:tcPr>
          <w:p w14:paraId="1B19D52F" w14:textId="77777777" w:rsidR="00B40961" w:rsidRPr="00720AFF" w:rsidRDefault="00B40961" w:rsidP="00B40961">
            <w:pPr>
              <w:spacing w:after="0" w:line="240" w:lineRule="auto"/>
              <w:jc w:val="center"/>
              <w:rPr>
                <w:rFonts w:ascii="Arial" w:eastAsia="Times New Roman" w:hAnsi="Arial" w:cs="Arial"/>
                <w:b/>
                <w:bCs/>
                <w:kern w:val="0"/>
                <w14:ligatures w14:val="none"/>
              </w:rPr>
            </w:pPr>
            <w:r w:rsidRPr="00720AFF">
              <w:rPr>
                <w:rFonts w:ascii="Arial" w:eastAsia="Times New Roman" w:hAnsi="Arial" w:cs="Arial"/>
                <w:b/>
                <w:bCs/>
                <w:kern w:val="0"/>
                <w14:ligatures w14:val="none"/>
              </w:rPr>
              <w:t>Primary Imperial Goal</w:t>
            </w:r>
          </w:p>
        </w:tc>
        <w:tc>
          <w:tcPr>
            <w:tcW w:w="0" w:type="auto"/>
            <w:vAlign w:val="center"/>
            <w:hideMark/>
          </w:tcPr>
          <w:p w14:paraId="49143474" w14:textId="77777777" w:rsidR="00B40961" w:rsidRPr="00720AFF" w:rsidRDefault="00B40961" w:rsidP="00B40961">
            <w:pPr>
              <w:spacing w:after="0" w:line="240" w:lineRule="auto"/>
              <w:jc w:val="center"/>
              <w:rPr>
                <w:rFonts w:ascii="Arial" w:eastAsia="Times New Roman" w:hAnsi="Arial" w:cs="Arial"/>
                <w:b/>
                <w:bCs/>
                <w:kern w:val="0"/>
                <w14:ligatures w14:val="none"/>
              </w:rPr>
            </w:pPr>
            <w:r w:rsidRPr="00720AFF">
              <w:rPr>
                <w:rFonts w:ascii="Arial" w:eastAsia="Times New Roman" w:hAnsi="Arial" w:cs="Arial"/>
                <w:b/>
                <w:bCs/>
                <w:kern w:val="0"/>
                <w14:ligatures w14:val="none"/>
              </w:rPr>
              <w:t>Key Legal/Tactical Features</w:t>
            </w:r>
          </w:p>
        </w:tc>
      </w:tr>
      <w:tr w:rsidR="00B40961" w:rsidRPr="00720AFF" w14:paraId="37E8BC85" w14:textId="77777777" w:rsidTr="00440E29">
        <w:trPr>
          <w:tblCellSpacing w:w="15" w:type="dxa"/>
        </w:trPr>
        <w:tc>
          <w:tcPr>
            <w:tcW w:w="0" w:type="auto"/>
            <w:vAlign w:val="center"/>
            <w:hideMark/>
          </w:tcPr>
          <w:p w14:paraId="0BDCD314"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b/>
                <w:bCs/>
                <w:kern w:val="0"/>
                <w14:ligatures w14:val="none"/>
              </w:rPr>
              <w:t>Neronian (64 AD)</w:t>
            </w:r>
          </w:p>
        </w:tc>
        <w:tc>
          <w:tcPr>
            <w:tcW w:w="0" w:type="auto"/>
            <w:vAlign w:val="center"/>
            <w:hideMark/>
          </w:tcPr>
          <w:p w14:paraId="319A69ED"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Political scapegoating + spectacle</w:t>
            </w:r>
          </w:p>
        </w:tc>
        <w:tc>
          <w:tcPr>
            <w:tcW w:w="0" w:type="auto"/>
            <w:vAlign w:val="center"/>
            <w:hideMark/>
          </w:tcPr>
          <w:p w14:paraId="0BDE83C4"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Localized (Rome)</w:t>
            </w:r>
          </w:p>
        </w:tc>
        <w:tc>
          <w:tcPr>
            <w:tcW w:w="0" w:type="auto"/>
            <w:vAlign w:val="center"/>
            <w:hideMark/>
          </w:tcPr>
          <w:p w14:paraId="7271A16F"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Deflect blame for fire</w:t>
            </w:r>
          </w:p>
        </w:tc>
        <w:tc>
          <w:tcPr>
            <w:tcW w:w="0" w:type="auto"/>
            <w:vAlign w:val="center"/>
            <w:hideMark/>
          </w:tcPr>
          <w:p w14:paraId="0C4B181D"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Extrajudicial tortures; precedent for "name" as crime</w:t>
            </w:r>
          </w:p>
        </w:tc>
      </w:tr>
      <w:tr w:rsidR="00B40961" w:rsidRPr="00720AFF" w14:paraId="6990DD4B" w14:textId="77777777" w:rsidTr="00440E29">
        <w:trPr>
          <w:tblCellSpacing w:w="15" w:type="dxa"/>
        </w:trPr>
        <w:tc>
          <w:tcPr>
            <w:tcW w:w="0" w:type="auto"/>
            <w:vAlign w:val="center"/>
            <w:hideMark/>
          </w:tcPr>
          <w:p w14:paraId="769505B1"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b/>
                <w:bCs/>
                <w:kern w:val="0"/>
                <w14:ligatures w14:val="none"/>
              </w:rPr>
              <w:t>Domitian (81–96)</w:t>
            </w:r>
          </w:p>
        </w:tc>
        <w:tc>
          <w:tcPr>
            <w:tcW w:w="0" w:type="auto"/>
            <w:vAlign w:val="center"/>
            <w:hideMark/>
          </w:tcPr>
          <w:p w14:paraId="4E084D2A"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Elite purges + atheism charges</w:t>
            </w:r>
          </w:p>
        </w:tc>
        <w:tc>
          <w:tcPr>
            <w:tcW w:w="0" w:type="auto"/>
            <w:vAlign w:val="center"/>
            <w:hideMark/>
          </w:tcPr>
          <w:p w14:paraId="2F851375"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Targeted (esp. Rome/Italy)</w:t>
            </w:r>
          </w:p>
        </w:tc>
        <w:tc>
          <w:tcPr>
            <w:tcW w:w="0" w:type="auto"/>
            <w:vAlign w:val="center"/>
            <w:hideMark/>
          </w:tcPr>
          <w:p w14:paraId="1F48491F"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Consolidate autocracy &amp; imperial cult</w:t>
            </w:r>
          </w:p>
        </w:tc>
        <w:tc>
          <w:tcPr>
            <w:tcW w:w="0" w:type="auto"/>
            <w:vAlign w:val="center"/>
            <w:hideMark/>
          </w:tcPr>
          <w:p w14:paraId="3329E708"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Denunciations; focus on high-status "Jewish ways"</w:t>
            </w:r>
          </w:p>
        </w:tc>
      </w:tr>
      <w:tr w:rsidR="00B40961" w:rsidRPr="00720AFF" w14:paraId="76E4735F" w14:textId="77777777" w:rsidTr="00440E29">
        <w:trPr>
          <w:tblCellSpacing w:w="15" w:type="dxa"/>
        </w:trPr>
        <w:tc>
          <w:tcPr>
            <w:tcW w:w="0" w:type="auto"/>
            <w:vAlign w:val="center"/>
            <w:hideMark/>
          </w:tcPr>
          <w:p w14:paraId="758679B5"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b/>
                <w:bCs/>
                <w:kern w:val="0"/>
                <w14:ligatures w14:val="none"/>
              </w:rPr>
              <w:t>Trajanic (2nd cent.)</w:t>
            </w:r>
          </w:p>
        </w:tc>
        <w:tc>
          <w:tcPr>
            <w:tcW w:w="0" w:type="auto"/>
            <w:vAlign w:val="center"/>
            <w:hideMark/>
          </w:tcPr>
          <w:p w14:paraId="42F8116F"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Reactive trials, "Don't Ask, Don't Tell"</w:t>
            </w:r>
          </w:p>
        </w:tc>
        <w:tc>
          <w:tcPr>
            <w:tcW w:w="0" w:type="auto"/>
            <w:vAlign w:val="center"/>
            <w:hideMark/>
          </w:tcPr>
          <w:p w14:paraId="41C1B2C1"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Regional/case-by-case</w:t>
            </w:r>
          </w:p>
        </w:tc>
        <w:tc>
          <w:tcPr>
            <w:tcW w:w="0" w:type="auto"/>
            <w:vAlign w:val="center"/>
            <w:hideMark/>
          </w:tcPr>
          <w:p w14:paraId="3EF37160"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Public order; punish obstinacy</w:t>
            </w:r>
          </w:p>
        </w:tc>
        <w:tc>
          <w:tcPr>
            <w:tcW w:w="0" w:type="auto"/>
            <w:vAlign w:val="center"/>
            <w:hideMark/>
          </w:tcPr>
          <w:p w14:paraId="1C5152DC"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No hunts, no anonymous tips; recantation escape</w:t>
            </w:r>
          </w:p>
        </w:tc>
      </w:tr>
      <w:tr w:rsidR="00B40961" w:rsidRPr="00720AFF" w14:paraId="38F3F268" w14:textId="77777777" w:rsidTr="00440E29">
        <w:trPr>
          <w:tblCellSpacing w:w="15" w:type="dxa"/>
        </w:trPr>
        <w:tc>
          <w:tcPr>
            <w:tcW w:w="0" w:type="auto"/>
            <w:vAlign w:val="center"/>
            <w:hideMark/>
          </w:tcPr>
          <w:p w14:paraId="352AFF38"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b/>
                <w:bCs/>
                <w:kern w:val="0"/>
                <w14:ligatures w14:val="none"/>
              </w:rPr>
              <w:t>Marcus Aurelius (177 AD)</w:t>
            </w:r>
          </w:p>
        </w:tc>
        <w:tc>
          <w:tcPr>
            <w:tcW w:w="0" w:type="auto"/>
            <w:vAlign w:val="center"/>
            <w:hideMark/>
          </w:tcPr>
          <w:p w14:paraId="4D8DDCFC"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Mob pressure amid crises</w:t>
            </w:r>
          </w:p>
        </w:tc>
        <w:tc>
          <w:tcPr>
            <w:tcW w:w="0" w:type="auto"/>
            <w:vAlign w:val="center"/>
            <w:hideMark/>
          </w:tcPr>
          <w:p w14:paraId="5663A0FD"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Local (e.g., Gaul)</w:t>
            </w:r>
          </w:p>
        </w:tc>
        <w:tc>
          <w:tcPr>
            <w:tcW w:w="0" w:type="auto"/>
            <w:vAlign w:val="center"/>
            <w:hideMark/>
          </w:tcPr>
          <w:p w14:paraId="4723E3E6"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Appease gods &amp; maintain pax</w:t>
            </w:r>
          </w:p>
        </w:tc>
        <w:tc>
          <w:tcPr>
            <w:tcW w:w="0" w:type="auto"/>
            <w:vAlign w:val="center"/>
            <w:hideMark/>
          </w:tcPr>
          <w:p w14:paraId="46EACE2A"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Tolerated violence; philosophical disdain</w:t>
            </w:r>
          </w:p>
        </w:tc>
      </w:tr>
      <w:tr w:rsidR="00B40961" w:rsidRPr="00720AFF" w14:paraId="317949FD" w14:textId="77777777" w:rsidTr="00440E29">
        <w:trPr>
          <w:tblCellSpacing w:w="15" w:type="dxa"/>
        </w:trPr>
        <w:tc>
          <w:tcPr>
            <w:tcW w:w="0" w:type="auto"/>
            <w:vAlign w:val="center"/>
            <w:hideMark/>
          </w:tcPr>
          <w:p w14:paraId="01A74EC3"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b/>
                <w:bCs/>
                <w:kern w:val="0"/>
                <w14:ligatures w14:val="none"/>
              </w:rPr>
              <w:t>Decian/Valerian (3rd cent.)</w:t>
            </w:r>
          </w:p>
        </w:tc>
        <w:tc>
          <w:tcPr>
            <w:tcW w:w="0" w:type="auto"/>
            <w:vAlign w:val="center"/>
            <w:hideMark/>
          </w:tcPr>
          <w:p w14:paraId="0A852D30"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Empire-wide edicts</w:t>
            </w:r>
          </w:p>
        </w:tc>
        <w:tc>
          <w:tcPr>
            <w:tcW w:w="0" w:type="auto"/>
            <w:vAlign w:val="center"/>
            <w:hideMark/>
          </w:tcPr>
          <w:p w14:paraId="32235392"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Empire-wide</w:t>
            </w:r>
          </w:p>
        </w:tc>
        <w:tc>
          <w:tcPr>
            <w:tcW w:w="0" w:type="auto"/>
            <w:vAlign w:val="center"/>
            <w:hideMark/>
          </w:tcPr>
          <w:p w14:paraId="1049D1CF"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Religious unity &amp; pax deorum</w:t>
            </w:r>
          </w:p>
        </w:tc>
        <w:tc>
          <w:tcPr>
            <w:tcW w:w="0" w:type="auto"/>
            <w:vAlign w:val="center"/>
            <w:hideMark/>
          </w:tcPr>
          <w:p w14:paraId="7B02B226"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Universal sacrifice certificates (</w:t>
            </w:r>
            <w:r w:rsidRPr="00720AFF">
              <w:rPr>
                <w:rFonts w:ascii="Arial" w:eastAsia="Times New Roman" w:hAnsi="Arial" w:cs="Arial"/>
                <w:i/>
                <w:iCs/>
                <w:kern w:val="0"/>
                <w14:ligatures w14:val="none"/>
              </w:rPr>
              <w:t>libelli</w:t>
            </w:r>
            <w:r w:rsidRPr="00720AFF">
              <w:rPr>
                <w:rFonts w:ascii="Arial" w:eastAsia="Times New Roman" w:hAnsi="Arial" w:cs="Arial"/>
                <w:kern w:val="0"/>
                <w14:ligatures w14:val="none"/>
              </w:rPr>
              <w:t>)</w:t>
            </w:r>
          </w:p>
        </w:tc>
      </w:tr>
      <w:tr w:rsidR="00B40961" w:rsidRPr="00720AFF" w14:paraId="4C1383A7" w14:textId="77777777" w:rsidTr="00440E29">
        <w:trPr>
          <w:tblCellSpacing w:w="15" w:type="dxa"/>
        </w:trPr>
        <w:tc>
          <w:tcPr>
            <w:tcW w:w="0" w:type="auto"/>
            <w:vAlign w:val="center"/>
            <w:hideMark/>
          </w:tcPr>
          <w:p w14:paraId="1518399E"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b/>
                <w:bCs/>
                <w:kern w:val="0"/>
                <w14:ligatures w14:val="none"/>
              </w:rPr>
              <w:t>Diocletianic (303–311)</w:t>
            </w:r>
          </w:p>
        </w:tc>
        <w:tc>
          <w:tcPr>
            <w:tcW w:w="0" w:type="auto"/>
            <w:vAlign w:val="center"/>
            <w:hideMark/>
          </w:tcPr>
          <w:p w14:paraId="5D67198B"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Great Persecution – systematic</w:t>
            </w:r>
          </w:p>
        </w:tc>
        <w:tc>
          <w:tcPr>
            <w:tcW w:w="0" w:type="auto"/>
            <w:vAlign w:val="center"/>
            <w:hideMark/>
          </w:tcPr>
          <w:p w14:paraId="574BDDB5"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Empire-wide (East heavy)</w:t>
            </w:r>
          </w:p>
        </w:tc>
        <w:tc>
          <w:tcPr>
            <w:tcW w:w="0" w:type="auto"/>
            <w:vAlign w:val="center"/>
            <w:hideMark/>
          </w:tcPr>
          <w:p w14:paraId="14855E65"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Eradicate Christianity; divine unity</w:t>
            </w:r>
          </w:p>
        </w:tc>
        <w:tc>
          <w:tcPr>
            <w:tcW w:w="0" w:type="auto"/>
            <w:vAlign w:val="center"/>
            <w:hideMark/>
          </w:tcPr>
          <w:p w14:paraId="5B8302E9" w14:textId="77777777" w:rsidR="00B40961" w:rsidRPr="00720AFF" w:rsidRDefault="00B40961" w:rsidP="00B40961">
            <w:pPr>
              <w:spacing w:after="0" w:line="240" w:lineRule="auto"/>
              <w:rPr>
                <w:rFonts w:ascii="Arial" w:eastAsia="Times New Roman" w:hAnsi="Arial" w:cs="Arial"/>
                <w:kern w:val="0"/>
                <w14:ligatures w14:val="none"/>
              </w:rPr>
            </w:pPr>
            <w:r w:rsidRPr="00720AFF">
              <w:rPr>
                <w:rFonts w:ascii="Arial" w:eastAsia="Times New Roman" w:hAnsi="Arial" w:cs="Arial"/>
                <w:kern w:val="0"/>
                <w14:ligatures w14:val="none"/>
              </w:rPr>
              <w:t>Church destruction, Scripture burning, clergy torture</w:t>
            </w:r>
          </w:p>
        </w:tc>
      </w:tr>
    </w:tbl>
    <w:p w14:paraId="1A07E4DF" w14:textId="15546CF3" w:rsidR="00B40961" w:rsidRPr="007430D4" w:rsidRDefault="00B40961" w:rsidP="007430D4">
      <w:pPr>
        <w:spacing w:before="100" w:beforeAutospacing="1" w:after="100" w:afterAutospacing="1" w:line="240" w:lineRule="auto"/>
        <w:rPr>
          <w:rFonts w:ascii="Arial" w:eastAsia="Times New Roman" w:hAnsi="Arial" w:cs="Arial"/>
          <w:kern w:val="0"/>
          <w14:ligatures w14:val="none"/>
        </w:rPr>
      </w:pPr>
      <w:r w:rsidRPr="00720AFF">
        <w:rPr>
          <w:rFonts w:ascii="Arial" w:eastAsia="Times New Roman" w:hAnsi="Arial" w:cs="Arial"/>
          <w:kern w:val="0"/>
          <w14:ligatures w14:val="none"/>
        </w:rPr>
        <w:lastRenderedPageBreak/>
        <w:t>This framework shows persecution evolving from ad hoc scapegoating to policy, driven by politics, religion, and crisis, but never constant or total until later edicts. Christianity's resilience contributed to its eventual triumph under Constantine.</w:t>
      </w:r>
    </w:p>
    <w:p w14:paraId="495563AE" w14:textId="36052F91" w:rsidR="009E4076" w:rsidRPr="00720AFF" w:rsidRDefault="009E4076" w:rsidP="009E4076">
      <w:pPr>
        <w:jc w:val="both"/>
        <w:rPr>
          <w:rFonts w:ascii="Arial" w:hAnsi="Arial" w:cs="Arial"/>
        </w:rPr>
      </w:pPr>
      <w:r w:rsidRPr="00720AFF">
        <w:rPr>
          <w:rFonts w:ascii="Arial" w:hAnsi="Arial" w:cs="Arial"/>
        </w:rPr>
        <w:t>• Although the Roman Empire did not yet conduct systematic persecutions of Christians during the entire second century, periods of intense persecution occurred, particularly under emperors such as Trajan (98–117 AD), Hadrian (117–138 AD), and Marcus Aurelius (161–180 AD). Christians were often viewed with suspicion because of their refusal to participate in the imperial cult or the worship of Roman gods.</w:t>
      </w:r>
      <w:r w:rsidR="00FE65F8" w:rsidRPr="00720AFF">
        <w:rPr>
          <w:rStyle w:val="FootnoteReference"/>
          <w:rFonts w:ascii="Arial" w:hAnsi="Arial" w:cs="Arial"/>
        </w:rPr>
        <w:footnoteReference w:id="148"/>
      </w:r>
    </w:p>
    <w:p w14:paraId="58109094" w14:textId="105D533C" w:rsidR="009E4076" w:rsidRPr="00720AFF" w:rsidRDefault="009E4076" w:rsidP="009E4076">
      <w:pPr>
        <w:jc w:val="both"/>
        <w:rPr>
          <w:rFonts w:ascii="Arial" w:hAnsi="Arial" w:cs="Arial"/>
        </w:rPr>
      </w:pPr>
      <w:r w:rsidRPr="00720AFF">
        <w:rPr>
          <w:rFonts w:ascii="Arial" w:hAnsi="Arial" w:cs="Arial"/>
        </w:rPr>
        <w:t>• Many Christians, including prominent figures like Ignatius of Antioch and Polycarp of Smyrna, were martyred during this period. Their steadfastness in the face of death inspired other believers and strengthened the Church’s resolve. The writings of early Christian apologists often appealed to Roman authorities for tolerance, arguing that Christians were loyal citizens who posed no threat to the empire. The famous dictum of Tertullian (c. 160–220 AD) that “the blood of the martyrs is the seed of the Church” captures the profound effect that these persecutions had on the growth and resilience of Christianity.</w:t>
      </w:r>
    </w:p>
    <w:p w14:paraId="0E875536" w14:textId="77777777" w:rsidR="009E4076" w:rsidRPr="00720AFF" w:rsidRDefault="009E4076" w:rsidP="009E4076">
      <w:pPr>
        <w:jc w:val="both"/>
        <w:rPr>
          <w:rFonts w:ascii="Arial" w:hAnsi="Arial" w:cs="Arial"/>
        </w:rPr>
      </w:pPr>
      <w:r w:rsidRPr="00720AFF">
        <w:rPr>
          <w:rFonts w:ascii="Arial" w:hAnsi="Arial" w:cs="Arial"/>
        </w:rPr>
        <w:t xml:space="preserve">• The period from 100 AD to 200 AD was a critical time for the consolidation of the Early Church. </w:t>
      </w:r>
    </w:p>
    <w:p w14:paraId="449D8812" w14:textId="3EB26930" w:rsidR="009E4076" w:rsidRPr="00720AFF" w:rsidRDefault="009E4076" w:rsidP="009E4076">
      <w:pPr>
        <w:jc w:val="both"/>
        <w:rPr>
          <w:rFonts w:ascii="Arial" w:hAnsi="Arial" w:cs="Arial"/>
        </w:rPr>
      </w:pPr>
      <w:r w:rsidRPr="00720AFF">
        <w:rPr>
          <w:rFonts w:ascii="Arial" w:hAnsi="Arial" w:cs="Arial"/>
        </w:rPr>
        <w:t xml:space="preserve">Through the development of apostolic succession, the emergence of early Christian theology, the defense of orthodoxy against heresies, and the growing structure of Christian worship, the </w:t>
      </w:r>
    </w:p>
    <w:p w14:paraId="7CD5F062" w14:textId="068507A2" w:rsidR="009E4076" w:rsidRPr="00720AFF" w:rsidRDefault="009E4076" w:rsidP="009E4076">
      <w:pPr>
        <w:jc w:val="both"/>
        <w:rPr>
          <w:rFonts w:ascii="Arial" w:hAnsi="Arial" w:cs="Arial"/>
        </w:rPr>
      </w:pPr>
      <w:r w:rsidRPr="00720AFF">
        <w:rPr>
          <w:rFonts w:ascii="Arial" w:hAnsi="Arial" w:cs="Arial"/>
        </w:rPr>
        <w:t>Church strengthened its identity as it continued to spread throughout the Roman Empire. Despite external persecution and internal challenges, the foundations laid during this time helped the Church to survive and flourish in the centuries to come.</w:t>
      </w:r>
    </w:p>
    <w:p w14:paraId="3673D1A5" w14:textId="77777777" w:rsidR="009E4076" w:rsidRPr="00720AFF" w:rsidRDefault="009E4076" w:rsidP="009E4076">
      <w:pPr>
        <w:jc w:val="both"/>
        <w:rPr>
          <w:rFonts w:ascii="Arial" w:hAnsi="Arial" w:cs="Arial"/>
        </w:rPr>
      </w:pPr>
      <w:r w:rsidRPr="00720AFF">
        <w:rPr>
          <w:rFonts w:ascii="Arial" w:hAnsi="Arial" w:cs="Arial"/>
        </w:rPr>
        <w:t>Formation of the Early Church (200 AD to 313 AD)</w:t>
      </w:r>
    </w:p>
    <w:p w14:paraId="64C3B822" w14:textId="5D02FDC2" w:rsidR="009E4076" w:rsidRPr="00720AFF" w:rsidRDefault="009E4076" w:rsidP="009E4076">
      <w:pPr>
        <w:jc w:val="both"/>
        <w:rPr>
          <w:rFonts w:ascii="Arial" w:hAnsi="Arial" w:cs="Arial"/>
        </w:rPr>
      </w:pPr>
      <w:r w:rsidRPr="00720AFF">
        <w:rPr>
          <w:rFonts w:ascii="Arial" w:hAnsi="Arial" w:cs="Arial"/>
        </w:rPr>
        <w:t xml:space="preserve">The period from 200 AD to 313 AD was a crucial time for the Early Church, marked by both internal growth and increasing external pressures. This era, situated in the later phase of the Post-Apostolic Age, was characterized by theological development, a clearer organizational structure, and periodic waves of intense persecution from Roman authorities. These developments prepared the Church for the monumental shift that would occur in 313 AD with the Edict of Milan, which granted legal tolerance to Christianity. </w:t>
      </w:r>
    </w:p>
    <w:p w14:paraId="481BA94E" w14:textId="2A59ABE3" w:rsidR="0036165E" w:rsidRPr="00720AFF" w:rsidRDefault="0036165E" w:rsidP="009E4076">
      <w:pPr>
        <w:jc w:val="both"/>
        <w:rPr>
          <w:rFonts w:ascii="Arial" w:hAnsi="Arial" w:cs="Arial"/>
        </w:rPr>
      </w:pPr>
    </w:p>
    <w:sectPr w:rsidR="0036165E" w:rsidRPr="00720AF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AB7CB" w14:textId="77777777" w:rsidR="004041DE" w:rsidRDefault="004041DE" w:rsidP="004D7E4E">
      <w:pPr>
        <w:spacing w:after="0" w:line="240" w:lineRule="auto"/>
      </w:pPr>
      <w:r>
        <w:separator/>
      </w:r>
    </w:p>
  </w:endnote>
  <w:endnote w:type="continuationSeparator" w:id="0">
    <w:p w14:paraId="62991384" w14:textId="77777777" w:rsidR="004041DE" w:rsidRDefault="004041DE" w:rsidP="004D7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491181"/>
      <w:docPartObj>
        <w:docPartGallery w:val="Page Numbers (Bottom of Page)"/>
        <w:docPartUnique/>
      </w:docPartObj>
    </w:sdtPr>
    <w:sdtEndPr>
      <w:rPr>
        <w:noProof/>
      </w:rPr>
    </w:sdtEndPr>
    <w:sdtContent>
      <w:p w14:paraId="3201945F" w14:textId="6CEC59C3" w:rsidR="00DC02EB" w:rsidRDefault="00DC02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D77FCC" w14:textId="77777777" w:rsidR="00DC02EB" w:rsidRDefault="00DC0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3EE3" w14:textId="77777777" w:rsidR="004041DE" w:rsidRDefault="004041DE" w:rsidP="004D7E4E">
      <w:pPr>
        <w:spacing w:after="0" w:line="240" w:lineRule="auto"/>
      </w:pPr>
      <w:r>
        <w:separator/>
      </w:r>
    </w:p>
  </w:footnote>
  <w:footnote w:type="continuationSeparator" w:id="0">
    <w:p w14:paraId="6AB39BF4" w14:textId="77777777" w:rsidR="004041DE" w:rsidRDefault="004041DE" w:rsidP="004D7E4E">
      <w:pPr>
        <w:spacing w:after="0" w:line="240" w:lineRule="auto"/>
      </w:pPr>
      <w:r>
        <w:continuationSeparator/>
      </w:r>
    </w:p>
  </w:footnote>
  <w:footnote w:id="1">
    <w:p w14:paraId="11E0C905" w14:textId="77777777" w:rsidR="004D7E4E" w:rsidRDefault="004D7E4E" w:rsidP="004D7E4E">
      <w:pPr>
        <w:pStyle w:val="FootnoteText"/>
      </w:pPr>
      <w:r>
        <w:rPr>
          <w:rStyle w:val="FootnoteReference"/>
        </w:rPr>
        <w:footnoteRef/>
      </w:r>
      <w:r>
        <w:t xml:space="preserve"> Catholic Encyclopedia, Ecclesiastical History</w:t>
      </w:r>
    </w:p>
    <w:p w14:paraId="386A57A6" w14:textId="3D59AFC2" w:rsidR="004D7E4E" w:rsidRDefault="004D7E4E" w:rsidP="004D7E4E">
      <w:pPr>
        <w:pStyle w:val="FootnoteText"/>
      </w:pPr>
      <w:r>
        <w:t>Ecclesiastical History / Nature and office Ecclesiastical history is the scientific investigation and the methodical description of the temporal development.</w:t>
      </w:r>
    </w:p>
  </w:footnote>
  <w:footnote w:id="2">
    <w:p w14:paraId="19DF55AD" w14:textId="01C15292" w:rsidR="004D7E4E" w:rsidRDefault="004D7E4E">
      <w:pPr>
        <w:pStyle w:val="FootnoteText"/>
      </w:pPr>
      <w:r>
        <w:rPr>
          <w:rStyle w:val="FootnoteReference"/>
        </w:rPr>
        <w:footnoteRef/>
      </w:r>
      <w:r>
        <w:t xml:space="preserve"> Ibid, </w:t>
      </w:r>
    </w:p>
  </w:footnote>
  <w:footnote w:id="3">
    <w:p w14:paraId="52933FA2" w14:textId="77777777" w:rsidR="004D7E4E" w:rsidRDefault="004D7E4E" w:rsidP="004D7E4E">
      <w:pPr>
        <w:pStyle w:val="FootnoteText"/>
      </w:pPr>
      <w:r>
        <w:rPr>
          <w:rStyle w:val="FootnoteReference"/>
        </w:rPr>
        <w:footnoteRef/>
      </w:r>
      <w:r>
        <w:t xml:space="preserve"> Pope John Paul II</w:t>
      </w:r>
    </w:p>
    <w:p w14:paraId="75FD1020" w14:textId="77777777" w:rsidR="004D7E4E" w:rsidRDefault="004D7E4E" w:rsidP="004D7E4E">
      <w:pPr>
        <w:pStyle w:val="FootnoteText"/>
      </w:pPr>
      <w:r>
        <w:t>Message to the President of the Pontifical Committee of Historical Sciences (April 16, 2004), 4</w:t>
      </w:r>
    </w:p>
    <w:p w14:paraId="63808B76" w14:textId="08609982" w:rsidR="004D7E4E" w:rsidRDefault="004D7E4E" w:rsidP="004D7E4E">
      <w:pPr>
        <w:pStyle w:val="FootnoteText"/>
      </w:pPr>
      <w:r>
        <w:t>The essential goal of the Church, in addition to the glorification of the Triune God, consists in transmitting the goods of salvation that Jesus Christ entrusted to the Apostles - his Gospel and his sacraments -</w:t>
      </w:r>
    </w:p>
  </w:footnote>
  <w:footnote w:id="4">
    <w:p w14:paraId="092253BE" w14:textId="77777777" w:rsidR="004D7E4E" w:rsidRDefault="004D7E4E" w:rsidP="004D7E4E">
      <w:pPr>
        <w:pStyle w:val="FootnoteText"/>
      </w:pPr>
      <w:r>
        <w:rPr>
          <w:rStyle w:val="FootnoteReference"/>
        </w:rPr>
        <w:footnoteRef/>
      </w:r>
      <w:r>
        <w:t xml:space="preserve"> Catholic Encyclopedia, Ecclesiastical History</w:t>
      </w:r>
    </w:p>
    <w:p w14:paraId="4CF17E14" w14:textId="04F35F91" w:rsidR="004D7E4E" w:rsidRDefault="004D7E4E" w:rsidP="004D7E4E">
      <w:pPr>
        <w:pStyle w:val="FootnoteText"/>
      </w:pPr>
      <w:r>
        <w:t>Ecclesiastical History / Nature and office Ecclesiastical history is the scientific investigation and the methodical description of the temporal development.</w:t>
      </w:r>
    </w:p>
  </w:footnote>
  <w:footnote w:id="5">
    <w:p w14:paraId="2574F473" w14:textId="6A7AB301" w:rsidR="00A665E4" w:rsidRDefault="00A665E4">
      <w:pPr>
        <w:pStyle w:val="FootnoteText"/>
      </w:pPr>
      <w:r>
        <w:rPr>
          <w:rStyle w:val="FootnoteReference"/>
        </w:rPr>
        <w:footnoteRef/>
      </w:r>
      <w:r>
        <w:t xml:space="preserve"> Norman Edward “The Roman Catholic Church, published in United Kingdom in 2007, Thames &amp; Hudson Ltd 181A High Holborn, London.</w:t>
      </w:r>
    </w:p>
  </w:footnote>
  <w:footnote w:id="6">
    <w:p w14:paraId="1B79F04B" w14:textId="3AE9A6F7" w:rsidR="00EA7AE2" w:rsidRDefault="00EA7AE2">
      <w:pPr>
        <w:pStyle w:val="FootnoteText"/>
      </w:pPr>
      <w:r>
        <w:rPr>
          <w:rStyle w:val="FootnoteReference"/>
        </w:rPr>
        <w:footnoteRef/>
      </w:r>
      <w:r>
        <w:t xml:space="preserve"> </w:t>
      </w:r>
      <w:r w:rsidRPr="00EA7AE2">
        <w:t>DeepSeek</w:t>
      </w:r>
      <w:r w:rsidR="00C83CBA">
        <w:t xml:space="preserve"> ai</w:t>
      </w:r>
      <w:r w:rsidRPr="00EA7AE2">
        <w:t>, personal communication, May 19, 2026)</w:t>
      </w:r>
      <w:r>
        <w:t xml:space="preserve"> </w:t>
      </w:r>
      <w:r w:rsidRPr="00EA7AE2">
        <w:t>https://www.deepseek.com</w:t>
      </w:r>
    </w:p>
  </w:footnote>
  <w:footnote w:id="7">
    <w:p w14:paraId="0A5D2F33" w14:textId="283CF27B" w:rsidR="00F525A1" w:rsidRDefault="00F525A1">
      <w:pPr>
        <w:pStyle w:val="FootnoteText"/>
      </w:pPr>
      <w:r>
        <w:rPr>
          <w:rStyle w:val="FootnoteReference"/>
        </w:rPr>
        <w:footnoteRef/>
      </w:r>
      <w:r>
        <w:t xml:space="preserve"> </w:t>
      </w:r>
      <w:r w:rsidR="00BB48F9">
        <w:t>Pope</w:t>
      </w:r>
      <w:r w:rsidR="008A166C">
        <w:t xml:space="preserve"> </w:t>
      </w:r>
      <w:r w:rsidR="00A5336A">
        <w:t>Benedict XVI</w:t>
      </w:r>
      <w:r w:rsidR="005D53EB">
        <w:t xml:space="preserve">, To members of the Pontifical </w:t>
      </w:r>
      <w:r w:rsidR="0019699C">
        <w:t>Committee for Historical sciences</w:t>
      </w:r>
      <w:r w:rsidR="00BE22F7">
        <w:t xml:space="preserve"> (March 7 2008)</w:t>
      </w:r>
      <w:r w:rsidR="005D53EB">
        <w:t xml:space="preserve"> </w:t>
      </w:r>
    </w:p>
  </w:footnote>
  <w:footnote w:id="8">
    <w:p w14:paraId="53147CB2" w14:textId="372A4478" w:rsidR="003D5AA1" w:rsidRDefault="003D5AA1">
      <w:pPr>
        <w:pStyle w:val="FootnoteText"/>
      </w:pPr>
      <w:r>
        <w:rPr>
          <w:rStyle w:val="FootnoteReference"/>
        </w:rPr>
        <w:footnoteRef/>
      </w:r>
      <w:r>
        <w:t xml:space="preserve"> </w:t>
      </w:r>
      <w:r w:rsidR="00D76792">
        <w:t>Pope Leo XIII,</w:t>
      </w:r>
      <w:r w:rsidR="00127D3B">
        <w:t xml:space="preserve"> Depuis le jour</w:t>
      </w:r>
      <w:r w:rsidR="0052389F">
        <w:t>,25</w:t>
      </w:r>
    </w:p>
  </w:footnote>
  <w:footnote w:id="9">
    <w:p w14:paraId="402A73FB" w14:textId="416EEFCF" w:rsidR="006D49B4" w:rsidRDefault="006D49B4">
      <w:pPr>
        <w:pStyle w:val="FootnoteText"/>
      </w:pPr>
      <w:r>
        <w:rPr>
          <w:rStyle w:val="FootnoteReference"/>
        </w:rPr>
        <w:footnoteRef/>
      </w:r>
      <w:r>
        <w:t xml:space="preserve"> Pope Benedict XVI, To members of the Pontifical Committee for Historical sciences (March 7 2008)</w:t>
      </w:r>
    </w:p>
  </w:footnote>
  <w:footnote w:id="10">
    <w:p w14:paraId="0CD8F44E" w14:textId="3C96658E" w:rsidR="00877805" w:rsidRDefault="00877805">
      <w:pPr>
        <w:pStyle w:val="FootnoteText"/>
      </w:pPr>
      <w:r>
        <w:rPr>
          <w:rStyle w:val="FootnoteReference"/>
        </w:rPr>
        <w:footnoteRef/>
      </w:r>
      <w:r>
        <w:t xml:space="preserve"> Ibid,</w:t>
      </w:r>
    </w:p>
  </w:footnote>
  <w:footnote w:id="11">
    <w:p w14:paraId="5BEB0B39" w14:textId="6A19967C" w:rsidR="00127288" w:rsidRDefault="00127288">
      <w:pPr>
        <w:pStyle w:val="FootnoteText"/>
      </w:pPr>
      <w:r>
        <w:rPr>
          <w:rStyle w:val="FootnoteReference"/>
        </w:rPr>
        <w:footnoteRef/>
      </w:r>
      <w:r>
        <w:t xml:space="preserve"> Pope Leo XIII, Depuis le jour,25</w:t>
      </w:r>
    </w:p>
  </w:footnote>
  <w:footnote w:id="12">
    <w:p w14:paraId="07A14018" w14:textId="12BAEA3D" w:rsidR="00127288" w:rsidRDefault="00127288">
      <w:pPr>
        <w:pStyle w:val="FootnoteText"/>
      </w:pPr>
      <w:r>
        <w:rPr>
          <w:rStyle w:val="FootnoteReference"/>
        </w:rPr>
        <w:footnoteRef/>
      </w:r>
      <w:r>
        <w:t xml:space="preserve"> </w:t>
      </w:r>
      <w:r w:rsidR="00A24999">
        <w:t>Ibid,</w:t>
      </w:r>
    </w:p>
  </w:footnote>
  <w:footnote w:id="13">
    <w:p w14:paraId="1F38225E" w14:textId="081FA6B6" w:rsidR="00127288" w:rsidRDefault="00127288">
      <w:pPr>
        <w:pStyle w:val="FootnoteText"/>
      </w:pPr>
      <w:r>
        <w:rPr>
          <w:rStyle w:val="FootnoteReference"/>
        </w:rPr>
        <w:footnoteRef/>
      </w:r>
      <w:r>
        <w:t xml:space="preserve"> Pope Benedict XVI, To members of the Pontifical Committee for Historical sciences (March 7 2008)</w:t>
      </w:r>
    </w:p>
  </w:footnote>
  <w:footnote w:id="14">
    <w:p w14:paraId="2F0C1307" w14:textId="713055FD" w:rsidR="00127288" w:rsidRDefault="00127288">
      <w:pPr>
        <w:pStyle w:val="FootnoteText"/>
      </w:pPr>
      <w:r>
        <w:rPr>
          <w:rStyle w:val="FootnoteReference"/>
        </w:rPr>
        <w:footnoteRef/>
      </w:r>
      <w:r>
        <w:t xml:space="preserve"> Pope Leo XIII, Depuis le jour,25</w:t>
      </w:r>
    </w:p>
  </w:footnote>
  <w:footnote w:id="15">
    <w:p w14:paraId="0F8E4421" w14:textId="0EE3A0E5" w:rsidR="00D44838" w:rsidRDefault="00D44838">
      <w:pPr>
        <w:pStyle w:val="FootnoteText"/>
      </w:pPr>
      <w:r>
        <w:rPr>
          <w:rStyle w:val="FootnoteReference"/>
        </w:rPr>
        <w:footnoteRef/>
      </w:r>
      <w:r>
        <w:t xml:space="preserve"> John Henry Newman,</w:t>
      </w:r>
      <w:r w:rsidR="00496F3C">
        <w:t xml:space="preserve">The Reformation of the Eleventh </w:t>
      </w:r>
      <w:r w:rsidR="00A831AE">
        <w:t>century:</w:t>
      </w:r>
      <w:r w:rsidR="00140893">
        <w:t xml:space="preserve"> </w:t>
      </w:r>
      <w:r w:rsidR="00C02ADB">
        <w:t>S</w:t>
      </w:r>
      <w:r w:rsidR="00140893">
        <w:t xml:space="preserve">elect essays of </w:t>
      </w:r>
      <w:r w:rsidR="00C02ADB">
        <w:t xml:space="preserve">John Henry Cardinal </w:t>
      </w:r>
      <w:r w:rsidR="00140893">
        <w:t>Newman</w:t>
      </w:r>
      <w:r w:rsidR="00710288">
        <w:t>, p 2.</w:t>
      </w:r>
    </w:p>
  </w:footnote>
  <w:footnote w:id="16">
    <w:p w14:paraId="0AA48B9D" w14:textId="59981D40" w:rsidR="00710288" w:rsidRDefault="00710288">
      <w:pPr>
        <w:pStyle w:val="FootnoteText"/>
      </w:pPr>
      <w:r>
        <w:rPr>
          <w:rStyle w:val="FootnoteReference"/>
        </w:rPr>
        <w:footnoteRef/>
      </w:r>
      <w:r>
        <w:t xml:space="preserve"> Ibid, </w:t>
      </w:r>
      <w:r w:rsidR="00A831AE">
        <w:t>p</w:t>
      </w:r>
      <w:r>
        <w:t xml:space="preserve"> 2</w:t>
      </w:r>
    </w:p>
  </w:footnote>
  <w:footnote w:id="17">
    <w:p w14:paraId="4BDF117B" w14:textId="0B50E9A0" w:rsidR="00A831AE" w:rsidRDefault="00A831AE">
      <w:pPr>
        <w:pStyle w:val="FootnoteText"/>
      </w:pPr>
      <w:r>
        <w:rPr>
          <w:rStyle w:val="FootnoteReference"/>
        </w:rPr>
        <w:footnoteRef/>
      </w:r>
      <w:r>
        <w:t xml:space="preserve"> </w:t>
      </w:r>
      <w:r w:rsidR="00CD77C4">
        <w:t>Periodica de re canonica</w:t>
      </w:r>
      <w:r w:rsidR="003C5DBA">
        <w:t>,</w:t>
      </w:r>
      <w:r w:rsidR="00CD77C4">
        <w:t xml:space="preserve"> </w:t>
      </w:r>
      <w:r w:rsidR="009645FF">
        <w:t>Brian. E. Ferme</w:t>
      </w:r>
      <w:r w:rsidR="00C00A64">
        <w:t>: Development</w:t>
      </w:r>
      <w:r w:rsidR="001C2361">
        <w:t xml:space="preserve">s in Church Magisterium: The Pontificate of John Paul </w:t>
      </w:r>
      <w:r w:rsidR="005D740E">
        <w:t xml:space="preserve">II, 2001, </w:t>
      </w:r>
      <w:r w:rsidR="001815C6">
        <w:t>I</w:t>
      </w:r>
      <w:r w:rsidR="005D740E">
        <w:t>ssue 1,</w:t>
      </w:r>
      <w:r w:rsidR="001815C6">
        <w:t xml:space="preserve"> pp 45-83,</w:t>
      </w:r>
      <w:r w:rsidR="003D2D3E">
        <w:t xml:space="preserve"> </w:t>
      </w:r>
      <w:r w:rsidR="001815C6">
        <w:t>p 3.</w:t>
      </w:r>
    </w:p>
  </w:footnote>
  <w:footnote w:id="18">
    <w:p w14:paraId="013FD74F" w14:textId="3537FA8B" w:rsidR="004D0EB3" w:rsidRDefault="004D0EB3">
      <w:pPr>
        <w:pStyle w:val="FootnoteText"/>
      </w:pPr>
      <w:r>
        <w:rPr>
          <w:rStyle w:val="FootnoteReference"/>
        </w:rPr>
        <w:footnoteRef/>
      </w:r>
      <w:r>
        <w:t xml:space="preserve"> Ibid,</w:t>
      </w:r>
    </w:p>
  </w:footnote>
  <w:footnote w:id="19">
    <w:p w14:paraId="16B8AAAB" w14:textId="3E6F450D" w:rsidR="007A6DE3" w:rsidRDefault="007A6DE3">
      <w:pPr>
        <w:pStyle w:val="FootnoteText"/>
      </w:pPr>
      <w:r>
        <w:rPr>
          <w:rStyle w:val="FootnoteReference"/>
        </w:rPr>
        <w:footnoteRef/>
      </w:r>
      <w:r>
        <w:t xml:space="preserve"> Pope Benedict XVI</w:t>
      </w:r>
      <w:r w:rsidR="00260628">
        <w:t>,</w:t>
      </w:r>
      <w:r w:rsidR="00867232">
        <w:t xml:space="preserve"> General Audience of 13 June 200</w:t>
      </w:r>
      <w:r w:rsidR="00603A4A">
        <w:t>7: Eusebius of Casarea</w:t>
      </w:r>
      <w:r w:rsidR="006A5D33">
        <w:t>.</w:t>
      </w:r>
    </w:p>
  </w:footnote>
  <w:footnote w:id="20">
    <w:p w14:paraId="490156B7" w14:textId="1FC3FC47" w:rsidR="00A35EDA" w:rsidRDefault="00A35EDA">
      <w:pPr>
        <w:pStyle w:val="FootnoteText"/>
      </w:pPr>
      <w:r>
        <w:rPr>
          <w:rStyle w:val="FootnoteReference"/>
        </w:rPr>
        <w:footnoteRef/>
      </w:r>
      <w:r>
        <w:t xml:space="preserve"> </w:t>
      </w:r>
      <w:r w:rsidR="00A24999">
        <w:t>Ibid,</w:t>
      </w:r>
    </w:p>
  </w:footnote>
  <w:footnote w:id="21">
    <w:p w14:paraId="54036A4B" w14:textId="531D8C78" w:rsidR="006A5D33" w:rsidRDefault="006A5D33">
      <w:pPr>
        <w:pStyle w:val="FootnoteText"/>
      </w:pPr>
      <w:r>
        <w:rPr>
          <w:rStyle w:val="FootnoteReference"/>
        </w:rPr>
        <w:footnoteRef/>
      </w:r>
      <w:r>
        <w:t xml:space="preserve"> </w:t>
      </w:r>
      <w:r w:rsidR="00FE04CB">
        <w:t>CCC 1095</w:t>
      </w:r>
    </w:p>
  </w:footnote>
  <w:footnote w:id="22">
    <w:p w14:paraId="739930C1" w14:textId="04BC8E76" w:rsidR="001A0B0C" w:rsidRDefault="001A0B0C">
      <w:pPr>
        <w:pStyle w:val="FootnoteText"/>
      </w:pPr>
      <w:r>
        <w:rPr>
          <w:rStyle w:val="FootnoteReference"/>
        </w:rPr>
        <w:footnoteRef/>
      </w:r>
      <w:r>
        <w:t xml:space="preserve"> </w:t>
      </w:r>
      <w:r w:rsidR="00C94D2C">
        <w:t>Catholic Encyclopedia</w:t>
      </w:r>
      <w:r w:rsidR="0088690D">
        <w:t>, Captiv</w:t>
      </w:r>
      <w:r w:rsidR="009D6DBF">
        <w:t>iti</w:t>
      </w:r>
      <w:r w:rsidR="0088690D">
        <w:t>es of the Israelites</w:t>
      </w:r>
    </w:p>
  </w:footnote>
  <w:footnote w:id="23">
    <w:p w14:paraId="05B8CEC1" w14:textId="3BC5259F" w:rsidR="009D6DBF" w:rsidRDefault="009D6DBF">
      <w:pPr>
        <w:pStyle w:val="FootnoteText"/>
      </w:pPr>
      <w:r>
        <w:rPr>
          <w:rStyle w:val="FootnoteReference"/>
        </w:rPr>
        <w:footnoteRef/>
      </w:r>
      <w:r>
        <w:t xml:space="preserve"> Catholic Encyclopedia, </w:t>
      </w:r>
      <w:r w:rsidR="00B16F6F">
        <w:t>Temple</w:t>
      </w:r>
    </w:p>
  </w:footnote>
  <w:footnote w:id="24">
    <w:p w14:paraId="01EEA1B0" w14:textId="1B07F410" w:rsidR="00B16F6F" w:rsidRDefault="00B16F6F">
      <w:pPr>
        <w:pStyle w:val="FootnoteText"/>
      </w:pPr>
      <w:r>
        <w:rPr>
          <w:rStyle w:val="FootnoteReference"/>
        </w:rPr>
        <w:footnoteRef/>
      </w:r>
      <w:r>
        <w:t xml:space="preserve"> Catholic Encyclopedia,</w:t>
      </w:r>
      <w:r w:rsidR="00400927">
        <w:t xml:space="preserve"> Temple of Jerusalem</w:t>
      </w:r>
    </w:p>
  </w:footnote>
  <w:footnote w:id="25">
    <w:p w14:paraId="44F864F3" w14:textId="3721902A" w:rsidR="00EC400A" w:rsidRDefault="00EC400A">
      <w:pPr>
        <w:pStyle w:val="FootnoteText"/>
      </w:pPr>
      <w:r>
        <w:rPr>
          <w:rStyle w:val="FootnoteReference"/>
        </w:rPr>
        <w:footnoteRef/>
      </w:r>
      <w:r>
        <w:t xml:space="preserve"> </w:t>
      </w:r>
      <w:r w:rsidR="00231777">
        <w:t>Ibid,</w:t>
      </w:r>
      <w:r w:rsidR="003633C2">
        <w:t xml:space="preserve"> </w:t>
      </w:r>
    </w:p>
  </w:footnote>
  <w:footnote w:id="26">
    <w:p w14:paraId="7100C1A7" w14:textId="51849695" w:rsidR="00231777" w:rsidRDefault="00231777">
      <w:pPr>
        <w:pStyle w:val="FootnoteText"/>
      </w:pPr>
      <w:r>
        <w:rPr>
          <w:rStyle w:val="FootnoteReference"/>
        </w:rPr>
        <w:footnoteRef/>
      </w:r>
      <w:r>
        <w:t xml:space="preserve"> </w:t>
      </w:r>
      <w:r w:rsidR="000F7A33">
        <w:t xml:space="preserve">Catholic Encyclopedia, Sadducees </w:t>
      </w:r>
    </w:p>
  </w:footnote>
  <w:footnote w:id="27">
    <w:p w14:paraId="22A8F700" w14:textId="57507F7B" w:rsidR="00ED4276" w:rsidRDefault="00ED4276">
      <w:pPr>
        <w:pStyle w:val="FootnoteText"/>
      </w:pPr>
      <w:r>
        <w:rPr>
          <w:rStyle w:val="FootnoteReference"/>
        </w:rPr>
        <w:footnoteRef/>
      </w:r>
      <w:r>
        <w:t xml:space="preserve"> Ibid,</w:t>
      </w:r>
    </w:p>
  </w:footnote>
  <w:footnote w:id="28">
    <w:p w14:paraId="4E5A626E" w14:textId="2B7797F4" w:rsidR="00ED4276" w:rsidRDefault="00ED4276">
      <w:pPr>
        <w:pStyle w:val="FootnoteText"/>
      </w:pPr>
      <w:r>
        <w:rPr>
          <w:rStyle w:val="FootnoteReference"/>
        </w:rPr>
        <w:footnoteRef/>
      </w:r>
      <w:r>
        <w:t xml:space="preserve"> Catholic </w:t>
      </w:r>
      <w:r w:rsidR="00490581">
        <w:t>Encyclopedia, Judaism</w:t>
      </w:r>
    </w:p>
  </w:footnote>
  <w:footnote w:id="29">
    <w:p w14:paraId="0D2081EE" w14:textId="44DE2C1F" w:rsidR="00490581" w:rsidRDefault="00490581">
      <w:pPr>
        <w:pStyle w:val="FootnoteText"/>
      </w:pPr>
      <w:r>
        <w:rPr>
          <w:rStyle w:val="FootnoteReference"/>
        </w:rPr>
        <w:footnoteRef/>
      </w:r>
      <w:r>
        <w:t xml:space="preserve"> </w:t>
      </w:r>
      <w:r w:rsidR="00D40119">
        <w:t>Ibid,</w:t>
      </w:r>
    </w:p>
  </w:footnote>
  <w:footnote w:id="30">
    <w:p w14:paraId="1A24E077" w14:textId="0766CC84" w:rsidR="00D40119" w:rsidRDefault="00D40119">
      <w:pPr>
        <w:pStyle w:val="FootnoteText"/>
      </w:pPr>
      <w:r>
        <w:rPr>
          <w:rStyle w:val="FootnoteReference"/>
        </w:rPr>
        <w:footnoteRef/>
      </w:r>
      <w:r>
        <w:t xml:space="preserve"> </w:t>
      </w:r>
      <w:r w:rsidR="000D67D5">
        <w:t>Catholic Encyclopedia, Sadducees</w:t>
      </w:r>
    </w:p>
  </w:footnote>
  <w:footnote w:id="31">
    <w:p w14:paraId="7E0B6A91" w14:textId="27992F77" w:rsidR="001C4C88" w:rsidRDefault="000D67D5">
      <w:pPr>
        <w:pStyle w:val="FootnoteText"/>
      </w:pPr>
      <w:r>
        <w:rPr>
          <w:rStyle w:val="FootnoteReference"/>
        </w:rPr>
        <w:footnoteRef/>
      </w:r>
      <w:r>
        <w:t xml:space="preserve"> </w:t>
      </w:r>
      <w:r w:rsidR="001C4C88">
        <w:t>Catholic Encyclopedia, Divine Judgment</w:t>
      </w:r>
    </w:p>
  </w:footnote>
  <w:footnote w:id="32">
    <w:p w14:paraId="097D0AEC" w14:textId="4C540403" w:rsidR="00397BA6" w:rsidRDefault="00397BA6">
      <w:pPr>
        <w:pStyle w:val="FootnoteText"/>
      </w:pPr>
      <w:r>
        <w:rPr>
          <w:rStyle w:val="FootnoteReference"/>
        </w:rPr>
        <w:footnoteRef/>
      </w:r>
      <w:r>
        <w:t xml:space="preserve"> Ibid,</w:t>
      </w:r>
    </w:p>
  </w:footnote>
  <w:footnote w:id="33">
    <w:p w14:paraId="06E609D0" w14:textId="5C6EB9AC" w:rsidR="00FF5D00" w:rsidRDefault="00FF5D00">
      <w:pPr>
        <w:pStyle w:val="FootnoteText"/>
      </w:pPr>
      <w:r>
        <w:rPr>
          <w:rStyle w:val="FootnoteReference"/>
        </w:rPr>
        <w:footnoteRef/>
      </w:r>
      <w:r>
        <w:t xml:space="preserve"> Catholic Encyclopedia,</w:t>
      </w:r>
      <w:r w:rsidR="00EA4121">
        <w:t xml:space="preserve"> </w:t>
      </w:r>
      <w:r>
        <w:t>Judaism</w:t>
      </w:r>
    </w:p>
  </w:footnote>
  <w:footnote w:id="34">
    <w:p w14:paraId="37F12F50" w14:textId="605C9FE3" w:rsidR="00FF5D00" w:rsidRDefault="00FF5D00">
      <w:pPr>
        <w:pStyle w:val="FootnoteText"/>
      </w:pPr>
      <w:r>
        <w:rPr>
          <w:rStyle w:val="FootnoteReference"/>
        </w:rPr>
        <w:footnoteRef/>
      </w:r>
      <w:r>
        <w:t xml:space="preserve"> </w:t>
      </w:r>
      <w:r w:rsidR="00EA4121">
        <w:t>Catholic Encyclopedia, Christian Worship</w:t>
      </w:r>
    </w:p>
  </w:footnote>
  <w:footnote w:id="35">
    <w:p w14:paraId="62C89D99" w14:textId="3B3ACA5D" w:rsidR="00EA4121" w:rsidRDefault="00EA4121">
      <w:pPr>
        <w:pStyle w:val="FootnoteText"/>
      </w:pPr>
      <w:r>
        <w:rPr>
          <w:rStyle w:val="FootnoteReference"/>
        </w:rPr>
        <w:footnoteRef/>
      </w:r>
      <w:r>
        <w:t xml:space="preserve"> </w:t>
      </w:r>
      <w:r w:rsidR="00E644A0">
        <w:t>Catholic Encyclopedia Judea</w:t>
      </w:r>
    </w:p>
  </w:footnote>
  <w:footnote w:id="36">
    <w:p w14:paraId="0682DB55" w14:textId="3C2F2D35" w:rsidR="00E644A0" w:rsidRDefault="00E644A0">
      <w:pPr>
        <w:pStyle w:val="FootnoteText"/>
      </w:pPr>
      <w:r>
        <w:rPr>
          <w:rStyle w:val="FootnoteReference"/>
        </w:rPr>
        <w:footnoteRef/>
      </w:r>
      <w:r>
        <w:t xml:space="preserve"> Catholic Encyclopedia, History of the Jews</w:t>
      </w:r>
    </w:p>
  </w:footnote>
  <w:footnote w:id="37">
    <w:p w14:paraId="591E1459" w14:textId="6FE69D43" w:rsidR="00EE27B6" w:rsidRDefault="00EE27B6">
      <w:pPr>
        <w:pStyle w:val="FootnoteText"/>
      </w:pPr>
      <w:r>
        <w:rPr>
          <w:rStyle w:val="FootnoteReference"/>
        </w:rPr>
        <w:footnoteRef/>
      </w:r>
      <w:r>
        <w:t xml:space="preserve"> Catholic Encyclopedia, Synagogue </w:t>
      </w:r>
    </w:p>
  </w:footnote>
  <w:footnote w:id="38">
    <w:p w14:paraId="7B2AFFB6" w14:textId="1140419B" w:rsidR="005E5B1A" w:rsidRDefault="005E5B1A">
      <w:pPr>
        <w:pStyle w:val="FootnoteText"/>
      </w:pPr>
      <w:r>
        <w:rPr>
          <w:rStyle w:val="FootnoteReference"/>
        </w:rPr>
        <w:footnoteRef/>
      </w:r>
      <w:r>
        <w:t xml:space="preserve"> </w:t>
      </w:r>
      <w:r w:rsidR="00702A24">
        <w:t>Catholic Encyclopedia, Divine Judgment</w:t>
      </w:r>
    </w:p>
  </w:footnote>
  <w:footnote w:id="39">
    <w:p w14:paraId="1D784347" w14:textId="5147A4D1" w:rsidR="005679F0" w:rsidRDefault="005679F0">
      <w:pPr>
        <w:pStyle w:val="FootnoteText"/>
      </w:pPr>
      <w:r>
        <w:rPr>
          <w:rStyle w:val="FootnoteReference"/>
        </w:rPr>
        <w:footnoteRef/>
      </w:r>
      <w:r>
        <w:t xml:space="preserve"> Catholic Encyclopedia, Captivities </w:t>
      </w:r>
      <w:r w:rsidR="002D4CD0">
        <w:t>of the Israelites</w:t>
      </w:r>
      <w:r>
        <w:t xml:space="preserve"> </w:t>
      </w:r>
    </w:p>
  </w:footnote>
  <w:footnote w:id="40">
    <w:p w14:paraId="185A1A4A" w14:textId="471B5C49" w:rsidR="00940258" w:rsidRDefault="00940258">
      <w:pPr>
        <w:pStyle w:val="FootnoteText"/>
      </w:pPr>
      <w:r>
        <w:rPr>
          <w:rStyle w:val="FootnoteReference"/>
        </w:rPr>
        <w:footnoteRef/>
      </w:r>
      <w:r>
        <w:t xml:space="preserve"> </w:t>
      </w:r>
      <w:r w:rsidR="003A4B39">
        <w:t xml:space="preserve">Catholic </w:t>
      </w:r>
      <w:r w:rsidR="003C69CF">
        <w:t>Encyclopedia, Temple</w:t>
      </w:r>
    </w:p>
  </w:footnote>
  <w:footnote w:id="41">
    <w:p w14:paraId="12E66115" w14:textId="7D51403F" w:rsidR="003C69CF" w:rsidRDefault="003C69CF">
      <w:pPr>
        <w:pStyle w:val="FootnoteText"/>
      </w:pPr>
      <w:r>
        <w:rPr>
          <w:rStyle w:val="FootnoteReference"/>
        </w:rPr>
        <w:footnoteRef/>
      </w:r>
      <w:r>
        <w:t xml:space="preserve"> Catholic Encyclopedia,</w:t>
      </w:r>
      <w:r w:rsidR="009F07F0">
        <w:t xml:space="preserve"> Synagogue</w:t>
      </w:r>
    </w:p>
  </w:footnote>
  <w:footnote w:id="42">
    <w:p w14:paraId="1E9C7D73" w14:textId="55242AD4" w:rsidR="00917FEC" w:rsidRDefault="00917FEC">
      <w:pPr>
        <w:pStyle w:val="FootnoteText"/>
      </w:pPr>
      <w:r>
        <w:rPr>
          <w:rStyle w:val="FootnoteReference"/>
        </w:rPr>
        <w:footnoteRef/>
      </w:r>
      <w:r>
        <w:t xml:space="preserve"> </w:t>
      </w:r>
      <w:r w:rsidR="004313F2">
        <w:t>Catholic Encyclopedia, Judaism</w:t>
      </w:r>
    </w:p>
  </w:footnote>
  <w:footnote w:id="43">
    <w:p w14:paraId="6A830151" w14:textId="5A8358E7" w:rsidR="00162601" w:rsidRDefault="00162601">
      <w:pPr>
        <w:pStyle w:val="FootnoteText"/>
      </w:pPr>
      <w:r>
        <w:rPr>
          <w:rStyle w:val="FootnoteReference"/>
        </w:rPr>
        <w:footnoteRef/>
      </w:r>
      <w:r>
        <w:t xml:space="preserve"> Catholic Encyclopedia, Sadducees</w:t>
      </w:r>
    </w:p>
  </w:footnote>
  <w:footnote w:id="44">
    <w:p w14:paraId="47D8AF74" w14:textId="41FC4430" w:rsidR="002D77D3" w:rsidRDefault="002D77D3">
      <w:pPr>
        <w:pStyle w:val="FootnoteText"/>
      </w:pPr>
      <w:r>
        <w:rPr>
          <w:rStyle w:val="FootnoteReference"/>
        </w:rPr>
        <w:footnoteRef/>
      </w:r>
      <w:r>
        <w:t xml:space="preserve"> Ibid,</w:t>
      </w:r>
    </w:p>
  </w:footnote>
  <w:footnote w:id="45">
    <w:p w14:paraId="6E9DBF27" w14:textId="770DAA68" w:rsidR="002D77D3" w:rsidRDefault="002D77D3">
      <w:pPr>
        <w:pStyle w:val="FootnoteText"/>
      </w:pPr>
      <w:r>
        <w:rPr>
          <w:rStyle w:val="FootnoteReference"/>
        </w:rPr>
        <w:footnoteRef/>
      </w:r>
      <w:r>
        <w:t xml:space="preserve"> </w:t>
      </w:r>
      <w:r w:rsidR="00AA7F2E">
        <w:t>Pontifical Biblical Commission, The Jewish people and Their sacred Scriptures in the Christian Bible (May 24, 2001),66</w:t>
      </w:r>
    </w:p>
  </w:footnote>
  <w:footnote w:id="46">
    <w:p w14:paraId="4D166A6C" w14:textId="3B235C72" w:rsidR="007E517A" w:rsidRDefault="007E517A">
      <w:pPr>
        <w:pStyle w:val="FootnoteText"/>
      </w:pPr>
      <w:r>
        <w:rPr>
          <w:rStyle w:val="FootnoteReference"/>
        </w:rPr>
        <w:footnoteRef/>
      </w:r>
      <w:r>
        <w:t xml:space="preserve"> </w:t>
      </w:r>
      <w:r w:rsidR="00AA7F2E">
        <w:t xml:space="preserve">Ibid, </w:t>
      </w:r>
    </w:p>
  </w:footnote>
  <w:footnote w:id="47">
    <w:p w14:paraId="3F5C3F05" w14:textId="7E8B772C" w:rsidR="00AA7F2E" w:rsidRDefault="00AA7F2E">
      <w:pPr>
        <w:pStyle w:val="FootnoteText"/>
      </w:pPr>
      <w:r>
        <w:rPr>
          <w:rStyle w:val="FootnoteReference"/>
        </w:rPr>
        <w:footnoteRef/>
      </w:r>
      <w:r>
        <w:t xml:space="preserve"> </w:t>
      </w:r>
      <w:r w:rsidR="004C56BB">
        <w:t xml:space="preserve">Catholic Encyclopedia, Cornelius </w:t>
      </w:r>
    </w:p>
  </w:footnote>
  <w:footnote w:id="48">
    <w:p w14:paraId="48D3EB48" w14:textId="345C0DC6" w:rsidR="00E0770E" w:rsidRDefault="00E0770E">
      <w:pPr>
        <w:pStyle w:val="FootnoteText"/>
      </w:pPr>
      <w:r>
        <w:rPr>
          <w:rStyle w:val="FootnoteReference"/>
        </w:rPr>
        <w:footnoteRef/>
      </w:r>
      <w:r>
        <w:t xml:space="preserve"> </w:t>
      </w:r>
      <w:r w:rsidR="00AE3974">
        <w:t>The New Revised Standard Version, The Holy Bible</w:t>
      </w:r>
      <w:r w:rsidR="003F2A77">
        <w:t>, Acts 15</w:t>
      </w:r>
    </w:p>
  </w:footnote>
  <w:footnote w:id="49">
    <w:p w14:paraId="0C23227A" w14:textId="592EE9BE" w:rsidR="003F2A77" w:rsidRDefault="003F2A77">
      <w:pPr>
        <w:pStyle w:val="FootnoteText"/>
      </w:pPr>
      <w:r>
        <w:rPr>
          <w:rStyle w:val="FootnoteReference"/>
        </w:rPr>
        <w:footnoteRef/>
      </w:r>
      <w:r>
        <w:t xml:space="preserve"> </w:t>
      </w:r>
      <w:r w:rsidR="00F300F6">
        <w:t xml:space="preserve">Hand Book for Liturgical </w:t>
      </w:r>
      <w:r w:rsidR="009B1506">
        <w:t xml:space="preserve">Studies: The Eucharist </w:t>
      </w:r>
      <w:r w:rsidR="00597DD5">
        <w:t>(Volume III),</w:t>
      </w:r>
      <w:r w:rsidR="00105D8D">
        <w:t xml:space="preserve"> </w:t>
      </w:r>
      <w:r w:rsidR="00597DD5">
        <w:t xml:space="preserve">p </w:t>
      </w:r>
      <w:r w:rsidR="00105D8D">
        <w:t>38</w:t>
      </w:r>
    </w:p>
  </w:footnote>
  <w:footnote w:id="50">
    <w:p w14:paraId="1FEA4715" w14:textId="3CCCC792" w:rsidR="00105D8D" w:rsidRDefault="00105D8D">
      <w:pPr>
        <w:pStyle w:val="FootnoteText"/>
      </w:pPr>
      <w:r>
        <w:rPr>
          <w:rStyle w:val="FootnoteReference"/>
        </w:rPr>
        <w:footnoteRef/>
      </w:r>
      <w:r>
        <w:t xml:space="preserve"> Ibid,</w:t>
      </w:r>
    </w:p>
  </w:footnote>
  <w:footnote w:id="51">
    <w:p w14:paraId="38060793" w14:textId="77C9FDC7" w:rsidR="00105D8D" w:rsidRDefault="00105D8D">
      <w:pPr>
        <w:pStyle w:val="FootnoteText"/>
      </w:pPr>
      <w:r>
        <w:rPr>
          <w:rStyle w:val="FootnoteReference"/>
        </w:rPr>
        <w:footnoteRef/>
      </w:r>
      <w:r>
        <w:t xml:space="preserve"> Hand Book for Liturgical Studies: The Eucharist (Volume III), p 38</w:t>
      </w:r>
    </w:p>
  </w:footnote>
  <w:footnote w:id="52">
    <w:p w14:paraId="227A5ACF" w14:textId="43075ED5" w:rsidR="00105D8D" w:rsidRDefault="00105D8D">
      <w:pPr>
        <w:pStyle w:val="FootnoteText"/>
      </w:pPr>
      <w:r>
        <w:rPr>
          <w:rStyle w:val="FootnoteReference"/>
        </w:rPr>
        <w:footnoteRef/>
      </w:r>
      <w:r>
        <w:t xml:space="preserve"> </w:t>
      </w:r>
      <w:r w:rsidR="009D4A86">
        <w:t xml:space="preserve">Edward </w:t>
      </w:r>
      <w:r w:rsidR="001F6077">
        <w:t>G.</w:t>
      </w:r>
      <w:r w:rsidR="009D4A86">
        <w:t xml:space="preserve"> </w:t>
      </w:r>
      <w:r w:rsidR="001F6077">
        <w:t xml:space="preserve">Farrugia, </w:t>
      </w:r>
      <w:r w:rsidR="0007303A">
        <w:t xml:space="preserve">Encyclopedic Dictionary of </w:t>
      </w:r>
      <w:r w:rsidR="002E71C4">
        <w:t>the Christian East</w:t>
      </w:r>
      <w:r w:rsidR="00263260">
        <w:t xml:space="preserve">, Didache </w:t>
      </w:r>
      <w:r w:rsidR="00C83CBA">
        <w:t>(Doctrine of the Apostles).</w:t>
      </w:r>
    </w:p>
  </w:footnote>
  <w:footnote w:id="53">
    <w:p w14:paraId="4E04D7EC" w14:textId="7EB4B1FF" w:rsidR="004C20FE" w:rsidRDefault="004C20FE">
      <w:pPr>
        <w:pStyle w:val="FootnoteText"/>
      </w:pPr>
      <w:r>
        <w:rPr>
          <w:rStyle w:val="FootnoteReference"/>
        </w:rPr>
        <w:footnoteRef/>
      </w:r>
      <w:r>
        <w:t xml:space="preserve"> </w:t>
      </w:r>
      <w:r w:rsidR="00D07DF3">
        <w:t>Pontifical Biblical Commission, The Jewish people and Their sacred Scriptures in the Christian Bible (May 24, 2001),66</w:t>
      </w:r>
    </w:p>
  </w:footnote>
  <w:footnote w:id="54">
    <w:p w14:paraId="619E4DD0" w14:textId="27E2600C" w:rsidR="008C4272" w:rsidRDefault="008C4272">
      <w:pPr>
        <w:pStyle w:val="FootnoteText"/>
      </w:pPr>
      <w:r>
        <w:rPr>
          <w:rStyle w:val="FootnoteReference"/>
        </w:rPr>
        <w:footnoteRef/>
      </w:r>
      <w:r>
        <w:t xml:space="preserve"> </w:t>
      </w:r>
      <w:r w:rsidR="00D95A1A">
        <w:t xml:space="preserve">Catholic Encyclopedia, </w:t>
      </w:r>
      <w:r w:rsidR="00114956">
        <w:t>Juda</w:t>
      </w:r>
      <w:r w:rsidR="000F44CC">
        <w:t>izers</w:t>
      </w:r>
    </w:p>
  </w:footnote>
  <w:footnote w:id="55">
    <w:p w14:paraId="2AECDAC2" w14:textId="35DF75E7" w:rsidR="00D95A1A" w:rsidRDefault="00D95A1A">
      <w:pPr>
        <w:pStyle w:val="FootnoteText"/>
      </w:pPr>
      <w:r>
        <w:rPr>
          <w:rStyle w:val="FootnoteReference"/>
        </w:rPr>
        <w:footnoteRef/>
      </w:r>
      <w:r>
        <w:t xml:space="preserve"> </w:t>
      </w:r>
      <w:r w:rsidR="00114956">
        <w:t xml:space="preserve">Catholic Encyclopedia, Ebionites </w:t>
      </w:r>
    </w:p>
  </w:footnote>
  <w:footnote w:id="56">
    <w:p w14:paraId="4AEED94D" w14:textId="725CAA70" w:rsidR="000C3532" w:rsidRDefault="000C3532">
      <w:pPr>
        <w:pStyle w:val="FootnoteText"/>
      </w:pPr>
      <w:r>
        <w:rPr>
          <w:rStyle w:val="FootnoteReference"/>
        </w:rPr>
        <w:footnoteRef/>
      </w:r>
      <w:r>
        <w:t xml:space="preserve"> </w:t>
      </w:r>
      <w:r w:rsidR="00CE3A0E">
        <w:t xml:space="preserve">Catholic Encyclopedia, Captivities </w:t>
      </w:r>
      <w:r w:rsidR="00C37806">
        <w:t>of the Israelites</w:t>
      </w:r>
    </w:p>
  </w:footnote>
  <w:footnote w:id="57">
    <w:p w14:paraId="1F7BCE83" w14:textId="5869E0F0" w:rsidR="00C37806" w:rsidRDefault="00C37806">
      <w:pPr>
        <w:pStyle w:val="FootnoteText"/>
      </w:pPr>
      <w:r>
        <w:rPr>
          <w:rStyle w:val="FootnoteReference"/>
        </w:rPr>
        <w:footnoteRef/>
      </w:r>
      <w:r>
        <w:t xml:space="preserve"> </w:t>
      </w:r>
      <w:r w:rsidR="00085FA8">
        <w:t>Catholic Encyclopedia, Sadducees</w:t>
      </w:r>
    </w:p>
  </w:footnote>
  <w:footnote w:id="58">
    <w:p w14:paraId="4F6BA19D" w14:textId="2E32C116" w:rsidR="00085FA8" w:rsidRDefault="00085FA8">
      <w:pPr>
        <w:pStyle w:val="FootnoteText"/>
      </w:pPr>
      <w:r>
        <w:rPr>
          <w:rStyle w:val="FootnoteReference"/>
        </w:rPr>
        <w:footnoteRef/>
      </w:r>
      <w:r>
        <w:t xml:space="preserve"> Catholic Encyclopedia, Judaism</w:t>
      </w:r>
    </w:p>
  </w:footnote>
  <w:footnote w:id="59">
    <w:p w14:paraId="1F6F65F8" w14:textId="6F488918" w:rsidR="00085FA8" w:rsidRDefault="00085FA8">
      <w:pPr>
        <w:pStyle w:val="FootnoteText"/>
      </w:pPr>
      <w:r>
        <w:rPr>
          <w:rStyle w:val="FootnoteReference"/>
        </w:rPr>
        <w:footnoteRef/>
      </w:r>
      <w:r>
        <w:t xml:space="preserve"> </w:t>
      </w:r>
      <w:r w:rsidR="000F2D9B">
        <w:t>Catholic Encyclopedia, Divine Judgment</w:t>
      </w:r>
    </w:p>
  </w:footnote>
  <w:footnote w:id="60">
    <w:p w14:paraId="53D0E783" w14:textId="77777777" w:rsidR="00255B40" w:rsidRPr="00085FA8" w:rsidRDefault="00D70A92" w:rsidP="00255B40">
      <w:pPr>
        <w:pStyle w:val="FootnoteText"/>
      </w:pPr>
      <w:r>
        <w:rPr>
          <w:rStyle w:val="FootnoteReference"/>
        </w:rPr>
        <w:footnoteRef/>
      </w:r>
      <w:r>
        <w:t xml:space="preserve"> </w:t>
      </w:r>
      <w:r w:rsidR="00255B40" w:rsidRPr="00085FA8">
        <w:t>Catechism of the Catholic Church, 461</w:t>
      </w:r>
    </w:p>
    <w:p w14:paraId="2C0C8A0D" w14:textId="66A09C0C" w:rsidR="00D70A92" w:rsidRDefault="00255B40">
      <w:pPr>
        <w:pStyle w:val="FootnoteText"/>
      </w:pPr>
      <w:r w:rsidRPr="00255B40">
        <w:t xml:space="preserve">Taking up St. John's expression, “The Word became flesh “, </w:t>
      </w:r>
      <w:r w:rsidRPr="00255B40">
        <w:rPr>
          <w:rFonts w:ascii="Cambria Math" w:hAnsi="Cambria Math" w:cs="Cambria Math"/>
        </w:rPr>
        <w:t>⇒</w:t>
      </w:r>
      <w:r w:rsidRPr="00255B40">
        <w:t xml:space="preserve"> Jn 1:14. The Church calls </w:t>
      </w:r>
      <w:r w:rsidRPr="00255B40">
        <w:rPr>
          <w:rFonts w:ascii="Aptos" w:hAnsi="Aptos" w:cs="Aptos"/>
        </w:rPr>
        <w:t>“</w:t>
      </w:r>
      <w:r w:rsidRPr="00255B40">
        <w:t>Incarnation</w:t>
      </w:r>
      <w:r w:rsidRPr="00255B40">
        <w:rPr>
          <w:rFonts w:ascii="Aptos" w:hAnsi="Aptos" w:cs="Aptos"/>
        </w:rPr>
        <w:t xml:space="preserve"> </w:t>
      </w:r>
      <w:r w:rsidRPr="00255B40">
        <w:t>the fact that the Son of God assumed a human nature in order to accomplish our salvation in it.</w:t>
      </w:r>
    </w:p>
  </w:footnote>
  <w:footnote w:id="61">
    <w:p w14:paraId="3DE19B91" w14:textId="7F769017" w:rsidR="00255B40" w:rsidRDefault="00255B40">
      <w:pPr>
        <w:pStyle w:val="FootnoteText"/>
      </w:pPr>
      <w:r>
        <w:rPr>
          <w:rStyle w:val="FootnoteReference"/>
        </w:rPr>
        <w:footnoteRef/>
      </w:r>
      <w:r>
        <w:t xml:space="preserve"> Ibid, </w:t>
      </w:r>
    </w:p>
  </w:footnote>
  <w:footnote w:id="62">
    <w:p w14:paraId="17D73CAB" w14:textId="3EACBEAC" w:rsidR="00255B40" w:rsidRDefault="00255B40">
      <w:pPr>
        <w:pStyle w:val="FootnoteText"/>
      </w:pPr>
      <w:r>
        <w:rPr>
          <w:rStyle w:val="FootnoteReference"/>
        </w:rPr>
        <w:footnoteRef/>
      </w:r>
      <w:r>
        <w:t xml:space="preserve"> </w:t>
      </w:r>
      <w:r w:rsidR="00055ADD">
        <w:t>Catechism of the Catholic Church,</w:t>
      </w:r>
    </w:p>
  </w:footnote>
  <w:footnote w:id="63">
    <w:p w14:paraId="54C99001" w14:textId="4B3630E5" w:rsidR="003533AE" w:rsidRDefault="003533AE">
      <w:pPr>
        <w:pStyle w:val="FootnoteText"/>
      </w:pPr>
      <w:r>
        <w:rPr>
          <w:rStyle w:val="FootnoteReference"/>
        </w:rPr>
        <w:footnoteRef/>
      </w:r>
      <w:r>
        <w:t xml:space="preserve"> </w:t>
      </w:r>
      <w:r w:rsidR="00A26F98">
        <w:t xml:space="preserve">The New Revised Edition, </w:t>
      </w:r>
      <w:r w:rsidR="007D45BF">
        <w:t>Catholic, The Holy Bible</w:t>
      </w:r>
      <w:r w:rsidR="00DC7CF1">
        <w:t xml:space="preserve">, </w:t>
      </w:r>
    </w:p>
  </w:footnote>
  <w:footnote w:id="64">
    <w:p w14:paraId="3DC37A35" w14:textId="5C1E2F2A" w:rsidR="007D45BF" w:rsidRDefault="007D45BF">
      <w:pPr>
        <w:pStyle w:val="FootnoteText"/>
      </w:pPr>
      <w:r>
        <w:rPr>
          <w:rStyle w:val="FootnoteReference"/>
        </w:rPr>
        <w:footnoteRef/>
      </w:r>
      <w:r>
        <w:t xml:space="preserve"> </w:t>
      </w:r>
      <w:r w:rsidR="0060344E">
        <w:t xml:space="preserve">CCC </w:t>
      </w:r>
      <w:r w:rsidR="00DC7CF1">
        <w:t>46</w:t>
      </w:r>
      <w:r w:rsidR="0060344E">
        <w:t>1,</w:t>
      </w:r>
    </w:p>
  </w:footnote>
  <w:footnote w:id="65">
    <w:p w14:paraId="4C9B5654" w14:textId="0D0446B6" w:rsidR="0060344E" w:rsidRDefault="0060344E">
      <w:pPr>
        <w:pStyle w:val="FootnoteText"/>
      </w:pPr>
      <w:r>
        <w:rPr>
          <w:rStyle w:val="FootnoteReference"/>
        </w:rPr>
        <w:footnoteRef/>
      </w:r>
      <w:r>
        <w:t xml:space="preserve"> </w:t>
      </w:r>
      <w:r w:rsidR="00B36EA5">
        <w:t>CCC 460</w:t>
      </w:r>
      <w:r w:rsidR="00DC7CF1">
        <w:t>,</w:t>
      </w:r>
    </w:p>
  </w:footnote>
  <w:footnote w:id="66">
    <w:p w14:paraId="4ED1F3A1" w14:textId="6F424C32" w:rsidR="00DC7CF1" w:rsidRDefault="00DC7CF1">
      <w:pPr>
        <w:pStyle w:val="FootnoteText"/>
      </w:pPr>
      <w:r>
        <w:rPr>
          <w:rStyle w:val="FootnoteReference"/>
        </w:rPr>
        <w:footnoteRef/>
      </w:r>
      <w:r>
        <w:t xml:space="preserve"> </w:t>
      </w:r>
      <w:r w:rsidR="00367F6D">
        <w:t>Ibid,</w:t>
      </w:r>
    </w:p>
  </w:footnote>
  <w:footnote w:id="67">
    <w:p w14:paraId="74338D9D" w14:textId="123849E4" w:rsidR="002A203A" w:rsidRDefault="002A203A">
      <w:pPr>
        <w:pStyle w:val="FootnoteText"/>
      </w:pPr>
      <w:r>
        <w:rPr>
          <w:rStyle w:val="FootnoteReference"/>
        </w:rPr>
        <w:footnoteRef/>
      </w:r>
      <w:r>
        <w:t xml:space="preserve"> </w:t>
      </w:r>
      <w:r w:rsidR="005B796C">
        <w:t xml:space="preserve">The Revised Standard Version, </w:t>
      </w:r>
      <w:r w:rsidR="007D1FF3">
        <w:t>Catholic, The Holy Bible</w:t>
      </w:r>
      <w:r w:rsidR="009D2197">
        <w:t xml:space="preserve"> </w:t>
      </w:r>
      <w:r w:rsidR="00A303D9">
        <w:t xml:space="preserve">                                                                            </w:t>
      </w:r>
      <w:r w:rsidR="009A42A5">
        <w:t xml:space="preserve">                                                                                                                                                                                                         </w:t>
      </w:r>
    </w:p>
  </w:footnote>
  <w:footnote w:id="68">
    <w:p w14:paraId="3FD57034" w14:textId="56DAE962" w:rsidR="002058A3" w:rsidRDefault="002058A3">
      <w:pPr>
        <w:pStyle w:val="FootnoteText"/>
      </w:pPr>
      <w:r>
        <w:rPr>
          <w:rStyle w:val="FootnoteReference"/>
        </w:rPr>
        <w:footnoteRef/>
      </w:r>
      <w:r>
        <w:t xml:space="preserve"> </w:t>
      </w:r>
      <w:r w:rsidR="00367F6D">
        <w:t>CCC 573</w:t>
      </w:r>
    </w:p>
  </w:footnote>
  <w:footnote w:id="69">
    <w:p w14:paraId="24AF25E1" w14:textId="0C022413" w:rsidR="00DE0170" w:rsidRDefault="00DE0170">
      <w:pPr>
        <w:pStyle w:val="FootnoteText"/>
      </w:pPr>
      <w:r>
        <w:rPr>
          <w:rStyle w:val="FootnoteReference"/>
        </w:rPr>
        <w:footnoteRef/>
      </w:r>
      <w:r>
        <w:t xml:space="preserve"> Ibid,</w:t>
      </w:r>
    </w:p>
  </w:footnote>
  <w:footnote w:id="70">
    <w:p w14:paraId="37C7BC7B" w14:textId="52E1833F" w:rsidR="00DE0170" w:rsidRDefault="00DE0170">
      <w:pPr>
        <w:pStyle w:val="FootnoteText"/>
      </w:pPr>
      <w:r>
        <w:rPr>
          <w:rStyle w:val="FootnoteReference"/>
        </w:rPr>
        <w:footnoteRef/>
      </w:r>
      <w:r>
        <w:t xml:space="preserve"> </w:t>
      </w:r>
      <w:r w:rsidR="008C6408">
        <w:t>CCC 571</w:t>
      </w:r>
    </w:p>
  </w:footnote>
  <w:footnote w:id="71">
    <w:p w14:paraId="50FDE8F5" w14:textId="5DABE79D" w:rsidR="008C6408" w:rsidRDefault="008C6408">
      <w:pPr>
        <w:pStyle w:val="FootnoteText"/>
      </w:pPr>
      <w:r>
        <w:rPr>
          <w:rStyle w:val="FootnoteReference"/>
        </w:rPr>
        <w:footnoteRef/>
      </w:r>
      <w:r>
        <w:t xml:space="preserve"> The Revised Standard Version, Catholic, The Holy Bible                                                                                                                                                                                                                                                                                      </w:t>
      </w:r>
    </w:p>
  </w:footnote>
  <w:footnote w:id="72">
    <w:p w14:paraId="0C371CAE" w14:textId="22BAA617" w:rsidR="007A0EE8" w:rsidRDefault="007A0EE8">
      <w:pPr>
        <w:pStyle w:val="FootnoteText"/>
      </w:pPr>
      <w:r>
        <w:rPr>
          <w:rStyle w:val="FootnoteReference"/>
        </w:rPr>
        <w:footnoteRef/>
      </w:r>
      <w:r>
        <w:t xml:space="preserve"> CCC 571</w:t>
      </w:r>
    </w:p>
  </w:footnote>
  <w:footnote w:id="73">
    <w:p w14:paraId="767BE5A6" w14:textId="42BF6CB1" w:rsidR="009955D6" w:rsidRDefault="009955D6">
      <w:pPr>
        <w:pStyle w:val="FootnoteText"/>
      </w:pPr>
      <w:r>
        <w:rPr>
          <w:rStyle w:val="FootnoteReference"/>
        </w:rPr>
        <w:footnoteRef/>
      </w:r>
      <w:r>
        <w:t xml:space="preserve"> The Revised Standard Version, Catholic, The Holy Bible</w:t>
      </w:r>
    </w:p>
  </w:footnote>
  <w:footnote w:id="74">
    <w:p w14:paraId="5759C01C" w14:textId="732D5B34" w:rsidR="009955D6" w:rsidRDefault="009955D6">
      <w:pPr>
        <w:pStyle w:val="FootnoteText"/>
      </w:pPr>
      <w:r>
        <w:rPr>
          <w:rStyle w:val="FootnoteReference"/>
        </w:rPr>
        <w:footnoteRef/>
      </w:r>
      <w:r>
        <w:t xml:space="preserve"> </w:t>
      </w:r>
      <w:r w:rsidR="00A62BE8">
        <w:t>Ibid,</w:t>
      </w:r>
    </w:p>
  </w:footnote>
  <w:footnote w:id="75">
    <w:p w14:paraId="72961062" w14:textId="502978BD" w:rsidR="00381D27" w:rsidRDefault="00381D27">
      <w:pPr>
        <w:pStyle w:val="FootnoteText"/>
      </w:pPr>
      <w:r>
        <w:rPr>
          <w:rStyle w:val="FootnoteReference"/>
        </w:rPr>
        <w:footnoteRef/>
      </w:r>
      <w:r>
        <w:t xml:space="preserve"> CCC 571</w:t>
      </w:r>
    </w:p>
  </w:footnote>
  <w:footnote w:id="76">
    <w:p w14:paraId="18E5AC76" w14:textId="65A08285" w:rsidR="009B039E" w:rsidRDefault="009B039E">
      <w:pPr>
        <w:pStyle w:val="FootnoteText"/>
      </w:pPr>
      <w:r>
        <w:rPr>
          <w:rStyle w:val="FootnoteReference"/>
        </w:rPr>
        <w:footnoteRef/>
      </w:r>
      <w:r>
        <w:t xml:space="preserve"> </w:t>
      </w:r>
      <w:r w:rsidR="00295820">
        <w:t xml:space="preserve">The </w:t>
      </w:r>
      <w:r w:rsidR="000C0C08">
        <w:t xml:space="preserve">New Revised </w:t>
      </w:r>
      <w:r w:rsidR="004D564D">
        <w:t>S</w:t>
      </w:r>
      <w:r w:rsidR="000C0C08">
        <w:t>tandard Version</w:t>
      </w:r>
      <w:r w:rsidR="008823CC">
        <w:t xml:space="preserve">, </w:t>
      </w:r>
      <w:r w:rsidR="009409EC">
        <w:t>Catholic, The Holy Bible, Acts 2</w:t>
      </w:r>
    </w:p>
  </w:footnote>
  <w:footnote w:id="77">
    <w:p w14:paraId="34E19EBC" w14:textId="36F83F7A" w:rsidR="00BC3E8E" w:rsidRDefault="00BC3E8E">
      <w:pPr>
        <w:pStyle w:val="FootnoteText"/>
      </w:pPr>
      <w:r>
        <w:rPr>
          <w:rStyle w:val="FootnoteReference"/>
        </w:rPr>
        <w:footnoteRef/>
      </w:r>
      <w:r>
        <w:t xml:space="preserve"> Ibid,</w:t>
      </w:r>
    </w:p>
  </w:footnote>
  <w:footnote w:id="78">
    <w:p w14:paraId="328E94B8" w14:textId="7B8B4822" w:rsidR="00BC3E8E" w:rsidRDefault="00295820">
      <w:pPr>
        <w:pStyle w:val="FootnoteText"/>
      </w:pPr>
      <w:r>
        <w:rPr>
          <w:rStyle w:val="FootnoteReference"/>
        </w:rPr>
        <w:footnoteRef/>
      </w:r>
      <w:r w:rsidR="00BC3E8E">
        <w:rPr>
          <w:rStyle w:val="FootnoteReference"/>
        </w:rPr>
        <w:footnoteRef/>
      </w:r>
      <w:r w:rsidR="00BC3E8E">
        <w:t xml:space="preserve"> </w:t>
      </w:r>
      <w:r>
        <w:t xml:space="preserve">The </w:t>
      </w:r>
      <w:r w:rsidR="00BC3E8E">
        <w:t>New Revised Standard Version, Catholic, The Holy Bible, Acts 2</w:t>
      </w:r>
    </w:p>
  </w:footnote>
  <w:footnote w:id="79">
    <w:p w14:paraId="31188FC9" w14:textId="40D06B73" w:rsidR="00BC3E8E" w:rsidRDefault="00BC3E8E">
      <w:pPr>
        <w:pStyle w:val="FootnoteText"/>
      </w:pPr>
      <w:r>
        <w:rPr>
          <w:rStyle w:val="FootnoteReference"/>
        </w:rPr>
        <w:footnoteRef/>
      </w:r>
      <w:r w:rsidR="00295820">
        <w:t xml:space="preserve"> The</w:t>
      </w:r>
      <w:r>
        <w:t xml:space="preserve"> New Revised Standard Version, Catholic, The Holy Bible, Acts 2</w:t>
      </w:r>
    </w:p>
  </w:footnote>
  <w:footnote w:id="80">
    <w:p w14:paraId="599E20AB" w14:textId="5F5CC038" w:rsidR="00BC3E8E" w:rsidRDefault="00BC3E8E">
      <w:pPr>
        <w:pStyle w:val="FootnoteText"/>
      </w:pPr>
      <w:r>
        <w:rPr>
          <w:rStyle w:val="FootnoteReference"/>
        </w:rPr>
        <w:footnoteRef/>
      </w:r>
      <w:r>
        <w:t xml:space="preserve"> Ibid,</w:t>
      </w:r>
    </w:p>
  </w:footnote>
  <w:footnote w:id="81">
    <w:p w14:paraId="068FAC58" w14:textId="6022ADBC" w:rsidR="00FF1524" w:rsidRDefault="00FF1524">
      <w:pPr>
        <w:pStyle w:val="FootnoteText"/>
      </w:pPr>
      <w:r>
        <w:rPr>
          <w:rStyle w:val="FootnoteReference"/>
        </w:rPr>
        <w:footnoteRef/>
      </w:r>
      <w:r w:rsidR="00295820">
        <w:t>The New</w:t>
      </w:r>
      <w:r>
        <w:t xml:space="preserve"> Revised Standard Version, Catholic, The Holy Bible, Acts 2</w:t>
      </w:r>
      <w:r w:rsidR="005A31AE">
        <w:t>:42—2:47</w:t>
      </w:r>
    </w:p>
  </w:footnote>
  <w:footnote w:id="82">
    <w:p w14:paraId="18CF8DC7" w14:textId="6C3AC1F9" w:rsidR="00396223" w:rsidRDefault="00396223">
      <w:pPr>
        <w:pStyle w:val="FootnoteText"/>
      </w:pPr>
      <w:r>
        <w:rPr>
          <w:rStyle w:val="FootnoteReference"/>
        </w:rPr>
        <w:footnoteRef/>
      </w:r>
      <w:r>
        <w:t xml:space="preserve"> Ibid,</w:t>
      </w:r>
    </w:p>
  </w:footnote>
  <w:footnote w:id="83">
    <w:p w14:paraId="0D6098F5" w14:textId="3F1110AC" w:rsidR="00396223" w:rsidRDefault="00396223">
      <w:pPr>
        <w:pStyle w:val="FootnoteText"/>
      </w:pPr>
      <w:r>
        <w:rPr>
          <w:rStyle w:val="FootnoteReference"/>
        </w:rPr>
        <w:footnoteRef/>
      </w:r>
      <w:r>
        <w:t xml:space="preserve"> </w:t>
      </w:r>
      <w:r w:rsidR="00295820">
        <w:t xml:space="preserve">The New Revised Standard Version, Catholic, The Holy Bible, Acts </w:t>
      </w:r>
      <w:r w:rsidR="00121034">
        <w:t>4:32-</w:t>
      </w:r>
      <w:r w:rsidR="00C330B2">
        <w:t>4:37</w:t>
      </w:r>
    </w:p>
  </w:footnote>
  <w:footnote w:id="84">
    <w:p w14:paraId="3CB99B75" w14:textId="4F97334F" w:rsidR="00121034" w:rsidRDefault="00121034">
      <w:pPr>
        <w:pStyle w:val="FootnoteText"/>
      </w:pPr>
      <w:r>
        <w:rPr>
          <w:rStyle w:val="FootnoteReference"/>
        </w:rPr>
        <w:footnoteRef/>
      </w:r>
      <w:r w:rsidR="00C330B2">
        <w:t xml:space="preserve"> Ibid,</w:t>
      </w:r>
    </w:p>
  </w:footnote>
  <w:footnote w:id="85">
    <w:p w14:paraId="5493AA4B" w14:textId="592A707B" w:rsidR="00C330B2" w:rsidRDefault="00C330B2">
      <w:pPr>
        <w:pStyle w:val="FootnoteText"/>
      </w:pPr>
      <w:r>
        <w:rPr>
          <w:rStyle w:val="FootnoteReference"/>
        </w:rPr>
        <w:footnoteRef/>
      </w:r>
      <w:r>
        <w:t xml:space="preserve"> </w:t>
      </w:r>
      <w:r w:rsidR="000068C3">
        <w:t>CCC 77</w:t>
      </w:r>
    </w:p>
  </w:footnote>
  <w:footnote w:id="86">
    <w:p w14:paraId="2EB40E10" w14:textId="4792F4A6" w:rsidR="000068C3" w:rsidRDefault="000068C3">
      <w:pPr>
        <w:pStyle w:val="FootnoteText"/>
      </w:pPr>
      <w:r>
        <w:rPr>
          <w:rStyle w:val="FootnoteReference"/>
        </w:rPr>
        <w:footnoteRef/>
      </w:r>
      <w:r>
        <w:t xml:space="preserve"> </w:t>
      </w:r>
      <w:r w:rsidR="0059118B">
        <w:t>CCC 1555</w:t>
      </w:r>
    </w:p>
  </w:footnote>
  <w:footnote w:id="87">
    <w:p w14:paraId="52868574" w14:textId="4EF4CF7F" w:rsidR="0059118B" w:rsidRDefault="0059118B">
      <w:pPr>
        <w:pStyle w:val="FootnoteText"/>
      </w:pPr>
      <w:r>
        <w:rPr>
          <w:rStyle w:val="FootnoteReference"/>
        </w:rPr>
        <w:footnoteRef/>
      </w:r>
      <w:r>
        <w:t xml:space="preserve"> </w:t>
      </w:r>
      <w:r w:rsidR="00604F6F">
        <w:t>Code of Canon Law</w:t>
      </w:r>
      <w:r w:rsidR="0059754C">
        <w:t>, 375</w:t>
      </w:r>
    </w:p>
  </w:footnote>
  <w:footnote w:id="88">
    <w:p w14:paraId="2A8A31F5" w14:textId="3576A78B" w:rsidR="0059754C" w:rsidRDefault="0059754C">
      <w:pPr>
        <w:pStyle w:val="FootnoteText"/>
      </w:pPr>
      <w:r>
        <w:rPr>
          <w:rStyle w:val="FootnoteReference"/>
        </w:rPr>
        <w:footnoteRef/>
      </w:r>
      <w:r>
        <w:t xml:space="preserve"> Sacred </w:t>
      </w:r>
      <w:r w:rsidR="008403D9">
        <w:t>Congregation for Bishops.</w:t>
      </w:r>
      <w:r>
        <w:t xml:space="preserve"> </w:t>
      </w:r>
    </w:p>
  </w:footnote>
  <w:footnote w:id="89">
    <w:p w14:paraId="0C998FE2" w14:textId="1C1B6716" w:rsidR="005E45E6" w:rsidRDefault="005E45E6">
      <w:pPr>
        <w:pStyle w:val="FootnoteText"/>
      </w:pPr>
      <w:r>
        <w:rPr>
          <w:rStyle w:val="FootnoteReference"/>
        </w:rPr>
        <w:footnoteRef/>
      </w:r>
      <w:r>
        <w:t xml:space="preserve"> </w:t>
      </w:r>
      <w:r w:rsidR="00221BE4">
        <w:t xml:space="preserve">Pope John II, Patores </w:t>
      </w:r>
      <w:r w:rsidR="00185EBA">
        <w:t>g</w:t>
      </w:r>
      <w:r w:rsidR="00AC31A9">
        <w:t>regis</w:t>
      </w:r>
      <w:r w:rsidR="00185EBA">
        <w:t>,9</w:t>
      </w:r>
    </w:p>
  </w:footnote>
  <w:footnote w:id="90">
    <w:p w14:paraId="36A9FADA" w14:textId="2497D77A" w:rsidR="00185EBA" w:rsidRDefault="00185EBA">
      <w:pPr>
        <w:pStyle w:val="FootnoteText"/>
      </w:pPr>
      <w:r>
        <w:rPr>
          <w:rStyle w:val="FootnoteReference"/>
        </w:rPr>
        <w:footnoteRef/>
      </w:r>
      <w:r>
        <w:t xml:space="preserve"> </w:t>
      </w:r>
      <w:r w:rsidR="009A7309">
        <w:t xml:space="preserve">The New Revised Standard Version, Catholic, The Holy Bible, Acts </w:t>
      </w:r>
      <w:r w:rsidR="00406B8C">
        <w:t>1:15-1:26</w:t>
      </w:r>
    </w:p>
  </w:footnote>
  <w:footnote w:id="91">
    <w:p w14:paraId="2FDA5486" w14:textId="668984B2" w:rsidR="00913CFC" w:rsidRDefault="00913CFC">
      <w:pPr>
        <w:pStyle w:val="FootnoteText"/>
      </w:pPr>
      <w:r>
        <w:rPr>
          <w:rStyle w:val="FootnoteReference"/>
        </w:rPr>
        <w:footnoteRef/>
      </w:r>
      <w:r>
        <w:t xml:space="preserve"> CCC 1576</w:t>
      </w:r>
    </w:p>
  </w:footnote>
  <w:footnote w:id="92">
    <w:p w14:paraId="7E0CC12D" w14:textId="3765E19E" w:rsidR="00913CFC" w:rsidRDefault="00913CFC">
      <w:pPr>
        <w:pStyle w:val="FootnoteText"/>
      </w:pPr>
      <w:r>
        <w:rPr>
          <w:rStyle w:val="FootnoteReference"/>
        </w:rPr>
        <w:footnoteRef/>
      </w:r>
      <w:r>
        <w:t xml:space="preserve"> The New Revised Standard Version, Catholic, The Holy Bible, Acts 2</w:t>
      </w:r>
    </w:p>
  </w:footnote>
  <w:footnote w:id="93">
    <w:p w14:paraId="353BFFE4" w14:textId="1C9CEFE1" w:rsidR="00913CFC" w:rsidRDefault="00913CFC">
      <w:pPr>
        <w:pStyle w:val="FootnoteText"/>
      </w:pPr>
      <w:r>
        <w:rPr>
          <w:rStyle w:val="FootnoteReference"/>
        </w:rPr>
        <w:footnoteRef/>
      </w:r>
      <w:r>
        <w:t xml:space="preserve"> Ibid,</w:t>
      </w:r>
    </w:p>
  </w:footnote>
  <w:footnote w:id="94">
    <w:p w14:paraId="1C73502F" w14:textId="093C355B" w:rsidR="00913CFC" w:rsidRDefault="00913CFC">
      <w:pPr>
        <w:pStyle w:val="FootnoteText"/>
      </w:pPr>
      <w:r>
        <w:rPr>
          <w:rStyle w:val="FootnoteReference"/>
        </w:rPr>
        <w:footnoteRef/>
      </w:r>
      <w:r>
        <w:t xml:space="preserve"> </w:t>
      </w:r>
      <w:r w:rsidR="00323694">
        <w:t>The New Revised Standard Version, Catholic, The Holy Bible, Acts 2:42—2:47</w:t>
      </w:r>
    </w:p>
  </w:footnote>
  <w:footnote w:id="95">
    <w:p w14:paraId="5E4068EA" w14:textId="1494CDBA" w:rsidR="00323694" w:rsidRDefault="00323694">
      <w:pPr>
        <w:pStyle w:val="FootnoteText"/>
      </w:pPr>
      <w:r>
        <w:rPr>
          <w:rStyle w:val="FootnoteReference"/>
        </w:rPr>
        <w:footnoteRef/>
      </w:r>
      <w:r>
        <w:t xml:space="preserve"> The New Revised Standard Version, Catholic, The Holy Bible, Acts 4:32-4:37</w:t>
      </w:r>
    </w:p>
  </w:footnote>
  <w:footnote w:id="96">
    <w:p w14:paraId="4A47AFAE" w14:textId="6147DD03" w:rsidR="00323694" w:rsidRDefault="00323694">
      <w:pPr>
        <w:pStyle w:val="FootnoteText"/>
      </w:pPr>
      <w:r>
        <w:rPr>
          <w:rStyle w:val="FootnoteReference"/>
        </w:rPr>
        <w:footnoteRef/>
      </w:r>
      <w:r>
        <w:t xml:space="preserve"> </w:t>
      </w:r>
      <w:r w:rsidR="00653BB3">
        <w:t>Code of Canon Law, 375</w:t>
      </w:r>
    </w:p>
  </w:footnote>
  <w:footnote w:id="97">
    <w:p w14:paraId="235E1B30" w14:textId="7BC1D0BF" w:rsidR="00F36F63" w:rsidRDefault="00F36F63">
      <w:pPr>
        <w:pStyle w:val="FootnoteText"/>
      </w:pPr>
      <w:r>
        <w:rPr>
          <w:rStyle w:val="FootnoteReference"/>
        </w:rPr>
        <w:footnoteRef/>
      </w:r>
      <w:r>
        <w:t xml:space="preserve"> CCC 75</w:t>
      </w:r>
    </w:p>
  </w:footnote>
  <w:footnote w:id="98">
    <w:p w14:paraId="2895991D" w14:textId="56752183" w:rsidR="00F36F63" w:rsidRDefault="00F36F63">
      <w:pPr>
        <w:pStyle w:val="FootnoteText"/>
      </w:pPr>
      <w:r>
        <w:rPr>
          <w:rStyle w:val="FootnoteReference"/>
        </w:rPr>
        <w:footnoteRef/>
      </w:r>
      <w:r>
        <w:t xml:space="preserve"> </w:t>
      </w:r>
      <w:r w:rsidR="0063017A">
        <w:t>CCC 1555</w:t>
      </w:r>
    </w:p>
  </w:footnote>
  <w:footnote w:id="99">
    <w:p w14:paraId="669C0B5F" w14:textId="62107D00" w:rsidR="0063017A" w:rsidRDefault="0063017A">
      <w:pPr>
        <w:pStyle w:val="FootnoteText"/>
      </w:pPr>
      <w:r>
        <w:rPr>
          <w:rStyle w:val="FootnoteReference"/>
        </w:rPr>
        <w:footnoteRef/>
      </w:r>
      <w:r>
        <w:t xml:space="preserve"> </w:t>
      </w:r>
      <w:r w:rsidR="00C5554B">
        <w:t>Sacred Congregation for Bishops.</w:t>
      </w:r>
    </w:p>
  </w:footnote>
  <w:footnote w:id="100">
    <w:p w14:paraId="4CAC0792" w14:textId="6ED007AC" w:rsidR="00C5554B" w:rsidRDefault="00C5554B">
      <w:pPr>
        <w:pStyle w:val="FootnoteText"/>
      </w:pPr>
      <w:r>
        <w:rPr>
          <w:rStyle w:val="FootnoteReference"/>
        </w:rPr>
        <w:footnoteRef/>
      </w:r>
      <w:r>
        <w:t xml:space="preserve"> </w:t>
      </w:r>
      <w:r w:rsidR="00815245">
        <w:t>CCC 1576</w:t>
      </w:r>
    </w:p>
  </w:footnote>
  <w:footnote w:id="101">
    <w:p w14:paraId="20FAE2AF" w14:textId="2C9D3D0D" w:rsidR="003E0308" w:rsidRDefault="003E0308">
      <w:pPr>
        <w:pStyle w:val="FootnoteText"/>
      </w:pPr>
      <w:r>
        <w:rPr>
          <w:rStyle w:val="FootnoteReference"/>
        </w:rPr>
        <w:footnoteRef/>
      </w:r>
      <w:r>
        <w:t xml:space="preserve"> The Revised Standard Version, Catholic, The Holy Bible</w:t>
      </w:r>
    </w:p>
  </w:footnote>
  <w:footnote w:id="102">
    <w:p w14:paraId="5386BD9D" w14:textId="3D7282D0" w:rsidR="003E0308" w:rsidRDefault="003E0308">
      <w:pPr>
        <w:pStyle w:val="FootnoteText"/>
      </w:pPr>
      <w:r>
        <w:rPr>
          <w:rStyle w:val="FootnoteReference"/>
        </w:rPr>
        <w:footnoteRef/>
      </w:r>
      <w:r>
        <w:t xml:space="preserve"> CCC 461</w:t>
      </w:r>
    </w:p>
  </w:footnote>
  <w:footnote w:id="103">
    <w:p w14:paraId="4A9F8CEA" w14:textId="7CA7A144" w:rsidR="00101394" w:rsidRDefault="00101394">
      <w:pPr>
        <w:pStyle w:val="FootnoteText"/>
      </w:pPr>
      <w:r>
        <w:rPr>
          <w:rStyle w:val="FootnoteReference"/>
        </w:rPr>
        <w:footnoteRef/>
      </w:r>
      <w:r>
        <w:t xml:space="preserve"> </w:t>
      </w:r>
      <w:r w:rsidR="0083143A">
        <w:t>Ibid,</w:t>
      </w:r>
    </w:p>
  </w:footnote>
  <w:footnote w:id="104">
    <w:p w14:paraId="72A0ED05" w14:textId="63FF8887" w:rsidR="0083143A" w:rsidRDefault="0083143A">
      <w:pPr>
        <w:pStyle w:val="FootnoteText"/>
      </w:pPr>
      <w:r>
        <w:rPr>
          <w:rStyle w:val="FootnoteReference"/>
        </w:rPr>
        <w:footnoteRef/>
      </w:r>
      <w:r>
        <w:t xml:space="preserve"> CCC 460</w:t>
      </w:r>
    </w:p>
  </w:footnote>
  <w:footnote w:id="105">
    <w:p w14:paraId="0A288B08" w14:textId="44D081F4" w:rsidR="002F5834" w:rsidRDefault="002F5834">
      <w:pPr>
        <w:pStyle w:val="FootnoteText"/>
      </w:pPr>
      <w:r>
        <w:rPr>
          <w:rStyle w:val="FootnoteReference"/>
        </w:rPr>
        <w:footnoteRef/>
      </w:r>
      <w:r>
        <w:t xml:space="preserve"> The Revised Standard Version, Catholic, The Holy Bible</w:t>
      </w:r>
    </w:p>
  </w:footnote>
  <w:footnote w:id="106">
    <w:p w14:paraId="005C1E63" w14:textId="16BB24EF" w:rsidR="002F5834" w:rsidRDefault="002F5834">
      <w:pPr>
        <w:pStyle w:val="FootnoteText"/>
      </w:pPr>
      <w:r>
        <w:rPr>
          <w:rStyle w:val="FootnoteReference"/>
        </w:rPr>
        <w:footnoteRef/>
      </w:r>
      <w:r>
        <w:t xml:space="preserve"> </w:t>
      </w:r>
      <w:r w:rsidR="00A225CA">
        <w:t>Ibid,</w:t>
      </w:r>
    </w:p>
  </w:footnote>
  <w:footnote w:id="107">
    <w:p w14:paraId="41DF2C84" w14:textId="3D984AB8" w:rsidR="00A225CA" w:rsidRDefault="00A225CA">
      <w:pPr>
        <w:pStyle w:val="FootnoteText"/>
      </w:pPr>
      <w:r>
        <w:rPr>
          <w:rStyle w:val="FootnoteReference"/>
        </w:rPr>
        <w:footnoteRef/>
      </w:r>
      <w:r>
        <w:t xml:space="preserve"> </w:t>
      </w:r>
      <w:r w:rsidR="004A2E81">
        <w:t>CCC 460</w:t>
      </w:r>
    </w:p>
  </w:footnote>
  <w:footnote w:id="108">
    <w:p w14:paraId="00B77251" w14:textId="12605C02" w:rsidR="004A2E81" w:rsidRDefault="004A2E81">
      <w:pPr>
        <w:pStyle w:val="FootnoteText"/>
      </w:pPr>
      <w:r>
        <w:rPr>
          <w:rStyle w:val="FootnoteReference"/>
        </w:rPr>
        <w:footnoteRef/>
      </w:r>
      <w:r>
        <w:t xml:space="preserve"> The Revised Standard Version, Catholic, The Holy Bible</w:t>
      </w:r>
    </w:p>
  </w:footnote>
  <w:footnote w:id="109">
    <w:p w14:paraId="0145B2D9" w14:textId="310990F0" w:rsidR="00FF3155" w:rsidRDefault="00FF3155">
      <w:pPr>
        <w:pStyle w:val="FootnoteText"/>
      </w:pPr>
      <w:r>
        <w:rPr>
          <w:rStyle w:val="FootnoteReference"/>
        </w:rPr>
        <w:footnoteRef/>
      </w:r>
      <w:r>
        <w:t xml:space="preserve"> The Revised Standard Version, Catholic, The Holy Bible</w:t>
      </w:r>
    </w:p>
  </w:footnote>
  <w:footnote w:id="110">
    <w:p w14:paraId="12150CCE" w14:textId="0BB01460" w:rsidR="00FF3155" w:rsidRDefault="00FF3155">
      <w:pPr>
        <w:pStyle w:val="FootnoteText"/>
      </w:pPr>
      <w:r>
        <w:rPr>
          <w:rStyle w:val="FootnoteReference"/>
        </w:rPr>
        <w:footnoteRef/>
      </w:r>
      <w:r>
        <w:t xml:space="preserve"> CCC 461</w:t>
      </w:r>
    </w:p>
  </w:footnote>
  <w:footnote w:id="111">
    <w:p w14:paraId="3CCC1CF3" w14:textId="234F0880" w:rsidR="00FF3155" w:rsidRDefault="00FF3155">
      <w:pPr>
        <w:pStyle w:val="FootnoteText"/>
      </w:pPr>
      <w:r>
        <w:rPr>
          <w:rStyle w:val="FootnoteReference"/>
        </w:rPr>
        <w:footnoteRef/>
      </w:r>
      <w:r>
        <w:t xml:space="preserve"> Ibid,</w:t>
      </w:r>
    </w:p>
  </w:footnote>
  <w:footnote w:id="112">
    <w:p w14:paraId="03C3D5CB" w14:textId="29220093" w:rsidR="00FF3155" w:rsidRDefault="00FF3155">
      <w:pPr>
        <w:pStyle w:val="FootnoteText"/>
      </w:pPr>
      <w:r>
        <w:rPr>
          <w:rStyle w:val="FootnoteReference"/>
        </w:rPr>
        <w:footnoteRef/>
      </w:r>
      <w:r>
        <w:t xml:space="preserve"> </w:t>
      </w:r>
      <w:r w:rsidR="009C307A">
        <w:t>The Revised Standard Version, Catholic, The Holy Bible</w:t>
      </w:r>
    </w:p>
  </w:footnote>
  <w:footnote w:id="113">
    <w:p w14:paraId="1F7E0190" w14:textId="7028F0A7" w:rsidR="009C307A" w:rsidRDefault="009C307A">
      <w:pPr>
        <w:pStyle w:val="FootnoteText"/>
      </w:pPr>
      <w:r>
        <w:rPr>
          <w:rStyle w:val="FootnoteReference"/>
        </w:rPr>
        <w:footnoteRef/>
      </w:r>
      <w:r>
        <w:t xml:space="preserve"> </w:t>
      </w:r>
      <w:r w:rsidR="00274980">
        <w:t>CCC 461</w:t>
      </w:r>
    </w:p>
  </w:footnote>
  <w:footnote w:id="114">
    <w:p w14:paraId="7282D42D" w14:textId="055F29CC" w:rsidR="00274980" w:rsidRDefault="00274980">
      <w:pPr>
        <w:pStyle w:val="FootnoteText"/>
      </w:pPr>
      <w:r>
        <w:rPr>
          <w:rStyle w:val="FootnoteReference"/>
        </w:rPr>
        <w:footnoteRef/>
      </w:r>
      <w:r>
        <w:t xml:space="preserve"> The Revised Standard Version, Catholic, The Holy Bible</w:t>
      </w:r>
    </w:p>
  </w:footnote>
  <w:footnote w:id="115">
    <w:p w14:paraId="60B889B6" w14:textId="6A2F020B" w:rsidR="002A6C0A" w:rsidRDefault="002A6C0A">
      <w:pPr>
        <w:pStyle w:val="FootnoteText"/>
      </w:pPr>
      <w:r>
        <w:rPr>
          <w:rStyle w:val="FootnoteReference"/>
        </w:rPr>
        <w:footnoteRef/>
      </w:r>
      <w:r>
        <w:t xml:space="preserve"> </w:t>
      </w:r>
      <w:r w:rsidR="003E07F0">
        <w:t>Ibid,</w:t>
      </w:r>
    </w:p>
  </w:footnote>
  <w:footnote w:id="116">
    <w:p w14:paraId="51F874E3" w14:textId="607C3A37" w:rsidR="00274980" w:rsidRDefault="00274980">
      <w:pPr>
        <w:pStyle w:val="FootnoteText"/>
      </w:pPr>
      <w:r>
        <w:rPr>
          <w:rStyle w:val="FootnoteReference"/>
        </w:rPr>
        <w:footnoteRef/>
      </w:r>
      <w:r>
        <w:t xml:space="preserve"> The Revised Standard Version, Catholic, The Holy Bible</w:t>
      </w:r>
    </w:p>
  </w:footnote>
  <w:footnote w:id="117">
    <w:p w14:paraId="763BF02F" w14:textId="27E16979" w:rsidR="00274980" w:rsidRDefault="00274980">
      <w:pPr>
        <w:pStyle w:val="FootnoteText"/>
      </w:pPr>
      <w:r>
        <w:rPr>
          <w:rStyle w:val="FootnoteReference"/>
        </w:rPr>
        <w:footnoteRef/>
      </w:r>
      <w:r>
        <w:t xml:space="preserve"> </w:t>
      </w:r>
      <w:r w:rsidR="000905D3">
        <w:t>CCC 461</w:t>
      </w:r>
    </w:p>
  </w:footnote>
  <w:footnote w:id="118">
    <w:p w14:paraId="252F773A" w14:textId="31AC2E0E" w:rsidR="002A6C0A" w:rsidRDefault="000905D3">
      <w:pPr>
        <w:pStyle w:val="FootnoteText"/>
      </w:pPr>
      <w:r>
        <w:rPr>
          <w:rStyle w:val="FootnoteReference"/>
        </w:rPr>
        <w:footnoteRef/>
      </w:r>
      <w:r>
        <w:t xml:space="preserve"> CCC 46</w:t>
      </w:r>
    </w:p>
  </w:footnote>
  <w:footnote w:id="119">
    <w:p w14:paraId="647603C7" w14:textId="16576D4B" w:rsidR="002A6C0A" w:rsidRDefault="002A6C0A" w:rsidP="002A6C0A">
      <w:pPr>
        <w:pStyle w:val="meta"/>
        <w:spacing w:before="0" w:beforeAutospacing="0" w:after="0" w:afterAutospacing="0" w:line="480" w:lineRule="atLeast"/>
        <w:rPr>
          <w:rFonts w:ascii="Lucida Console" w:hAnsi="Lucida Console"/>
          <w:color w:val="FFFFFF"/>
          <w:sz w:val="27"/>
          <w:szCs w:val="27"/>
        </w:rPr>
      </w:pPr>
      <w:r>
        <w:rPr>
          <w:rStyle w:val="author-name"/>
          <w:rFonts w:ascii="Lucida Console" w:hAnsi="Lucida Console"/>
          <w:color w:val="FFFFFF"/>
          <w:sz w:val="27"/>
          <w:szCs w:val="27"/>
        </w:rPr>
        <w:t>by </w:t>
      </w:r>
      <w:hyperlink r:id="rId1" w:tooltip="Posts by history tools" w:history="1">
        <w:r>
          <w:rPr>
            <w:rStyle w:val="Hyperlink"/>
            <w:rFonts w:ascii="Lucida Console" w:hAnsi="Lucida Console"/>
            <w:color w:val="FFFFFF"/>
            <w:sz w:val="27"/>
            <w:szCs w:val="27"/>
          </w:rPr>
          <w:t>history tools</w:t>
        </w:r>
      </w:hyperlink>
    </w:p>
    <w:p w14:paraId="1E7BCE86" w14:textId="77777777" w:rsidR="002A6C0A" w:rsidRDefault="002A6C0A" w:rsidP="002A6C0A">
      <w:pPr>
        <w:pStyle w:val="meta"/>
        <w:numPr>
          <w:ilvl w:val="0"/>
          <w:numId w:val="11"/>
        </w:numPr>
        <w:spacing w:before="0" w:beforeAutospacing="0" w:after="0" w:afterAutospacing="0" w:line="480" w:lineRule="atLeast"/>
        <w:jc w:val="center"/>
        <w:rPr>
          <w:rFonts w:ascii="Lucida Console" w:hAnsi="Lucida Console"/>
          <w:color w:val="FFFFFF"/>
          <w:sz w:val="27"/>
          <w:szCs w:val="27"/>
        </w:rPr>
      </w:pPr>
      <w:r>
        <w:rPr>
          <w:rFonts w:ascii="Lucida Console" w:hAnsi="Lucida Console"/>
          <w:color w:val="FFFFFF"/>
          <w:sz w:val="27"/>
          <w:szCs w:val="27"/>
        </w:rPr>
        <w:t>May 25, 2024</w:t>
      </w:r>
    </w:p>
    <w:p w14:paraId="1AB296B1" w14:textId="0EAEAD5F" w:rsidR="006B4A9D" w:rsidRDefault="006B4A9D">
      <w:pPr>
        <w:pStyle w:val="FootnoteText"/>
      </w:pPr>
    </w:p>
  </w:footnote>
  <w:footnote w:id="120">
    <w:p w14:paraId="07770DC6" w14:textId="3F279DA4" w:rsidR="00072CD2" w:rsidRPr="002023A0" w:rsidRDefault="00072CD2">
      <w:pPr>
        <w:pStyle w:val="FootnoteText"/>
        <w:rPr>
          <w:b/>
          <w:bCs/>
        </w:rPr>
      </w:pPr>
      <w:r>
        <w:rPr>
          <w:rStyle w:val="FootnoteReference"/>
        </w:rPr>
        <w:footnoteRef/>
      </w:r>
      <w:r>
        <w:t xml:space="preserve"> </w:t>
      </w:r>
      <w:r w:rsidRPr="00072CD2">
        <w:t>Eusebius of Caesarea</w:t>
      </w:r>
      <w:r>
        <w:t>,</w:t>
      </w:r>
      <w:r w:rsidRPr="00072CD2">
        <w:rPr>
          <w:b/>
          <w:bCs/>
        </w:rPr>
        <w:t xml:space="preserve"> </w:t>
      </w:r>
      <w:r w:rsidRPr="00072CD2">
        <w:rPr>
          <w:b/>
          <w:bCs/>
        </w:rPr>
        <w:t>Church History - Book II</w:t>
      </w:r>
      <w:r>
        <w:rPr>
          <w:b/>
          <w:bCs/>
        </w:rPr>
        <w:t>,</w:t>
      </w:r>
      <w:r w:rsidR="00AC6E82">
        <w:rPr>
          <w:b/>
          <w:bCs/>
        </w:rPr>
        <w:t xml:space="preserve"> chapter 25,4</w:t>
      </w:r>
    </w:p>
  </w:footnote>
  <w:footnote w:id="121">
    <w:p w14:paraId="6D0148FC" w14:textId="21B60940" w:rsidR="002023A0" w:rsidRPr="004B0CB4" w:rsidRDefault="002023A0">
      <w:pPr>
        <w:pStyle w:val="FootnoteText"/>
        <w:rPr>
          <w:b/>
          <w:bCs/>
        </w:rPr>
      </w:pPr>
      <w:r>
        <w:rPr>
          <w:rStyle w:val="FootnoteReference"/>
        </w:rPr>
        <w:footnoteRef/>
      </w:r>
      <w:r>
        <w:t xml:space="preserve"> </w:t>
      </w:r>
      <w:r w:rsidR="00F61847" w:rsidRPr="00F61847">
        <w:rPr>
          <w:b/>
          <w:bCs/>
        </w:rPr>
        <w:t>Apology (Apologeticus</w:t>
      </w:r>
      <w:r w:rsidR="004B0CB4" w:rsidRPr="00F61847">
        <w:rPr>
          <w:b/>
          <w:bCs/>
        </w:rPr>
        <w:t>)</w:t>
      </w:r>
      <w:r w:rsidR="004B0CB4">
        <w:rPr>
          <w:b/>
          <w:bCs/>
        </w:rPr>
        <w:t>,</w:t>
      </w:r>
      <w:r w:rsidR="004B0CB4" w:rsidRPr="00F61847">
        <w:t xml:space="preserve"> Quintus</w:t>
      </w:r>
      <w:r w:rsidR="00F61847" w:rsidRPr="00F61847">
        <w:t xml:space="preserve"> Septimius Florens Tertullianus (Tertullian of Carthage)</w:t>
      </w:r>
      <w:r w:rsidR="00F61847">
        <w:rPr>
          <w:b/>
          <w:bCs/>
        </w:rPr>
        <w:t>,</w:t>
      </w:r>
      <w:r w:rsidR="00F61847" w:rsidRPr="00F61847">
        <w:t>197 AD</w:t>
      </w:r>
    </w:p>
  </w:footnote>
  <w:footnote w:id="122">
    <w:p w14:paraId="1E29E73D" w14:textId="27F94C6C" w:rsidR="004B0CB4" w:rsidRDefault="004B0CB4">
      <w:pPr>
        <w:pStyle w:val="FootnoteText"/>
      </w:pPr>
      <w:r>
        <w:rPr>
          <w:rStyle w:val="FootnoteReference"/>
        </w:rPr>
        <w:footnoteRef/>
      </w:r>
      <w:r>
        <w:t xml:space="preserve"> </w:t>
      </w:r>
      <w:r w:rsidR="00A71AD2">
        <w:t>Ibid,</w:t>
      </w:r>
    </w:p>
  </w:footnote>
  <w:footnote w:id="123">
    <w:p w14:paraId="4B700A99" w14:textId="61E72EE4" w:rsidR="00A71AD2" w:rsidRDefault="00A71AD2">
      <w:pPr>
        <w:pStyle w:val="FootnoteText"/>
      </w:pPr>
      <w:r>
        <w:rPr>
          <w:rStyle w:val="FootnoteReference"/>
        </w:rPr>
        <w:footnoteRef/>
      </w:r>
      <w:r>
        <w:t xml:space="preserve"> </w:t>
      </w:r>
      <w:r w:rsidRPr="00F61847">
        <w:rPr>
          <w:b/>
          <w:bCs/>
        </w:rPr>
        <w:t>Apology (Apologeticus)</w:t>
      </w:r>
      <w:r>
        <w:rPr>
          <w:b/>
          <w:bCs/>
        </w:rPr>
        <w:t>,</w:t>
      </w:r>
      <w:r w:rsidRPr="00F61847">
        <w:t xml:space="preserve"> Quintus Septimius Florens Tertullianus (Tertullian of Carthage)</w:t>
      </w:r>
      <w:r>
        <w:rPr>
          <w:b/>
          <w:bCs/>
        </w:rPr>
        <w:t>,</w:t>
      </w:r>
      <w:r w:rsidRPr="00F61847">
        <w:t>197 AD</w:t>
      </w:r>
    </w:p>
  </w:footnote>
  <w:footnote w:id="124">
    <w:p w14:paraId="0C68C16C" w14:textId="035AD88F" w:rsidR="00A71AD2" w:rsidRDefault="00A71AD2">
      <w:pPr>
        <w:pStyle w:val="FootnoteText"/>
      </w:pPr>
      <w:r>
        <w:rPr>
          <w:rStyle w:val="FootnoteReference"/>
        </w:rPr>
        <w:footnoteRef/>
      </w:r>
      <w:r>
        <w:t xml:space="preserve"> Ibid,</w:t>
      </w:r>
    </w:p>
  </w:footnote>
  <w:footnote w:id="125">
    <w:p w14:paraId="1AE76168" w14:textId="1E905D96" w:rsidR="004E7FB9" w:rsidRPr="00BD6DB6" w:rsidRDefault="004E7FB9">
      <w:pPr>
        <w:pStyle w:val="FootnoteText"/>
        <w:rPr>
          <w:b/>
          <w:bCs/>
        </w:rPr>
      </w:pPr>
      <w:r>
        <w:rPr>
          <w:rStyle w:val="FootnoteReference"/>
        </w:rPr>
        <w:footnoteRef/>
      </w:r>
      <w:r>
        <w:t xml:space="preserve"> </w:t>
      </w:r>
      <w:r w:rsidR="00BD6DB6" w:rsidRPr="00BD6DB6">
        <w:rPr>
          <w:b/>
          <w:bCs/>
        </w:rPr>
        <w:t>Catholic Encyclopedia</w:t>
      </w:r>
      <w:r w:rsidR="00BD6DB6">
        <w:rPr>
          <w:b/>
          <w:bCs/>
        </w:rPr>
        <w:t xml:space="preserve">, </w:t>
      </w:r>
      <w:r w:rsidR="00BD6DB6" w:rsidRPr="00BD6DB6">
        <w:t>The Encyclopedia Press</w:t>
      </w:r>
      <w:r w:rsidR="00BD6DB6">
        <w:rPr>
          <w:b/>
          <w:bCs/>
        </w:rPr>
        <w:t xml:space="preserve">, </w:t>
      </w:r>
      <w:r w:rsidR="00BD6DB6" w:rsidRPr="00BD6DB6">
        <w:t>New York</w:t>
      </w:r>
      <w:r w:rsidR="00BD6DB6">
        <w:rPr>
          <w:b/>
          <w:bCs/>
        </w:rPr>
        <w:t>,</w:t>
      </w:r>
      <w:r w:rsidR="00BD6DB6" w:rsidRPr="00BD6DB6">
        <w:t>1913 AD</w:t>
      </w:r>
    </w:p>
  </w:footnote>
  <w:footnote w:id="126">
    <w:p w14:paraId="5AABE754" w14:textId="0A38BBB4" w:rsidR="00BD6DB6" w:rsidRDefault="00BD6DB6">
      <w:pPr>
        <w:pStyle w:val="FootnoteText"/>
      </w:pPr>
      <w:r>
        <w:rPr>
          <w:rStyle w:val="FootnoteReference"/>
        </w:rPr>
        <w:footnoteRef/>
      </w:r>
      <w:r>
        <w:t xml:space="preserve"> </w:t>
      </w:r>
      <w:r w:rsidRPr="00F61847">
        <w:rPr>
          <w:b/>
          <w:bCs/>
        </w:rPr>
        <w:t>Apology (Apologeticus)</w:t>
      </w:r>
      <w:r>
        <w:rPr>
          <w:b/>
          <w:bCs/>
        </w:rPr>
        <w:t>,</w:t>
      </w:r>
      <w:r w:rsidRPr="00F61847">
        <w:t xml:space="preserve"> Quintus Septimius Florens Tertullianus (Tertullian of Carthage)</w:t>
      </w:r>
      <w:r>
        <w:rPr>
          <w:b/>
          <w:bCs/>
        </w:rPr>
        <w:t>,</w:t>
      </w:r>
      <w:r w:rsidRPr="00F61847">
        <w:t>197 AD</w:t>
      </w:r>
    </w:p>
  </w:footnote>
  <w:footnote w:id="127">
    <w:p w14:paraId="5AD50FEE" w14:textId="353BEA99" w:rsidR="007F4E09" w:rsidRDefault="007F4E09" w:rsidP="00445AD4">
      <w:pPr>
        <w:pStyle w:val="FootnoteText"/>
      </w:pPr>
      <w:r>
        <w:rPr>
          <w:rStyle w:val="FootnoteReference"/>
        </w:rPr>
        <w:footnoteRef/>
      </w:r>
      <w:r>
        <w:t xml:space="preserve"> </w:t>
      </w:r>
      <w:r w:rsidR="00445AD4">
        <w:t>Sacred History</w:t>
      </w:r>
      <w:r w:rsidR="00445AD4">
        <w:t xml:space="preserve">, </w:t>
      </w:r>
      <w:r w:rsidR="00445AD4">
        <w:t>Sulpitius Severus</w:t>
      </w:r>
      <w:r w:rsidR="00445AD4">
        <w:t xml:space="preserve">, </w:t>
      </w:r>
      <w:r w:rsidR="00445AD4">
        <w:t>ca. 0390 AD</w:t>
      </w:r>
    </w:p>
  </w:footnote>
  <w:footnote w:id="128">
    <w:p w14:paraId="67BBA191" w14:textId="6AC495A1" w:rsidR="007D0F0C" w:rsidRDefault="007D0F0C">
      <w:pPr>
        <w:pStyle w:val="FootnoteText"/>
      </w:pPr>
      <w:r>
        <w:rPr>
          <w:rStyle w:val="FootnoteReference"/>
        </w:rPr>
        <w:footnoteRef/>
      </w:r>
      <w:r>
        <w:t xml:space="preserve"> </w:t>
      </w:r>
      <w:r>
        <w:t>Sacred History, Sulpitius Severus, ca. 0390 AD</w:t>
      </w:r>
    </w:p>
  </w:footnote>
  <w:footnote w:id="129">
    <w:p w14:paraId="77536346" w14:textId="0F1CB126" w:rsidR="007D0F0C" w:rsidRDefault="007D0F0C">
      <w:pPr>
        <w:pStyle w:val="FootnoteText"/>
      </w:pPr>
      <w:r>
        <w:rPr>
          <w:rStyle w:val="FootnoteReference"/>
        </w:rPr>
        <w:footnoteRef/>
      </w:r>
      <w:r>
        <w:t xml:space="preserve"> </w:t>
      </w:r>
      <w:r w:rsidR="00AD58FC">
        <w:t>Ibid,</w:t>
      </w:r>
    </w:p>
  </w:footnote>
  <w:footnote w:id="130">
    <w:p w14:paraId="21A4F656" w14:textId="3283718B" w:rsidR="00AD58FC" w:rsidRPr="00CB1D04" w:rsidRDefault="00AD58FC">
      <w:pPr>
        <w:pStyle w:val="FootnoteText"/>
        <w:rPr>
          <w:b/>
          <w:bCs/>
        </w:rPr>
      </w:pPr>
      <w:r>
        <w:rPr>
          <w:rStyle w:val="FootnoteReference"/>
        </w:rPr>
        <w:footnoteRef/>
      </w:r>
      <w:r>
        <w:t xml:space="preserve"> </w:t>
      </w:r>
      <w:r w:rsidR="00D333BA" w:rsidRPr="00D333BA">
        <w:rPr>
          <w:b/>
          <w:bCs/>
        </w:rPr>
        <w:t>Catholic Encyclopedia</w:t>
      </w:r>
      <w:r w:rsidR="00D333BA">
        <w:rPr>
          <w:b/>
          <w:bCs/>
        </w:rPr>
        <w:t>,</w:t>
      </w:r>
      <w:r w:rsidR="00D333BA" w:rsidRPr="00D333BA">
        <w:t>The Encyclopedia Press</w:t>
      </w:r>
      <w:r w:rsidR="00D333BA">
        <w:rPr>
          <w:b/>
          <w:bCs/>
        </w:rPr>
        <w:t>,</w:t>
      </w:r>
      <w:r w:rsidR="00D333BA" w:rsidRPr="00D333BA">
        <w:t>New York</w:t>
      </w:r>
      <w:r w:rsidR="00D333BA">
        <w:rPr>
          <w:b/>
          <w:bCs/>
        </w:rPr>
        <w:t>,</w:t>
      </w:r>
      <w:r w:rsidR="00D333BA" w:rsidRPr="00D333BA">
        <w:t>1913 AD</w:t>
      </w:r>
    </w:p>
  </w:footnote>
  <w:footnote w:id="131">
    <w:p w14:paraId="254D5E30" w14:textId="1C06C05A" w:rsidR="00F32A25" w:rsidRDefault="00F32A25">
      <w:pPr>
        <w:pStyle w:val="FootnoteText"/>
      </w:pPr>
      <w:r>
        <w:rPr>
          <w:rStyle w:val="FootnoteReference"/>
        </w:rPr>
        <w:footnoteRef/>
      </w:r>
      <w:r>
        <w:t xml:space="preserve"> </w:t>
      </w:r>
      <w:r w:rsidR="00CB1D04">
        <w:t>I</w:t>
      </w:r>
      <w:r w:rsidR="009B6438">
        <w:t>b</w:t>
      </w:r>
      <w:r w:rsidR="00CB1D04">
        <w:t>id,</w:t>
      </w:r>
    </w:p>
  </w:footnote>
  <w:footnote w:id="132">
    <w:p w14:paraId="3C2CFB0E" w14:textId="5772C310" w:rsidR="00CB1D04" w:rsidRPr="00234AC3" w:rsidRDefault="00CB1D04">
      <w:pPr>
        <w:pStyle w:val="FootnoteText"/>
        <w:rPr>
          <w:b/>
          <w:bCs/>
        </w:rPr>
      </w:pPr>
      <w:r>
        <w:rPr>
          <w:rStyle w:val="FootnoteReference"/>
        </w:rPr>
        <w:footnoteRef/>
      </w:r>
      <w:r>
        <w:t xml:space="preserve"> </w:t>
      </w:r>
      <w:r w:rsidR="002978C4" w:rsidRPr="002978C4">
        <w:rPr>
          <w:b/>
          <w:bCs/>
        </w:rPr>
        <w:t>Demonstration 21 (Of Persecution)</w:t>
      </w:r>
      <w:r w:rsidR="002978C4">
        <w:rPr>
          <w:b/>
          <w:bCs/>
        </w:rPr>
        <w:t xml:space="preserve">, </w:t>
      </w:r>
      <w:r w:rsidR="002978C4" w:rsidRPr="002978C4">
        <w:t>Aphrahat/Aphraates</w:t>
      </w:r>
      <w:r w:rsidR="002978C4">
        <w:rPr>
          <w:b/>
          <w:bCs/>
        </w:rPr>
        <w:t xml:space="preserve">, </w:t>
      </w:r>
      <w:r w:rsidR="002978C4" w:rsidRPr="002978C4">
        <w:t>Ante-Nicene Fathers</w:t>
      </w:r>
      <w:r w:rsidR="002978C4">
        <w:rPr>
          <w:b/>
          <w:bCs/>
        </w:rPr>
        <w:t xml:space="preserve">, </w:t>
      </w:r>
      <w:r w:rsidR="002978C4" w:rsidRPr="002978C4">
        <w:t>344 AD</w:t>
      </w:r>
    </w:p>
  </w:footnote>
  <w:footnote w:id="133">
    <w:p w14:paraId="4F01A054" w14:textId="154918D4" w:rsidR="00234AC3" w:rsidRPr="007C357C" w:rsidRDefault="00234AC3">
      <w:pPr>
        <w:pStyle w:val="FootnoteText"/>
        <w:rPr>
          <w:b/>
          <w:bCs/>
        </w:rPr>
      </w:pPr>
      <w:r>
        <w:rPr>
          <w:rStyle w:val="FootnoteReference"/>
        </w:rPr>
        <w:footnoteRef/>
      </w:r>
      <w:r>
        <w:t xml:space="preserve"> </w:t>
      </w:r>
      <w:r w:rsidR="00B24473" w:rsidRPr="00B24473">
        <w:rPr>
          <w:b/>
          <w:bCs/>
        </w:rPr>
        <w:t>Catholic Encyclopedia</w:t>
      </w:r>
      <w:r w:rsidR="00B24473">
        <w:rPr>
          <w:b/>
          <w:bCs/>
        </w:rPr>
        <w:t xml:space="preserve">, </w:t>
      </w:r>
      <w:r w:rsidR="00B24473" w:rsidRPr="00D333BA">
        <w:t>The Encyclopedia Press</w:t>
      </w:r>
      <w:r w:rsidR="00B24473">
        <w:rPr>
          <w:b/>
          <w:bCs/>
        </w:rPr>
        <w:t>,</w:t>
      </w:r>
      <w:r w:rsidR="00B24473" w:rsidRPr="00D333BA">
        <w:t>New York</w:t>
      </w:r>
      <w:r w:rsidR="00B24473">
        <w:rPr>
          <w:b/>
          <w:bCs/>
        </w:rPr>
        <w:t>,</w:t>
      </w:r>
      <w:r w:rsidR="00B24473" w:rsidRPr="00D333BA">
        <w:t>1913 AD</w:t>
      </w:r>
    </w:p>
  </w:footnote>
  <w:footnote w:id="134">
    <w:p w14:paraId="401B15B8" w14:textId="78D41BA6" w:rsidR="007C357C" w:rsidRDefault="007C357C">
      <w:pPr>
        <w:pStyle w:val="FootnoteText"/>
      </w:pPr>
      <w:r>
        <w:rPr>
          <w:rStyle w:val="FootnoteReference"/>
        </w:rPr>
        <w:footnoteRef/>
      </w:r>
      <w:r>
        <w:t xml:space="preserve"> </w:t>
      </w:r>
      <w:r w:rsidRPr="00072CD2">
        <w:t>Eusebius of Caesarea</w:t>
      </w:r>
      <w:r>
        <w:t>,</w:t>
      </w:r>
      <w:r w:rsidRPr="00072CD2">
        <w:rPr>
          <w:b/>
          <w:bCs/>
        </w:rPr>
        <w:t xml:space="preserve"> Church History - Book II</w:t>
      </w:r>
      <w:r>
        <w:rPr>
          <w:b/>
          <w:bCs/>
        </w:rPr>
        <w:t>, chapter 25,4</w:t>
      </w:r>
    </w:p>
  </w:footnote>
  <w:footnote w:id="135">
    <w:p w14:paraId="154E585F" w14:textId="0E9E07F3" w:rsidR="00EB07C5" w:rsidRDefault="00EB07C5">
      <w:pPr>
        <w:pStyle w:val="FootnoteText"/>
      </w:pPr>
      <w:r>
        <w:rPr>
          <w:rStyle w:val="FootnoteReference"/>
        </w:rPr>
        <w:footnoteRef/>
      </w:r>
      <w:r>
        <w:t xml:space="preserve"> </w:t>
      </w:r>
      <w:r w:rsidR="009D07DE">
        <w:t>Ibid,</w:t>
      </w:r>
    </w:p>
  </w:footnote>
  <w:footnote w:id="136">
    <w:p w14:paraId="29123B8F" w14:textId="3B0F67B2" w:rsidR="009D07DE" w:rsidRPr="00B365A9" w:rsidRDefault="009D07DE">
      <w:pPr>
        <w:pStyle w:val="FootnoteText"/>
        <w:rPr>
          <w:b/>
          <w:bCs/>
        </w:rPr>
      </w:pPr>
      <w:r>
        <w:rPr>
          <w:rStyle w:val="FootnoteReference"/>
        </w:rPr>
        <w:footnoteRef/>
      </w:r>
      <w:r>
        <w:t xml:space="preserve"> </w:t>
      </w:r>
      <w:r w:rsidR="00B365A9" w:rsidRPr="00B365A9">
        <w:rPr>
          <w:b/>
          <w:bCs/>
        </w:rPr>
        <w:t>The Life of Paulus the First Hermit</w:t>
      </w:r>
      <w:r w:rsidR="00B365A9">
        <w:rPr>
          <w:b/>
          <w:bCs/>
        </w:rPr>
        <w:t xml:space="preserve">, </w:t>
      </w:r>
      <w:r w:rsidR="00B365A9" w:rsidRPr="00B365A9">
        <w:t>Eusebius Sophronius Hieronymus (Jerome of Stridon or St. Jerome)</w:t>
      </w:r>
      <w:r w:rsidR="00B365A9">
        <w:rPr>
          <w:b/>
          <w:bCs/>
        </w:rPr>
        <w:t xml:space="preserve">, </w:t>
      </w:r>
      <w:r w:rsidR="00B365A9" w:rsidRPr="00B365A9">
        <w:t>Christian Literature Publishing Co.</w:t>
      </w:r>
      <w:r w:rsidR="00B365A9">
        <w:rPr>
          <w:b/>
          <w:bCs/>
        </w:rPr>
        <w:t xml:space="preserve">, </w:t>
      </w:r>
      <w:r w:rsidR="00B365A9" w:rsidRPr="00B365A9">
        <w:t>Buffalo, NY</w:t>
      </w:r>
      <w:r w:rsidR="00B365A9">
        <w:rPr>
          <w:b/>
          <w:bCs/>
        </w:rPr>
        <w:t xml:space="preserve">, </w:t>
      </w:r>
      <w:r w:rsidR="00B365A9" w:rsidRPr="00B365A9">
        <w:t>ca. 0375 AD</w:t>
      </w:r>
    </w:p>
  </w:footnote>
  <w:footnote w:id="137">
    <w:p w14:paraId="3F97C3D3" w14:textId="1F7D5A33" w:rsidR="00B365A9" w:rsidRDefault="00B365A9">
      <w:pPr>
        <w:pStyle w:val="FootnoteText"/>
      </w:pPr>
      <w:r>
        <w:rPr>
          <w:rStyle w:val="FootnoteReference"/>
        </w:rPr>
        <w:footnoteRef/>
      </w:r>
      <w:r>
        <w:t xml:space="preserve"> </w:t>
      </w:r>
      <w:r w:rsidR="00F630E6" w:rsidRPr="00B24473">
        <w:rPr>
          <w:b/>
          <w:bCs/>
        </w:rPr>
        <w:t>Catholic Encyclopedia</w:t>
      </w:r>
      <w:r w:rsidR="00F630E6">
        <w:rPr>
          <w:b/>
          <w:bCs/>
        </w:rPr>
        <w:t xml:space="preserve">, </w:t>
      </w:r>
      <w:r w:rsidR="00F630E6" w:rsidRPr="00D333BA">
        <w:t>The Encyclopedia Press</w:t>
      </w:r>
      <w:r w:rsidR="00F630E6">
        <w:rPr>
          <w:b/>
          <w:bCs/>
        </w:rPr>
        <w:t>,</w:t>
      </w:r>
      <w:r w:rsidR="00F630E6" w:rsidRPr="00D333BA">
        <w:t>New York</w:t>
      </w:r>
      <w:r w:rsidR="00F630E6">
        <w:rPr>
          <w:b/>
          <w:bCs/>
        </w:rPr>
        <w:t>,</w:t>
      </w:r>
      <w:r w:rsidR="00F630E6" w:rsidRPr="00D333BA">
        <w:t>1913 AD</w:t>
      </w:r>
    </w:p>
  </w:footnote>
  <w:footnote w:id="138">
    <w:p w14:paraId="0B86BB01" w14:textId="5E0F2FD7" w:rsidR="00817442" w:rsidRDefault="00817442" w:rsidP="00316E01">
      <w:pPr>
        <w:pStyle w:val="FootnoteText"/>
      </w:pPr>
      <w:r>
        <w:rPr>
          <w:rStyle w:val="FootnoteReference"/>
        </w:rPr>
        <w:footnoteRef/>
      </w:r>
      <w:r>
        <w:t xml:space="preserve"> </w:t>
      </w:r>
      <w:r w:rsidR="00966D82">
        <w:t xml:space="preserve">Ibid, </w:t>
      </w:r>
    </w:p>
  </w:footnote>
  <w:footnote w:id="139">
    <w:p w14:paraId="7BFD3689" w14:textId="50D10975" w:rsidR="00966D82" w:rsidRDefault="00966D82">
      <w:pPr>
        <w:pStyle w:val="FootnoteText"/>
      </w:pPr>
      <w:r>
        <w:rPr>
          <w:rStyle w:val="FootnoteReference"/>
        </w:rPr>
        <w:footnoteRef/>
      </w:r>
      <w:r>
        <w:t xml:space="preserve"> </w:t>
      </w:r>
      <w:r w:rsidR="00B33AB8" w:rsidRPr="00072CD2">
        <w:t>Eusebius of Caesarea</w:t>
      </w:r>
      <w:r w:rsidR="00B33AB8">
        <w:t>,</w:t>
      </w:r>
      <w:r w:rsidR="00B33AB8" w:rsidRPr="00072CD2">
        <w:rPr>
          <w:b/>
          <w:bCs/>
        </w:rPr>
        <w:t xml:space="preserve"> Church History - Book II</w:t>
      </w:r>
      <w:r w:rsidR="00B33AB8">
        <w:rPr>
          <w:b/>
          <w:bCs/>
        </w:rPr>
        <w:t>, chapter 25,4</w:t>
      </w:r>
    </w:p>
  </w:footnote>
  <w:footnote w:id="140">
    <w:p w14:paraId="6027F260" w14:textId="085F0BEA" w:rsidR="00CF6634" w:rsidRPr="00C166C2" w:rsidRDefault="00CF6634">
      <w:pPr>
        <w:pStyle w:val="FootnoteText"/>
        <w:rPr>
          <w:b/>
          <w:bCs/>
        </w:rPr>
      </w:pPr>
      <w:r>
        <w:rPr>
          <w:rStyle w:val="FootnoteReference"/>
        </w:rPr>
        <w:footnoteRef/>
      </w:r>
      <w:r>
        <w:t xml:space="preserve"> </w:t>
      </w:r>
      <w:r w:rsidR="00C166C2" w:rsidRPr="00C166C2">
        <w:rPr>
          <w:b/>
          <w:bCs/>
        </w:rPr>
        <w:t>Apology (Apologeticus)</w:t>
      </w:r>
      <w:r w:rsidR="00C166C2">
        <w:rPr>
          <w:b/>
          <w:bCs/>
        </w:rPr>
        <w:t xml:space="preserve">, </w:t>
      </w:r>
      <w:r w:rsidR="00C166C2" w:rsidRPr="00C166C2">
        <w:t>Quintus Septimius Florens Tertullianus (Tertullian of Carthage)</w:t>
      </w:r>
      <w:r w:rsidR="00C166C2">
        <w:rPr>
          <w:b/>
          <w:bCs/>
        </w:rPr>
        <w:t xml:space="preserve">, </w:t>
      </w:r>
      <w:r w:rsidR="00C166C2" w:rsidRPr="00C166C2">
        <w:t>197 AD</w:t>
      </w:r>
    </w:p>
  </w:footnote>
  <w:footnote w:id="141">
    <w:p w14:paraId="71A6F33C" w14:textId="6C692A5B" w:rsidR="00CF6634" w:rsidRDefault="00CF6634">
      <w:pPr>
        <w:pStyle w:val="FootnoteText"/>
      </w:pPr>
      <w:r>
        <w:rPr>
          <w:rStyle w:val="FootnoteReference"/>
        </w:rPr>
        <w:footnoteRef/>
      </w:r>
      <w:r>
        <w:t xml:space="preserve"> Ibid,</w:t>
      </w:r>
    </w:p>
  </w:footnote>
  <w:footnote w:id="142">
    <w:p w14:paraId="538A2F03" w14:textId="7678133A" w:rsidR="007430D4" w:rsidRPr="007430D4" w:rsidRDefault="007430D4">
      <w:pPr>
        <w:pStyle w:val="FootnoteText"/>
        <w:rPr>
          <w:b/>
          <w:bCs/>
        </w:rPr>
      </w:pPr>
      <w:r>
        <w:rPr>
          <w:rStyle w:val="FootnoteReference"/>
        </w:rPr>
        <w:footnoteRef/>
      </w:r>
      <w:r>
        <w:t xml:space="preserve"> </w:t>
      </w:r>
      <w:r w:rsidRPr="00F61847">
        <w:rPr>
          <w:b/>
          <w:bCs/>
        </w:rPr>
        <w:t>Apology (Apologeticus)</w:t>
      </w:r>
      <w:r>
        <w:rPr>
          <w:b/>
          <w:bCs/>
        </w:rPr>
        <w:t>,</w:t>
      </w:r>
      <w:r w:rsidRPr="00F61847">
        <w:t xml:space="preserve"> Quintus Septimius Florens Tertullianus (Tertullian of Carthage)</w:t>
      </w:r>
      <w:r>
        <w:rPr>
          <w:b/>
          <w:bCs/>
        </w:rPr>
        <w:t>,</w:t>
      </w:r>
      <w:r w:rsidRPr="00F61847">
        <w:t>197 AD</w:t>
      </w:r>
    </w:p>
  </w:footnote>
  <w:footnote w:id="143">
    <w:p w14:paraId="76C28BC0" w14:textId="6D542956" w:rsidR="007430D4" w:rsidRDefault="007430D4">
      <w:pPr>
        <w:pStyle w:val="FootnoteText"/>
      </w:pPr>
      <w:r>
        <w:rPr>
          <w:rStyle w:val="FootnoteReference"/>
        </w:rPr>
        <w:footnoteRef/>
      </w:r>
      <w:r w:rsidRPr="00BD6DB6">
        <w:rPr>
          <w:b/>
          <w:bCs/>
        </w:rPr>
        <w:t>Catholic Encyclopedia</w:t>
      </w:r>
      <w:r>
        <w:rPr>
          <w:b/>
          <w:bCs/>
        </w:rPr>
        <w:t xml:space="preserve">, </w:t>
      </w:r>
      <w:r w:rsidRPr="00BD6DB6">
        <w:t>The Encyclopedia Press</w:t>
      </w:r>
      <w:r>
        <w:rPr>
          <w:b/>
          <w:bCs/>
        </w:rPr>
        <w:t xml:space="preserve">, </w:t>
      </w:r>
      <w:r w:rsidRPr="00BD6DB6">
        <w:t>New York</w:t>
      </w:r>
      <w:r>
        <w:rPr>
          <w:b/>
          <w:bCs/>
        </w:rPr>
        <w:t>,</w:t>
      </w:r>
      <w:r w:rsidRPr="00BD6DB6">
        <w:t>1913 AD</w:t>
      </w:r>
      <w:r>
        <w:t xml:space="preserve"> </w:t>
      </w:r>
    </w:p>
  </w:footnote>
  <w:footnote w:id="144">
    <w:p w14:paraId="05CB83FE" w14:textId="25AD148C" w:rsidR="007430D4" w:rsidRDefault="007430D4">
      <w:pPr>
        <w:pStyle w:val="FootnoteText"/>
      </w:pPr>
      <w:r>
        <w:rPr>
          <w:rStyle w:val="FootnoteReference"/>
        </w:rPr>
        <w:footnoteRef/>
      </w:r>
      <w:r>
        <w:t xml:space="preserve"> </w:t>
      </w:r>
      <w:r w:rsidR="00C477DC">
        <w:t>Ibid,</w:t>
      </w:r>
    </w:p>
  </w:footnote>
  <w:footnote w:id="145">
    <w:p w14:paraId="4935A1E9" w14:textId="2E56050A" w:rsidR="007430D4" w:rsidRDefault="007430D4">
      <w:pPr>
        <w:pStyle w:val="FootnoteText"/>
      </w:pPr>
      <w:r>
        <w:rPr>
          <w:rStyle w:val="FootnoteReference"/>
        </w:rPr>
        <w:footnoteRef/>
      </w:r>
      <w:r>
        <w:t xml:space="preserve"> </w:t>
      </w:r>
      <w:r w:rsidR="00C477DC" w:rsidRPr="00BD6DB6">
        <w:rPr>
          <w:b/>
          <w:bCs/>
        </w:rPr>
        <w:t>Catholic Encyclopedia</w:t>
      </w:r>
      <w:r w:rsidR="00C477DC">
        <w:rPr>
          <w:b/>
          <w:bCs/>
        </w:rPr>
        <w:t xml:space="preserve">, </w:t>
      </w:r>
      <w:r w:rsidR="00C477DC" w:rsidRPr="00BD6DB6">
        <w:t>The Encyclopedia Press</w:t>
      </w:r>
      <w:r w:rsidR="00C477DC">
        <w:rPr>
          <w:b/>
          <w:bCs/>
        </w:rPr>
        <w:t xml:space="preserve">, </w:t>
      </w:r>
      <w:r w:rsidR="00C477DC" w:rsidRPr="00BD6DB6">
        <w:t>New York</w:t>
      </w:r>
      <w:r w:rsidR="00C477DC">
        <w:rPr>
          <w:b/>
          <w:bCs/>
        </w:rPr>
        <w:t>,</w:t>
      </w:r>
      <w:r w:rsidR="00C477DC" w:rsidRPr="00BD6DB6">
        <w:t>1913 AD</w:t>
      </w:r>
    </w:p>
  </w:footnote>
  <w:footnote w:id="146">
    <w:p w14:paraId="46B7F50E" w14:textId="36B496CE" w:rsidR="000C3646" w:rsidRPr="009A69FB" w:rsidRDefault="000C3646">
      <w:pPr>
        <w:pStyle w:val="FootnoteText"/>
        <w:rPr>
          <w:b/>
          <w:bCs/>
        </w:rPr>
      </w:pPr>
      <w:r>
        <w:rPr>
          <w:rStyle w:val="FootnoteReference"/>
        </w:rPr>
        <w:footnoteRef/>
      </w:r>
      <w:r>
        <w:t xml:space="preserve"> </w:t>
      </w:r>
      <w:r w:rsidR="009A69FB" w:rsidRPr="009A69FB">
        <w:rPr>
          <w:b/>
          <w:bCs/>
        </w:rPr>
        <w:t>Sacred History</w:t>
      </w:r>
      <w:r w:rsidR="009A69FB">
        <w:rPr>
          <w:b/>
          <w:bCs/>
        </w:rPr>
        <w:t xml:space="preserve">, </w:t>
      </w:r>
      <w:r w:rsidR="009A69FB" w:rsidRPr="009A69FB">
        <w:t>Sulpitius Severus</w:t>
      </w:r>
      <w:r w:rsidR="009A69FB">
        <w:t xml:space="preserve">, </w:t>
      </w:r>
      <w:r w:rsidR="009A69FB" w:rsidRPr="009A69FB">
        <w:t>ca. 390 AD</w:t>
      </w:r>
    </w:p>
  </w:footnote>
  <w:footnote w:id="147">
    <w:p w14:paraId="16628912" w14:textId="5E52BD58" w:rsidR="009A69FB" w:rsidRDefault="009A69FB">
      <w:pPr>
        <w:pStyle w:val="FootnoteText"/>
      </w:pPr>
      <w:r>
        <w:rPr>
          <w:rStyle w:val="FootnoteReference"/>
        </w:rPr>
        <w:footnoteRef/>
      </w:r>
      <w:r>
        <w:t xml:space="preserve"> </w:t>
      </w:r>
      <w:r w:rsidR="00C477DC" w:rsidRPr="00BD6DB6">
        <w:rPr>
          <w:b/>
          <w:bCs/>
        </w:rPr>
        <w:t>Catholic Encyclopedia</w:t>
      </w:r>
      <w:r w:rsidR="00C477DC">
        <w:rPr>
          <w:b/>
          <w:bCs/>
        </w:rPr>
        <w:t xml:space="preserve">, </w:t>
      </w:r>
      <w:r w:rsidR="00C477DC" w:rsidRPr="00BD6DB6">
        <w:t>The Encyclopedia Press</w:t>
      </w:r>
      <w:r w:rsidR="00C477DC">
        <w:rPr>
          <w:b/>
          <w:bCs/>
        </w:rPr>
        <w:t xml:space="preserve">, </w:t>
      </w:r>
      <w:r w:rsidR="00C477DC" w:rsidRPr="00BD6DB6">
        <w:t>New York</w:t>
      </w:r>
      <w:r w:rsidR="00C477DC">
        <w:rPr>
          <w:b/>
          <w:bCs/>
        </w:rPr>
        <w:t>,</w:t>
      </w:r>
      <w:r w:rsidR="00C477DC" w:rsidRPr="00BD6DB6">
        <w:t>1913 AD</w:t>
      </w:r>
    </w:p>
  </w:footnote>
  <w:footnote w:id="148">
    <w:p w14:paraId="7FFEB11A" w14:textId="5ED485B5" w:rsidR="00FE65F8" w:rsidRDefault="00FE65F8">
      <w:pPr>
        <w:pStyle w:val="FootnoteText"/>
      </w:pPr>
      <w:r>
        <w:rPr>
          <w:rStyle w:val="FootnoteReference"/>
        </w:rPr>
        <w:footnoteRef/>
      </w:r>
      <w:r>
        <w:t xml:space="preserve"> </w:t>
      </w:r>
      <w:r w:rsidRPr="00FE65F8">
        <w:t>https://dcref.info/catechesis/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0" o:hralign="center" o:bullet="t" o:hrstd="t" o:hr="t" fillcolor="#a0a0a0" stroked="f"/>
    </w:pict>
  </w:numPicBullet>
  <w:abstractNum w:abstractNumId="0" w15:restartNumberingAfterBreak="0">
    <w:nsid w:val="011653CE"/>
    <w:multiLevelType w:val="multilevel"/>
    <w:tmpl w:val="AA4E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13EA8"/>
    <w:multiLevelType w:val="multilevel"/>
    <w:tmpl w:val="0CB2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CE71F6"/>
    <w:multiLevelType w:val="multilevel"/>
    <w:tmpl w:val="61B0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819D5"/>
    <w:multiLevelType w:val="multilevel"/>
    <w:tmpl w:val="7ED4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721842"/>
    <w:multiLevelType w:val="multilevel"/>
    <w:tmpl w:val="8BEC4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87D9D"/>
    <w:multiLevelType w:val="hybridMultilevel"/>
    <w:tmpl w:val="A61866D0"/>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6852F1"/>
    <w:multiLevelType w:val="multilevel"/>
    <w:tmpl w:val="3DAC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404429"/>
    <w:multiLevelType w:val="multilevel"/>
    <w:tmpl w:val="3B2A39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B81416"/>
    <w:multiLevelType w:val="multilevel"/>
    <w:tmpl w:val="97B2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B25AA"/>
    <w:multiLevelType w:val="multilevel"/>
    <w:tmpl w:val="6252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825E93"/>
    <w:multiLevelType w:val="hybridMultilevel"/>
    <w:tmpl w:val="DFCAD308"/>
    <w:lvl w:ilvl="0" w:tplc="517A451A">
      <w:start w:val="1"/>
      <w:numFmt w:val="decimal"/>
      <w:lvlText w:val="%1."/>
      <w:lvlJc w:val="left"/>
      <w:pPr>
        <w:ind w:left="360" w:hanging="360"/>
      </w:pPr>
      <w:rPr>
        <w:rFonts w:hint="default"/>
        <w:b/>
        <w:bCs/>
        <w:color w:val="EE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CA30C0"/>
    <w:multiLevelType w:val="multilevel"/>
    <w:tmpl w:val="DE1E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C007C1"/>
    <w:multiLevelType w:val="multilevel"/>
    <w:tmpl w:val="65CE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935FC"/>
    <w:multiLevelType w:val="multilevel"/>
    <w:tmpl w:val="7506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5F52B6"/>
    <w:multiLevelType w:val="multilevel"/>
    <w:tmpl w:val="B416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A06E04"/>
    <w:multiLevelType w:val="multilevel"/>
    <w:tmpl w:val="D328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7042F0"/>
    <w:multiLevelType w:val="multilevel"/>
    <w:tmpl w:val="50BC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26A7F"/>
    <w:multiLevelType w:val="multilevel"/>
    <w:tmpl w:val="A85C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4F4B37"/>
    <w:multiLevelType w:val="multilevel"/>
    <w:tmpl w:val="A104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85CB3"/>
    <w:multiLevelType w:val="multilevel"/>
    <w:tmpl w:val="1BF2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B7202"/>
    <w:multiLevelType w:val="multilevel"/>
    <w:tmpl w:val="1EA2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211E5"/>
    <w:multiLevelType w:val="multilevel"/>
    <w:tmpl w:val="4728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C67A01"/>
    <w:multiLevelType w:val="multilevel"/>
    <w:tmpl w:val="B788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F3CFF"/>
    <w:multiLevelType w:val="multilevel"/>
    <w:tmpl w:val="6818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7755D1"/>
    <w:multiLevelType w:val="multilevel"/>
    <w:tmpl w:val="F088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015E2A"/>
    <w:multiLevelType w:val="multilevel"/>
    <w:tmpl w:val="6DDE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406168"/>
    <w:multiLevelType w:val="multilevel"/>
    <w:tmpl w:val="410A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3E7295"/>
    <w:multiLevelType w:val="multilevel"/>
    <w:tmpl w:val="032A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277A79"/>
    <w:multiLevelType w:val="multilevel"/>
    <w:tmpl w:val="99D8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B22094"/>
    <w:multiLevelType w:val="multilevel"/>
    <w:tmpl w:val="199A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3F54D8"/>
    <w:multiLevelType w:val="multilevel"/>
    <w:tmpl w:val="79A8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F4506F"/>
    <w:multiLevelType w:val="multilevel"/>
    <w:tmpl w:val="0ACA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418BD"/>
    <w:multiLevelType w:val="multilevel"/>
    <w:tmpl w:val="7722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920EC6"/>
    <w:multiLevelType w:val="multilevel"/>
    <w:tmpl w:val="CDF0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F570B5"/>
    <w:multiLevelType w:val="multilevel"/>
    <w:tmpl w:val="47E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285DA8"/>
    <w:multiLevelType w:val="multilevel"/>
    <w:tmpl w:val="696A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E4183B"/>
    <w:multiLevelType w:val="multilevel"/>
    <w:tmpl w:val="A218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8602A"/>
    <w:multiLevelType w:val="multilevel"/>
    <w:tmpl w:val="E3BC4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D27D67"/>
    <w:multiLevelType w:val="multilevel"/>
    <w:tmpl w:val="5476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650320">
    <w:abstractNumId w:val="12"/>
  </w:num>
  <w:num w:numId="2" w16cid:durableId="1172722576">
    <w:abstractNumId w:val="19"/>
  </w:num>
  <w:num w:numId="3" w16cid:durableId="203300845">
    <w:abstractNumId w:val="37"/>
  </w:num>
  <w:num w:numId="4" w16cid:durableId="1541628485">
    <w:abstractNumId w:val="8"/>
  </w:num>
  <w:num w:numId="5" w16cid:durableId="465394029">
    <w:abstractNumId w:val="10"/>
  </w:num>
  <w:num w:numId="6" w16cid:durableId="1030691447">
    <w:abstractNumId w:val="38"/>
  </w:num>
  <w:num w:numId="7" w16cid:durableId="2071271710">
    <w:abstractNumId w:val="13"/>
  </w:num>
  <w:num w:numId="8" w16cid:durableId="1745643841">
    <w:abstractNumId w:val="15"/>
  </w:num>
  <w:num w:numId="9" w16cid:durableId="2022077527">
    <w:abstractNumId w:val="35"/>
  </w:num>
  <w:num w:numId="10" w16cid:durableId="341787418">
    <w:abstractNumId w:val="5"/>
  </w:num>
  <w:num w:numId="11" w16cid:durableId="1358656583">
    <w:abstractNumId w:val="2"/>
  </w:num>
  <w:num w:numId="12" w16cid:durableId="372116924">
    <w:abstractNumId w:val="21"/>
  </w:num>
  <w:num w:numId="13" w16cid:durableId="1314985438">
    <w:abstractNumId w:val="9"/>
  </w:num>
  <w:num w:numId="14" w16cid:durableId="1272056798">
    <w:abstractNumId w:val="4"/>
  </w:num>
  <w:num w:numId="15" w16cid:durableId="1729764729">
    <w:abstractNumId w:val="1"/>
  </w:num>
  <w:num w:numId="16" w16cid:durableId="1507476268">
    <w:abstractNumId w:val="27"/>
  </w:num>
  <w:num w:numId="17" w16cid:durableId="280890674">
    <w:abstractNumId w:val="11"/>
  </w:num>
  <w:num w:numId="18" w16cid:durableId="106431665">
    <w:abstractNumId w:val="7"/>
  </w:num>
  <w:num w:numId="19" w16cid:durableId="774401761">
    <w:abstractNumId w:val="14"/>
  </w:num>
  <w:num w:numId="20" w16cid:durableId="2026443750">
    <w:abstractNumId w:val="3"/>
  </w:num>
  <w:num w:numId="21" w16cid:durableId="1916478385">
    <w:abstractNumId w:val="6"/>
  </w:num>
  <w:num w:numId="22" w16cid:durableId="392313928">
    <w:abstractNumId w:val="34"/>
  </w:num>
  <w:num w:numId="23" w16cid:durableId="1739403918">
    <w:abstractNumId w:val="23"/>
  </w:num>
  <w:num w:numId="24" w16cid:durableId="103110683">
    <w:abstractNumId w:val="17"/>
  </w:num>
  <w:num w:numId="25" w16cid:durableId="1056467962">
    <w:abstractNumId w:val="25"/>
  </w:num>
  <w:num w:numId="26" w16cid:durableId="2051025692">
    <w:abstractNumId w:val="16"/>
  </w:num>
  <w:num w:numId="27" w16cid:durableId="1540626329">
    <w:abstractNumId w:val="0"/>
  </w:num>
  <w:num w:numId="28" w16cid:durableId="503790254">
    <w:abstractNumId w:val="33"/>
  </w:num>
  <w:num w:numId="29" w16cid:durableId="2064787096">
    <w:abstractNumId w:val="32"/>
  </w:num>
  <w:num w:numId="30" w16cid:durableId="887109455">
    <w:abstractNumId w:val="26"/>
  </w:num>
  <w:num w:numId="31" w16cid:durableId="1402630102">
    <w:abstractNumId w:val="24"/>
  </w:num>
  <w:num w:numId="32" w16cid:durableId="142819079">
    <w:abstractNumId w:val="20"/>
  </w:num>
  <w:num w:numId="33" w16cid:durableId="2138328907">
    <w:abstractNumId w:val="30"/>
  </w:num>
  <w:num w:numId="34" w16cid:durableId="1038314506">
    <w:abstractNumId w:val="28"/>
  </w:num>
  <w:num w:numId="35" w16cid:durableId="1851603826">
    <w:abstractNumId w:val="22"/>
  </w:num>
  <w:num w:numId="36" w16cid:durableId="226889944">
    <w:abstractNumId w:val="31"/>
  </w:num>
  <w:num w:numId="37" w16cid:durableId="1152721183">
    <w:abstractNumId w:val="36"/>
  </w:num>
  <w:num w:numId="38" w16cid:durableId="1849634530">
    <w:abstractNumId w:val="18"/>
  </w:num>
  <w:num w:numId="39" w16cid:durableId="154791267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78F"/>
    <w:rsid w:val="000068C3"/>
    <w:rsid w:val="000169BE"/>
    <w:rsid w:val="0004239C"/>
    <w:rsid w:val="00053DD1"/>
    <w:rsid w:val="00055ADD"/>
    <w:rsid w:val="00072CD2"/>
    <w:rsid w:val="0007303A"/>
    <w:rsid w:val="00085FA8"/>
    <w:rsid w:val="000905D3"/>
    <w:rsid w:val="000C0C08"/>
    <w:rsid w:val="000C3532"/>
    <w:rsid w:val="000C3646"/>
    <w:rsid w:val="000D67D5"/>
    <w:rsid w:val="000F00DA"/>
    <w:rsid w:val="000F2D9B"/>
    <w:rsid w:val="000F44CC"/>
    <w:rsid w:val="000F7A33"/>
    <w:rsid w:val="00101394"/>
    <w:rsid w:val="00105D8D"/>
    <w:rsid w:val="00114956"/>
    <w:rsid w:val="00121034"/>
    <w:rsid w:val="00127288"/>
    <w:rsid w:val="00127D3B"/>
    <w:rsid w:val="0013688F"/>
    <w:rsid w:val="00140893"/>
    <w:rsid w:val="001527E8"/>
    <w:rsid w:val="00156A00"/>
    <w:rsid w:val="00162601"/>
    <w:rsid w:val="00167843"/>
    <w:rsid w:val="001815C6"/>
    <w:rsid w:val="00185EBA"/>
    <w:rsid w:val="0019699C"/>
    <w:rsid w:val="001A0B0C"/>
    <w:rsid w:val="001A64D7"/>
    <w:rsid w:val="001B6D4D"/>
    <w:rsid w:val="001C2361"/>
    <w:rsid w:val="001C4C88"/>
    <w:rsid w:val="001F6077"/>
    <w:rsid w:val="002023A0"/>
    <w:rsid w:val="002058A3"/>
    <w:rsid w:val="00221BE4"/>
    <w:rsid w:val="00231777"/>
    <w:rsid w:val="00234AC3"/>
    <w:rsid w:val="00255B40"/>
    <w:rsid w:val="00260628"/>
    <w:rsid w:val="00263260"/>
    <w:rsid w:val="00274980"/>
    <w:rsid w:val="00295820"/>
    <w:rsid w:val="002978C4"/>
    <w:rsid w:val="002A203A"/>
    <w:rsid w:val="002A6C0A"/>
    <w:rsid w:val="002A7694"/>
    <w:rsid w:val="002C6C66"/>
    <w:rsid w:val="002D4CD0"/>
    <w:rsid w:val="002D77D3"/>
    <w:rsid w:val="002E71C4"/>
    <w:rsid w:val="002F5834"/>
    <w:rsid w:val="00312E1A"/>
    <w:rsid w:val="00316E01"/>
    <w:rsid w:val="00323694"/>
    <w:rsid w:val="003533AE"/>
    <w:rsid w:val="0036165E"/>
    <w:rsid w:val="00363067"/>
    <w:rsid w:val="003633C2"/>
    <w:rsid w:val="00367F6D"/>
    <w:rsid w:val="003713A8"/>
    <w:rsid w:val="00381D27"/>
    <w:rsid w:val="00383D3C"/>
    <w:rsid w:val="00396223"/>
    <w:rsid w:val="00397BA6"/>
    <w:rsid w:val="003A4B39"/>
    <w:rsid w:val="003C5DBA"/>
    <w:rsid w:val="003C69CF"/>
    <w:rsid w:val="003D2D3E"/>
    <w:rsid w:val="003D5AA1"/>
    <w:rsid w:val="003D6D1C"/>
    <w:rsid w:val="003E0308"/>
    <w:rsid w:val="003E07F0"/>
    <w:rsid w:val="003E0D74"/>
    <w:rsid w:val="003E6CB2"/>
    <w:rsid w:val="003F2A77"/>
    <w:rsid w:val="00400927"/>
    <w:rsid w:val="004041DE"/>
    <w:rsid w:val="00406B8C"/>
    <w:rsid w:val="00430DAA"/>
    <w:rsid w:val="004313F2"/>
    <w:rsid w:val="00434F05"/>
    <w:rsid w:val="00440E29"/>
    <w:rsid w:val="00445AD4"/>
    <w:rsid w:val="004469D4"/>
    <w:rsid w:val="00471D9E"/>
    <w:rsid w:val="0048600A"/>
    <w:rsid w:val="00490581"/>
    <w:rsid w:val="0049457C"/>
    <w:rsid w:val="00495C77"/>
    <w:rsid w:val="00496F3C"/>
    <w:rsid w:val="004A2E81"/>
    <w:rsid w:val="004B0CB4"/>
    <w:rsid w:val="004C20FE"/>
    <w:rsid w:val="004C56BB"/>
    <w:rsid w:val="004D0EB3"/>
    <w:rsid w:val="004D564D"/>
    <w:rsid w:val="004D7E4E"/>
    <w:rsid w:val="004E7FB9"/>
    <w:rsid w:val="0052389F"/>
    <w:rsid w:val="00553072"/>
    <w:rsid w:val="00553FD1"/>
    <w:rsid w:val="005570C5"/>
    <w:rsid w:val="00566B6E"/>
    <w:rsid w:val="005679F0"/>
    <w:rsid w:val="0059118B"/>
    <w:rsid w:val="005968B2"/>
    <w:rsid w:val="0059754C"/>
    <w:rsid w:val="00597DD5"/>
    <w:rsid w:val="005A31AE"/>
    <w:rsid w:val="005B796C"/>
    <w:rsid w:val="005D53EB"/>
    <w:rsid w:val="005D740E"/>
    <w:rsid w:val="005E338B"/>
    <w:rsid w:val="005E45E6"/>
    <w:rsid w:val="005E5B1A"/>
    <w:rsid w:val="0060344E"/>
    <w:rsid w:val="00603A4A"/>
    <w:rsid w:val="00604F6F"/>
    <w:rsid w:val="00620D18"/>
    <w:rsid w:val="0063017A"/>
    <w:rsid w:val="00653BB3"/>
    <w:rsid w:val="00663195"/>
    <w:rsid w:val="00677E05"/>
    <w:rsid w:val="006A5D33"/>
    <w:rsid w:val="006B03CC"/>
    <w:rsid w:val="006B4A9D"/>
    <w:rsid w:val="006C5090"/>
    <w:rsid w:val="006D49B4"/>
    <w:rsid w:val="006F17C8"/>
    <w:rsid w:val="006F4F30"/>
    <w:rsid w:val="00702A24"/>
    <w:rsid w:val="007065AC"/>
    <w:rsid w:val="007071C3"/>
    <w:rsid w:val="00710288"/>
    <w:rsid w:val="00720AFF"/>
    <w:rsid w:val="00726CAC"/>
    <w:rsid w:val="007430D4"/>
    <w:rsid w:val="00762458"/>
    <w:rsid w:val="007626A4"/>
    <w:rsid w:val="00780D38"/>
    <w:rsid w:val="00785142"/>
    <w:rsid w:val="007A0EE8"/>
    <w:rsid w:val="007A6DE3"/>
    <w:rsid w:val="007C357C"/>
    <w:rsid w:val="007C6702"/>
    <w:rsid w:val="007D0F0C"/>
    <w:rsid w:val="007D1FF3"/>
    <w:rsid w:val="007D45BF"/>
    <w:rsid w:val="007E0A96"/>
    <w:rsid w:val="007E517A"/>
    <w:rsid w:val="007F14AE"/>
    <w:rsid w:val="007F4E09"/>
    <w:rsid w:val="0080397B"/>
    <w:rsid w:val="00815245"/>
    <w:rsid w:val="0081665F"/>
    <w:rsid w:val="00817442"/>
    <w:rsid w:val="0083143A"/>
    <w:rsid w:val="008403D9"/>
    <w:rsid w:val="00843743"/>
    <w:rsid w:val="00850C41"/>
    <w:rsid w:val="00863030"/>
    <w:rsid w:val="00867232"/>
    <w:rsid w:val="008765C8"/>
    <w:rsid w:val="00877805"/>
    <w:rsid w:val="008823CC"/>
    <w:rsid w:val="00883D70"/>
    <w:rsid w:val="0088690D"/>
    <w:rsid w:val="008953AB"/>
    <w:rsid w:val="008A166C"/>
    <w:rsid w:val="008B1007"/>
    <w:rsid w:val="008B6B62"/>
    <w:rsid w:val="008C4272"/>
    <w:rsid w:val="008C6408"/>
    <w:rsid w:val="008D16D0"/>
    <w:rsid w:val="00912138"/>
    <w:rsid w:val="00913CFC"/>
    <w:rsid w:val="00917FEC"/>
    <w:rsid w:val="00940258"/>
    <w:rsid w:val="009409EC"/>
    <w:rsid w:val="009645FF"/>
    <w:rsid w:val="00966D82"/>
    <w:rsid w:val="00985678"/>
    <w:rsid w:val="009955D6"/>
    <w:rsid w:val="009A42A5"/>
    <w:rsid w:val="009A4A98"/>
    <w:rsid w:val="009A69FB"/>
    <w:rsid w:val="009A7309"/>
    <w:rsid w:val="009B039E"/>
    <w:rsid w:val="009B1506"/>
    <w:rsid w:val="009B15C6"/>
    <w:rsid w:val="009B6438"/>
    <w:rsid w:val="009C307A"/>
    <w:rsid w:val="009D07DE"/>
    <w:rsid w:val="009D2197"/>
    <w:rsid w:val="009D4A86"/>
    <w:rsid w:val="009D6DBF"/>
    <w:rsid w:val="009E0C04"/>
    <w:rsid w:val="009E4076"/>
    <w:rsid w:val="009F07F0"/>
    <w:rsid w:val="00A225CA"/>
    <w:rsid w:val="00A24999"/>
    <w:rsid w:val="00A25EEA"/>
    <w:rsid w:val="00A26F98"/>
    <w:rsid w:val="00A303D9"/>
    <w:rsid w:val="00A35EDA"/>
    <w:rsid w:val="00A5336A"/>
    <w:rsid w:val="00A62BE8"/>
    <w:rsid w:val="00A665E4"/>
    <w:rsid w:val="00A71AD2"/>
    <w:rsid w:val="00A831AE"/>
    <w:rsid w:val="00AA7F2E"/>
    <w:rsid w:val="00AC31A9"/>
    <w:rsid w:val="00AC6E82"/>
    <w:rsid w:val="00AD58FC"/>
    <w:rsid w:val="00AE1859"/>
    <w:rsid w:val="00AE3974"/>
    <w:rsid w:val="00AF5934"/>
    <w:rsid w:val="00B16F6F"/>
    <w:rsid w:val="00B24473"/>
    <w:rsid w:val="00B33AB8"/>
    <w:rsid w:val="00B365A9"/>
    <w:rsid w:val="00B36EA5"/>
    <w:rsid w:val="00B40867"/>
    <w:rsid w:val="00B40961"/>
    <w:rsid w:val="00B475C2"/>
    <w:rsid w:val="00B57CEE"/>
    <w:rsid w:val="00BB48F9"/>
    <w:rsid w:val="00BB678F"/>
    <w:rsid w:val="00BC3E02"/>
    <w:rsid w:val="00BC3E8E"/>
    <w:rsid w:val="00BD6DB6"/>
    <w:rsid w:val="00BE22F7"/>
    <w:rsid w:val="00BE4A58"/>
    <w:rsid w:val="00BE52A9"/>
    <w:rsid w:val="00C00A64"/>
    <w:rsid w:val="00C02ADB"/>
    <w:rsid w:val="00C12E1C"/>
    <w:rsid w:val="00C166C2"/>
    <w:rsid w:val="00C330B2"/>
    <w:rsid w:val="00C37806"/>
    <w:rsid w:val="00C41F59"/>
    <w:rsid w:val="00C477DC"/>
    <w:rsid w:val="00C500DC"/>
    <w:rsid w:val="00C5408B"/>
    <w:rsid w:val="00C5554B"/>
    <w:rsid w:val="00C64D86"/>
    <w:rsid w:val="00C83CBA"/>
    <w:rsid w:val="00C94D2C"/>
    <w:rsid w:val="00CA3894"/>
    <w:rsid w:val="00CB1D04"/>
    <w:rsid w:val="00CC7C45"/>
    <w:rsid w:val="00CD77C4"/>
    <w:rsid w:val="00CE3A0E"/>
    <w:rsid w:val="00CF0894"/>
    <w:rsid w:val="00CF30CE"/>
    <w:rsid w:val="00CF6634"/>
    <w:rsid w:val="00D07DF3"/>
    <w:rsid w:val="00D3242C"/>
    <w:rsid w:val="00D333BA"/>
    <w:rsid w:val="00D374BB"/>
    <w:rsid w:val="00D40119"/>
    <w:rsid w:val="00D44838"/>
    <w:rsid w:val="00D533FF"/>
    <w:rsid w:val="00D55FB0"/>
    <w:rsid w:val="00D67F4C"/>
    <w:rsid w:val="00D70A92"/>
    <w:rsid w:val="00D76792"/>
    <w:rsid w:val="00D95A1A"/>
    <w:rsid w:val="00DC02EB"/>
    <w:rsid w:val="00DC1D1F"/>
    <w:rsid w:val="00DC3256"/>
    <w:rsid w:val="00DC6B33"/>
    <w:rsid w:val="00DC7CF1"/>
    <w:rsid w:val="00DD10D4"/>
    <w:rsid w:val="00DE0170"/>
    <w:rsid w:val="00DF437A"/>
    <w:rsid w:val="00E01B1B"/>
    <w:rsid w:val="00E05E04"/>
    <w:rsid w:val="00E0770E"/>
    <w:rsid w:val="00E17E28"/>
    <w:rsid w:val="00E26F77"/>
    <w:rsid w:val="00E54403"/>
    <w:rsid w:val="00E644A0"/>
    <w:rsid w:val="00E96D94"/>
    <w:rsid w:val="00EA4121"/>
    <w:rsid w:val="00EA7AE2"/>
    <w:rsid w:val="00EB0132"/>
    <w:rsid w:val="00EB07C5"/>
    <w:rsid w:val="00EB23B7"/>
    <w:rsid w:val="00EC0927"/>
    <w:rsid w:val="00EC400A"/>
    <w:rsid w:val="00ED4276"/>
    <w:rsid w:val="00EE27B6"/>
    <w:rsid w:val="00F12B57"/>
    <w:rsid w:val="00F300F6"/>
    <w:rsid w:val="00F32A25"/>
    <w:rsid w:val="00F36F63"/>
    <w:rsid w:val="00F40A42"/>
    <w:rsid w:val="00F520FB"/>
    <w:rsid w:val="00F525A1"/>
    <w:rsid w:val="00F61847"/>
    <w:rsid w:val="00F630E6"/>
    <w:rsid w:val="00F65054"/>
    <w:rsid w:val="00FA6C55"/>
    <w:rsid w:val="00FA7212"/>
    <w:rsid w:val="00FA7F1F"/>
    <w:rsid w:val="00FB1B09"/>
    <w:rsid w:val="00FD342A"/>
    <w:rsid w:val="00FE04CB"/>
    <w:rsid w:val="00FE65F8"/>
    <w:rsid w:val="00FF1524"/>
    <w:rsid w:val="00FF3155"/>
    <w:rsid w:val="00FF5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70BE3"/>
  <w15:chartTrackingRefBased/>
  <w15:docId w15:val="{CE29410A-D815-4A9C-8F98-4757BF10B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78F"/>
    <w:rPr>
      <w:rFonts w:eastAsiaTheme="majorEastAsia" w:cstheme="majorBidi"/>
      <w:color w:val="272727" w:themeColor="text1" w:themeTint="D8"/>
    </w:rPr>
  </w:style>
  <w:style w:type="paragraph" w:styleId="Title">
    <w:name w:val="Title"/>
    <w:basedOn w:val="Normal"/>
    <w:next w:val="Normal"/>
    <w:link w:val="TitleChar"/>
    <w:uiPriority w:val="10"/>
    <w:qFormat/>
    <w:rsid w:val="00BB6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78F"/>
    <w:pPr>
      <w:spacing w:before="160"/>
      <w:jc w:val="center"/>
    </w:pPr>
    <w:rPr>
      <w:i/>
      <w:iCs/>
      <w:color w:val="404040" w:themeColor="text1" w:themeTint="BF"/>
    </w:rPr>
  </w:style>
  <w:style w:type="character" w:customStyle="1" w:styleId="QuoteChar">
    <w:name w:val="Quote Char"/>
    <w:basedOn w:val="DefaultParagraphFont"/>
    <w:link w:val="Quote"/>
    <w:uiPriority w:val="29"/>
    <w:rsid w:val="00BB678F"/>
    <w:rPr>
      <w:i/>
      <w:iCs/>
      <w:color w:val="404040" w:themeColor="text1" w:themeTint="BF"/>
    </w:rPr>
  </w:style>
  <w:style w:type="paragraph" w:styleId="ListParagraph">
    <w:name w:val="List Paragraph"/>
    <w:basedOn w:val="Normal"/>
    <w:uiPriority w:val="34"/>
    <w:qFormat/>
    <w:rsid w:val="00BB678F"/>
    <w:pPr>
      <w:ind w:left="720"/>
      <w:contextualSpacing/>
    </w:pPr>
  </w:style>
  <w:style w:type="character" w:styleId="IntenseEmphasis">
    <w:name w:val="Intense Emphasis"/>
    <w:basedOn w:val="DefaultParagraphFont"/>
    <w:uiPriority w:val="21"/>
    <w:qFormat/>
    <w:rsid w:val="00BB678F"/>
    <w:rPr>
      <w:i/>
      <w:iCs/>
      <w:color w:val="0F4761" w:themeColor="accent1" w:themeShade="BF"/>
    </w:rPr>
  </w:style>
  <w:style w:type="paragraph" w:styleId="IntenseQuote">
    <w:name w:val="Intense Quote"/>
    <w:basedOn w:val="Normal"/>
    <w:next w:val="Normal"/>
    <w:link w:val="IntenseQuoteChar"/>
    <w:uiPriority w:val="30"/>
    <w:qFormat/>
    <w:rsid w:val="00BB6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78F"/>
    <w:rPr>
      <w:i/>
      <w:iCs/>
      <w:color w:val="0F4761" w:themeColor="accent1" w:themeShade="BF"/>
    </w:rPr>
  </w:style>
  <w:style w:type="character" w:styleId="IntenseReference">
    <w:name w:val="Intense Reference"/>
    <w:basedOn w:val="DefaultParagraphFont"/>
    <w:uiPriority w:val="32"/>
    <w:qFormat/>
    <w:rsid w:val="00BB678F"/>
    <w:rPr>
      <w:b/>
      <w:bCs/>
      <w:smallCaps/>
      <w:color w:val="0F4761" w:themeColor="accent1" w:themeShade="BF"/>
      <w:spacing w:val="5"/>
    </w:rPr>
  </w:style>
  <w:style w:type="paragraph" w:styleId="FootnoteText">
    <w:name w:val="footnote text"/>
    <w:basedOn w:val="Normal"/>
    <w:link w:val="FootnoteTextChar"/>
    <w:uiPriority w:val="99"/>
    <w:semiHidden/>
    <w:unhideWhenUsed/>
    <w:rsid w:val="004D7E4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D7E4E"/>
    <w:rPr>
      <w:sz w:val="20"/>
      <w:szCs w:val="20"/>
    </w:rPr>
  </w:style>
  <w:style w:type="character" w:styleId="FootnoteReference">
    <w:name w:val="footnote reference"/>
    <w:basedOn w:val="DefaultParagraphFont"/>
    <w:uiPriority w:val="99"/>
    <w:semiHidden/>
    <w:unhideWhenUsed/>
    <w:rsid w:val="004D7E4E"/>
    <w:rPr>
      <w:vertAlign w:val="superscript"/>
    </w:rPr>
  </w:style>
  <w:style w:type="paragraph" w:styleId="Header">
    <w:name w:val="header"/>
    <w:basedOn w:val="Normal"/>
    <w:link w:val="HeaderChar"/>
    <w:uiPriority w:val="99"/>
    <w:unhideWhenUsed/>
    <w:rsid w:val="00DC0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2EB"/>
  </w:style>
  <w:style w:type="paragraph" w:styleId="Footer">
    <w:name w:val="footer"/>
    <w:basedOn w:val="Normal"/>
    <w:link w:val="FooterChar"/>
    <w:uiPriority w:val="99"/>
    <w:unhideWhenUsed/>
    <w:rsid w:val="00DC0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2EB"/>
  </w:style>
  <w:style w:type="paragraph" w:customStyle="1" w:styleId="meta">
    <w:name w:val="meta"/>
    <w:basedOn w:val="Normal"/>
    <w:rsid w:val="002A6C0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uthor-name">
    <w:name w:val="author-name"/>
    <w:basedOn w:val="DefaultParagraphFont"/>
    <w:rsid w:val="002A6C0A"/>
  </w:style>
  <w:style w:type="character" w:styleId="Hyperlink">
    <w:name w:val="Hyperlink"/>
    <w:basedOn w:val="DefaultParagraphFont"/>
    <w:uiPriority w:val="99"/>
    <w:semiHidden/>
    <w:unhideWhenUsed/>
    <w:rsid w:val="002A6C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historytools.org/author/history-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7A0DD-E9CE-4820-8096-DB0457267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TotalTime>
  <Pages>36</Pages>
  <Words>10213</Words>
  <Characters>58220</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KPI STUDENT PC 2</dc:creator>
  <cp:keywords/>
  <dc:description/>
  <cp:lastModifiedBy>KPI STUDENT PC 2</cp:lastModifiedBy>
  <cp:revision>292</cp:revision>
  <cp:lastPrinted>2026-05-24T21:53:00Z</cp:lastPrinted>
  <dcterms:created xsi:type="dcterms:W3CDTF">2026-05-18T21:03:00Z</dcterms:created>
  <dcterms:modified xsi:type="dcterms:W3CDTF">2026-07-03T00:32:00Z</dcterms:modified>
</cp:coreProperties>
</file>