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BAE1" w14:textId="47112584" w:rsidR="002678E3" w:rsidRPr="002678E3" w:rsidRDefault="002678E3" w:rsidP="00573A92">
      <w:pPr>
        <w:shd w:val="clear" w:color="auto" w:fill="FFFFFF"/>
        <w:spacing w:after="240" w:line="240" w:lineRule="auto"/>
        <w:rPr>
          <w:rFonts w:ascii="Segoe UI" w:eastAsia="Times New Roman" w:hAnsi="Segoe UI" w:cs="Segoe UI"/>
          <w:b/>
          <w:bCs/>
          <w:color w:val="0F1115"/>
          <w:kern w:val="0"/>
          <w14:ligatures w14:val="none"/>
        </w:rPr>
      </w:pPr>
      <w:r>
        <w:rPr>
          <w:rFonts w:ascii="Segoe UI" w:eastAsia="Times New Roman" w:hAnsi="Segoe UI" w:cs="Segoe UI"/>
          <w:color w:val="0F1115"/>
          <w:kern w:val="0"/>
          <w14:ligatures w14:val="none"/>
        </w:rPr>
        <w:t xml:space="preserve"> </w:t>
      </w:r>
      <w:r w:rsidRPr="002678E3">
        <w:rPr>
          <w:rFonts w:ascii="Segoe UI" w:eastAsia="Times New Roman" w:hAnsi="Segoe UI" w:cs="Segoe UI"/>
          <w:b/>
          <w:bCs/>
          <w:color w:val="0F1115"/>
          <w:kern w:val="0"/>
          <w14:ligatures w14:val="none"/>
        </w:rPr>
        <w:t>The Early Church (1</w:t>
      </w:r>
      <w:r w:rsidRPr="002678E3">
        <w:rPr>
          <w:rFonts w:ascii="Segoe UI" w:eastAsia="Times New Roman" w:hAnsi="Segoe UI" w:cs="Segoe UI"/>
          <w:b/>
          <w:bCs/>
          <w:color w:val="0F1115"/>
          <w:kern w:val="0"/>
          <w:vertAlign w:val="superscript"/>
          <w14:ligatures w14:val="none"/>
        </w:rPr>
        <w:t>st</w:t>
      </w:r>
      <w:r w:rsidRPr="002678E3">
        <w:rPr>
          <w:rFonts w:ascii="Segoe UI" w:eastAsia="Times New Roman" w:hAnsi="Segoe UI" w:cs="Segoe UI"/>
          <w:b/>
          <w:bCs/>
          <w:color w:val="0F1115"/>
          <w:kern w:val="0"/>
          <w14:ligatures w14:val="none"/>
        </w:rPr>
        <w:t xml:space="preserve"> century to 4</w:t>
      </w:r>
      <w:r w:rsidRPr="002678E3">
        <w:rPr>
          <w:rFonts w:ascii="Segoe UI" w:eastAsia="Times New Roman" w:hAnsi="Segoe UI" w:cs="Segoe UI"/>
          <w:b/>
          <w:bCs/>
          <w:color w:val="0F1115"/>
          <w:kern w:val="0"/>
          <w:vertAlign w:val="superscript"/>
          <w14:ligatures w14:val="none"/>
        </w:rPr>
        <w:t>th</w:t>
      </w:r>
      <w:r w:rsidRPr="002678E3">
        <w:rPr>
          <w:rFonts w:ascii="Segoe UI" w:eastAsia="Times New Roman" w:hAnsi="Segoe UI" w:cs="Segoe UI"/>
          <w:b/>
          <w:bCs/>
          <w:color w:val="0F1115"/>
          <w:kern w:val="0"/>
          <w14:ligatures w14:val="none"/>
        </w:rPr>
        <w:t xml:space="preserve"> century).</w:t>
      </w:r>
    </w:p>
    <w:p w14:paraId="04FD3407" w14:textId="0F39635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In the </w:t>
      </w:r>
      <w:r w:rsidRPr="00573A92">
        <w:rPr>
          <w:rFonts w:ascii="Segoe UI" w:eastAsia="Times New Roman" w:hAnsi="Segoe UI" w:cs="Segoe UI"/>
          <w:b/>
          <w:bCs/>
          <w:color w:val="0F1115"/>
          <w:kern w:val="0"/>
          <w14:ligatures w14:val="none"/>
        </w:rPr>
        <w:t>first century</w:t>
      </w:r>
      <w:r w:rsidRPr="00573A92">
        <w:rPr>
          <w:rFonts w:ascii="Segoe UI" w:eastAsia="Times New Roman" w:hAnsi="Segoe UI" w:cs="Segoe UI"/>
          <w:color w:val="0F1115"/>
          <w:kern w:val="0"/>
          <w14:ligatures w14:val="none"/>
        </w:rPr>
        <w:t>, the Church was born from the apostles’ preaching and the gift of the Holy Spirit, then rapidly grew through </w:t>
      </w:r>
      <w:r w:rsidRPr="00573A92">
        <w:rPr>
          <w:rFonts w:ascii="Segoe UI" w:eastAsia="Times New Roman" w:hAnsi="Segoe UI" w:cs="Segoe UI"/>
          <w:b/>
          <w:bCs/>
          <w:color w:val="0F1115"/>
          <w:kern w:val="0"/>
          <w14:ligatures w14:val="none"/>
        </w:rPr>
        <w:t>teaching, prayer, communal charity, and missionary work</w:t>
      </w:r>
      <w:r w:rsidRPr="00573A92">
        <w:rPr>
          <w:rFonts w:ascii="Segoe UI" w:eastAsia="Times New Roman" w:hAnsi="Segoe UI" w:cs="Segoe UI"/>
          <w:color w:val="0F1115"/>
          <w:kern w:val="0"/>
          <w14:ligatures w14:val="none"/>
        </w:rPr>
        <w:t>—while also facing </w:t>
      </w:r>
      <w:r w:rsidRPr="00573A92">
        <w:rPr>
          <w:rFonts w:ascii="Segoe UI" w:eastAsia="Times New Roman" w:hAnsi="Segoe UI" w:cs="Segoe UI"/>
          <w:b/>
          <w:bCs/>
          <w:color w:val="0F1115"/>
          <w:kern w:val="0"/>
          <w14:ligatures w14:val="none"/>
        </w:rPr>
        <w:t>opposition and persecution</w:t>
      </w:r>
      <w:r w:rsidRPr="00573A92">
        <w:rPr>
          <w:rFonts w:ascii="Segoe UI" w:eastAsia="Times New Roman" w:hAnsi="Segoe UI" w:cs="Segoe UI"/>
          <w:color w:val="0F1115"/>
          <w:kern w:val="0"/>
          <w14:ligatures w14:val="none"/>
        </w:rPr>
        <w:t>. </w:t>
      </w:r>
      <w:r w:rsidR="002678E3">
        <w:rPr>
          <w:rStyle w:val="FootnoteReference"/>
          <w:rFonts w:ascii="Segoe UI" w:eastAsia="Times New Roman" w:hAnsi="Segoe UI" w:cs="Segoe UI"/>
          <w:color w:val="0F1115"/>
          <w:kern w:val="0"/>
          <w14:ligatures w14:val="none"/>
        </w:rPr>
        <w:footnoteReference w:id="1"/>
      </w:r>
      <w:r w:rsidRPr="00573A92">
        <w:rPr>
          <w:rFonts w:ascii="Segoe UI" w:eastAsia="Times New Roman" w:hAnsi="Segoe UI" w:cs="Segoe UI"/>
          <w:color w:val="0F1115"/>
          <w:kern w:val="0"/>
          <w14:ligatures w14:val="none"/>
        </w:rPr>
        <w:t> </w:t>
      </w:r>
      <w:r w:rsidR="002678E3">
        <w:rPr>
          <w:rStyle w:val="FootnoteReference"/>
          <w:rFonts w:ascii="Segoe UI" w:eastAsia="Times New Roman" w:hAnsi="Segoe UI" w:cs="Segoe UI"/>
          <w:color w:val="0F1115"/>
          <w:kern w:val="0"/>
          <w14:ligatures w14:val="none"/>
        </w:rPr>
        <w:footnoteReference w:id="2"/>
      </w:r>
      <w:r w:rsidRPr="00573A92">
        <w:rPr>
          <w:rFonts w:ascii="Segoe UI" w:eastAsia="Times New Roman" w:hAnsi="Segoe UI" w:cs="Segoe UI"/>
          <w:color w:val="0F1115"/>
          <w:kern w:val="0"/>
          <w14:ligatures w14:val="none"/>
        </w:rPr>
        <w:t> </w:t>
      </w:r>
      <w:r w:rsidR="002678E3">
        <w:rPr>
          <w:rStyle w:val="FootnoteReference"/>
          <w:rFonts w:ascii="Segoe UI" w:eastAsia="Times New Roman" w:hAnsi="Segoe UI" w:cs="Segoe UI"/>
          <w:color w:val="0F1115"/>
          <w:kern w:val="0"/>
          <w14:ligatures w14:val="none"/>
        </w:rPr>
        <w:footnoteReference w:id="3"/>
      </w:r>
      <w:r w:rsidRPr="00573A92">
        <w:rPr>
          <w:rFonts w:ascii="Segoe UI" w:eastAsia="Times New Roman" w:hAnsi="Segoe UI" w:cs="Segoe UI"/>
          <w:color w:val="0F1115"/>
          <w:kern w:val="0"/>
          <w14:ligatures w14:val="none"/>
        </w:rPr>
        <w:t> </w:t>
      </w:r>
      <w:r w:rsidR="002678E3">
        <w:rPr>
          <w:rStyle w:val="FootnoteReference"/>
          <w:rFonts w:ascii="Segoe UI" w:eastAsia="Times New Roman" w:hAnsi="Segoe UI" w:cs="Segoe UI"/>
          <w:color w:val="0F1115"/>
          <w:kern w:val="0"/>
          <w14:ligatures w14:val="none"/>
        </w:rPr>
        <w:footnoteReference w:id="4"/>
      </w:r>
      <w:r w:rsidRPr="00573A92">
        <w:rPr>
          <w:rFonts w:ascii="Segoe UI" w:eastAsia="Times New Roman" w:hAnsi="Segoe UI" w:cs="Segoe UI"/>
          <w:color w:val="0F1115"/>
          <w:kern w:val="0"/>
          <w14:ligatures w14:val="none"/>
        </w:rPr>
        <w:t> </w:t>
      </w:r>
      <w:r w:rsidR="002678E3">
        <w:rPr>
          <w:rStyle w:val="FootnoteReference"/>
          <w:rFonts w:ascii="Segoe UI" w:eastAsia="Times New Roman" w:hAnsi="Segoe UI" w:cs="Segoe UI"/>
          <w:color w:val="0F1115"/>
          <w:kern w:val="0"/>
          <w14:ligatures w14:val="none"/>
        </w:rPr>
        <w:footnoteReference w:id="5"/>
      </w:r>
      <w:r w:rsidRPr="00573A92">
        <w:rPr>
          <w:rFonts w:ascii="Segoe UI" w:eastAsia="Times New Roman" w:hAnsi="Segoe UI" w:cs="Segoe UI"/>
          <w:color w:val="0F1115"/>
          <w:kern w:val="0"/>
          <w14:ligatures w14:val="none"/>
        </w:rPr>
        <w:t> </w:t>
      </w:r>
      <w:r w:rsidR="00DC7D4C">
        <w:rPr>
          <w:rStyle w:val="FootnoteReference"/>
          <w:rFonts w:ascii="Segoe UI" w:eastAsia="Times New Roman" w:hAnsi="Segoe UI" w:cs="Segoe UI"/>
          <w:color w:val="0F1115"/>
          <w:kern w:val="0"/>
          <w14:ligatures w14:val="none"/>
        </w:rPr>
        <w:footnoteReference w:id="6"/>
      </w:r>
    </w:p>
    <w:p w14:paraId="00C19EDA" w14:textId="77777777" w:rsidR="00573A92" w:rsidRPr="002678E3"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 xml:space="preserve">The Church begins: </w:t>
      </w:r>
      <w:r w:rsidRPr="002678E3">
        <w:rPr>
          <w:rFonts w:ascii="Segoe UI" w:eastAsia="Times New Roman" w:hAnsi="Segoe UI" w:cs="Segoe UI"/>
          <w:color w:val="0F1115"/>
          <w:kern w:val="0"/>
          <w14:ligatures w14:val="none"/>
        </w:rPr>
        <w:t>Pentecost and a living community</w:t>
      </w:r>
    </w:p>
    <w:p w14:paraId="1EF7CE6A" w14:textId="346CE78B"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After Peter’s preaching at Pentecost, the Acts of the Apostles describes the early Christians as a concrete community formed by </w:t>
      </w:r>
      <w:r w:rsidRPr="00573A92">
        <w:rPr>
          <w:rFonts w:ascii="Segoe UI" w:eastAsia="Times New Roman" w:hAnsi="Segoe UI" w:cs="Segoe UI"/>
          <w:b/>
          <w:bCs/>
          <w:color w:val="0F1115"/>
          <w:kern w:val="0"/>
          <w14:ligatures w14:val="none"/>
        </w:rPr>
        <w:t>conversion and baptism</w:t>
      </w:r>
      <w:r w:rsidRPr="00573A92">
        <w:rPr>
          <w:rFonts w:ascii="Segoe UI" w:eastAsia="Times New Roman" w:hAnsi="Segoe UI" w:cs="Segoe UI"/>
          <w:color w:val="0F1115"/>
          <w:kern w:val="0"/>
          <w14:ligatures w14:val="none"/>
        </w:rPr>
        <w:t> (“those who welcomed his message were baptized” and about </w:t>
      </w:r>
      <w:r w:rsidRPr="00573A92">
        <w:rPr>
          <w:rFonts w:ascii="Segoe UI" w:eastAsia="Times New Roman" w:hAnsi="Segoe UI" w:cs="Segoe UI"/>
          <w:b/>
          <w:bCs/>
          <w:color w:val="0F1115"/>
          <w:kern w:val="0"/>
          <w14:ligatures w14:val="none"/>
        </w:rPr>
        <w:t>three thousand</w:t>
      </w:r>
      <w:r w:rsidRPr="00573A92">
        <w:rPr>
          <w:rFonts w:ascii="Segoe UI" w:eastAsia="Times New Roman" w:hAnsi="Segoe UI" w:cs="Segoe UI"/>
          <w:color w:val="0F1115"/>
          <w:kern w:val="0"/>
          <w14:ligatures w14:val="none"/>
        </w:rPr>
        <w:t> were added). </w:t>
      </w:r>
      <w:r w:rsidR="00DC7D4C">
        <w:rPr>
          <w:rStyle w:val="FootnoteReference"/>
          <w:rFonts w:ascii="Segoe UI" w:eastAsia="Times New Roman" w:hAnsi="Segoe UI" w:cs="Segoe UI"/>
          <w:color w:val="0F1115"/>
          <w:kern w:val="0"/>
          <w14:ligatures w14:val="none"/>
        </w:rPr>
        <w:footnoteReference w:id="7"/>
      </w:r>
    </w:p>
    <w:p w14:paraId="23B67B59"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Their life is presented with several key “marks”:</w:t>
      </w:r>
    </w:p>
    <w:p w14:paraId="2AA6C536" w14:textId="77777777" w:rsidR="00573A92" w:rsidRPr="00573A92" w:rsidRDefault="00573A92" w:rsidP="00573A92">
      <w:pPr>
        <w:numPr>
          <w:ilvl w:val="0"/>
          <w:numId w:val="7"/>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devotion to the </w:t>
      </w:r>
      <w:r w:rsidRPr="00573A92">
        <w:rPr>
          <w:rFonts w:ascii="Segoe UI" w:eastAsia="Times New Roman" w:hAnsi="Segoe UI" w:cs="Segoe UI"/>
          <w:b/>
          <w:bCs/>
          <w:color w:val="0F1115"/>
          <w:kern w:val="0"/>
          <w14:ligatures w14:val="none"/>
        </w:rPr>
        <w:t>apostles’ teaching</w:t>
      </w:r>
    </w:p>
    <w:p w14:paraId="5AE86977" w14:textId="77777777" w:rsidR="00573A92" w:rsidRPr="00573A92" w:rsidRDefault="00573A92" w:rsidP="00573A92">
      <w:pPr>
        <w:numPr>
          <w:ilvl w:val="0"/>
          <w:numId w:val="7"/>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fellowship</w:t>
      </w:r>
      <w:r w:rsidRPr="00573A92">
        <w:rPr>
          <w:rFonts w:ascii="Segoe UI" w:eastAsia="Times New Roman" w:hAnsi="Segoe UI" w:cs="Segoe UI"/>
          <w:color w:val="0F1115"/>
          <w:kern w:val="0"/>
          <w14:ligatures w14:val="none"/>
        </w:rPr>
        <w:t> (community)</w:t>
      </w:r>
    </w:p>
    <w:p w14:paraId="2122EF4F" w14:textId="77777777" w:rsidR="00573A92" w:rsidRPr="00573A92" w:rsidRDefault="00573A92" w:rsidP="00573A92">
      <w:pPr>
        <w:numPr>
          <w:ilvl w:val="0"/>
          <w:numId w:val="7"/>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the </w:t>
      </w:r>
      <w:r w:rsidRPr="00573A92">
        <w:rPr>
          <w:rFonts w:ascii="Segoe UI" w:eastAsia="Times New Roman" w:hAnsi="Segoe UI" w:cs="Segoe UI"/>
          <w:b/>
          <w:bCs/>
          <w:color w:val="0F1115"/>
          <w:kern w:val="0"/>
          <w14:ligatures w14:val="none"/>
        </w:rPr>
        <w:t>breaking of bread</w:t>
      </w:r>
    </w:p>
    <w:p w14:paraId="5443693D" w14:textId="23BCDC18" w:rsidR="00573A92" w:rsidRPr="00573A92" w:rsidRDefault="00573A92" w:rsidP="00573A92">
      <w:pPr>
        <w:numPr>
          <w:ilvl w:val="0"/>
          <w:numId w:val="7"/>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prayers</w:t>
      </w:r>
      <w:r w:rsidRPr="00573A92">
        <w:rPr>
          <w:rFonts w:ascii="Segoe UI" w:eastAsia="Times New Roman" w:hAnsi="Segoe UI" w:cs="Segoe UI"/>
          <w:color w:val="0F1115"/>
          <w:kern w:val="0"/>
          <w14:ligatures w14:val="none"/>
        </w:rPr>
        <w:t> </w:t>
      </w:r>
      <w:r w:rsidR="00DC7D4C">
        <w:rPr>
          <w:rStyle w:val="FootnoteReference"/>
          <w:rFonts w:ascii="Segoe UI" w:eastAsia="Times New Roman" w:hAnsi="Segoe UI" w:cs="Segoe UI"/>
          <w:color w:val="0F1115"/>
          <w:kern w:val="0"/>
          <w14:ligatures w14:val="none"/>
        </w:rPr>
        <w:footnoteReference w:id="8"/>
      </w:r>
      <w:r w:rsidRPr="00573A92">
        <w:rPr>
          <w:rFonts w:ascii="Segoe UI" w:eastAsia="Times New Roman" w:hAnsi="Segoe UI" w:cs="Segoe UI"/>
          <w:color w:val="0F1115"/>
          <w:kern w:val="0"/>
          <w14:ligatures w14:val="none"/>
        </w:rPr>
        <w:br/>
        <w:t>And it adds that “awe came upon everyone,” with signs and wonders occurring through the apostles—showing the Church as not only organized, but also spiritually animated. </w:t>
      </w:r>
      <w:r w:rsidR="00DC7D4C">
        <w:rPr>
          <w:rStyle w:val="FootnoteReference"/>
          <w:rFonts w:ascii="Segoe UI" w:eastAsia="Times New Roman" w:hAnsi="Segoe UI" w:cs="Segoe UI"/>
          <w:color w:val="0F1115"/>
          <w:kern w:val="0"/>
          <w14:ligatures w14:val="none"/>
        </w:rPr>
        <w:footnoteReference w:id="9"/>
      </w:r>
    </w:p>
    <w:p w14:paraId="39292433" w14:textId="77777777" w:rsidR="00573A92" w:rsidRPr="00573A92" w:rsidRDefault="00573A92" w:rsidP="00573A92">
      <w:pPr>
        <w:shd w:val="clear" w:color="auto" w:fill="FFFFFF"/>
        <w:spacing w:after="240" w:line="240" w:lineRule="auto"/>
        <w:rPr>
          <w:rFonts w:ascii="Segoe UI" w:eastAsia="Times New Roman" w:hAnsi="Segoe UI" w:cs="Segoe UI"/>
          <w:b/>
          <w:bCs/>
          <w:color w:val="0F1115"/>
          <w:kern w:val="0"/>
          <w14:ligatures w14:val="none"/>
        </w:rPr>
      </w:pPr>
      <w:r w:rsidRPr="00573A92">
        <w:rPr>
          <w:rFonts w:ascii="Segoe UI" w:eastAsia="Times New Roman" w:hAnsi="Segoe UI" w:cs="Segoe UI"/>
          <w:b/>
          <w:bCs/>
          <w:color w:val="0F1115"/>
          <w:kern w:val="0"/>
          <w14:ligatures w14:val="none"/>
        </w:rPr>
        <w:t>How believers lived together: worship, unity, and charity</w:t>
      </w:r>
    </w:p>
    <w:p w14:paraId="7A5E8699" w14:textId="189526D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 xml:space="preserve">Acts </w:t>
      </w:r>
      <w:r w:rsidR="002678E3" w:rsidRPr="00573A92">
        <w:rPr>
          <w:rFonts w:ascii="Segoe UI" w:eastAsia="Times New Roman" w:hAnsi="Segoe UI" w:cs="Segoe UI"/>
          <w:color w:val="0F1115"/>
          <w:kern w:val="0"/>
          <w14:ligatures w14:val="none"/>
        </w:rPr>
        <w:t>portray</w:t>
      </w:r>
      <w:r w:rsidRPr="00573A92">
        <w:rPr>
          <w:rFonts w:ascii="Segoe UI" w:eastAsia="Times New Roman" w:hAnsi="Segoe UI" w:cs="Segoe UI"/>
          <w:color w:val="0F1115"/>
          <w:kern w:val="0"/>
          <w14:ligatures w14:val="none"/>
        </w:rPr>
        <w:t xml:space="preserve"> strong internal unity: believers were “of one heart and soul,” and they held things in common in order that needs would be met. </w:t>
      </w:r>
      <w:r w:rsidR="00DC7D4C">
        <w:rPr>
          <w:rStyle w:val="FootnoteReference"/>
          <w:rFonts w:ascii="Segoe UI" w:eastAsia="Times New Roman" w:hAnsi="Segoe UI" w:cs="Segoe UI"/>
          <w:color w:val="0F1115"/>
          <w:kern w:val="0"/>
          <w14:ligatures w14:val="none"/>
        </w:rPr>
        <w:footnoteReference w:id="10"/>
      </w:r>
    </w:p>
    <w:p w14:paraId="175EA621" w14:textId="3CE58EEE"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It also describes how the apostles, in the power of the Holy Spirit, gave witness to the resurrection, while “great grace was upon them all.” </w:t>
      </w:r>
      <w:r w:rsidR="00DC7D4C">
        <w:rPr>
          <w:rStyle w:val="FootnoteReference"/>
          <w:rFonts w:ascii="Segoe UI" w:eastAsia="Times New Roman" w:hAnsi="Segoe UI" w:cs="Segoe UI"/>
          <w:color w:val="0F1115"/>
          <w:kern w:val="0"/>
          <w14:ligatures w14:val="none"/>
        </w:rPr>
        <w:footnoteReference w:id="11"/>
      </w:r>
    </w:p>
    <w:p w14:paraId="2517EDEC" w14:textId="5231FFF3"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lastRenderedPageBreak/>
        <w:t>This is important because it shows the Church’s growth as </w:t>
      </w:r>
      <w:r w:rsidRPr="00573A92">
        <w:rPr>
          <w:rFonts w:ascii="Segoe UI" w:eastAsia="Times New Roman" w:hAnsi="Segoe UI" w:cs="Segoe UI"/>
          <w:b/>
          <w:bCs/>
          <w:color w:val="0F1115"/>
          <w:kern w:val="0"/>
          <w14:ligatures w14:val="none"/>
        </w:rPr>
        <w:t>both spiritual and social</w:t>
      </w:r>
      <w:r w:rsidRPr="00573A92">
        <w:rPr>
          <w:rFonts w:ascii="Segoe UI" w:eastAsia="Times New Roman" w:hAnsi="Segoe UI" w:cs="Segoe UI"/>
          <w:color w:val="0F1115"/>
          <w:kern w:val="0"/>
          <w14:ligatures w14:val="none"/>
        </w:rPr>
        <w:t>: worship and doctrine were tied to concrete charity and care for the vulnerable. </w:t>
      </w:r>
      <w:r w:rsidR="00DC7D4C">
        <w:rPr>
          <w:rStyle w:val="FootnoteReference"/>
          <w:rFonts w:ascii="Segoe UI" w:eastAsia="Times New Roman" w:hAnsi="Segoe UI" w:cs="Segoe UI"/>
          <w:color w:val="0F1115"/>
          <w:kern w:val="0"/>
          <w14:ligatures w14:val="none"/>
        </w:rPr>
        <w:footnoteReference w:id="12"/>
      </w:r>
    </w:p>
    <w:p w14:paraId="220F3779" w14:textId="77777777" w:rsidR="00573A92" w:rsidRPr="00573A92" w:rsidRDefault="00573A92" w:rsidP="00573A92">
      <w:pPr>
        <w:shd w:val="clear" w:color="auto" w:fill="FFFFFF"/>
        <w:spacing w:after="240" w:line="240" w:lineRule="auto"/>
        <w:rPr>
          <w:rFonts w:ascii="Segoe UI" w:eastAsia="Times New Roman" w:hAnsi="Segoe UI" w:cs="Segoe UI"/>
          <w:b/>
          <w:bCs/>
          <w:color w:val="0F1115"/>
          <w:kern w:val="0"/>
          <w14:ligatures w14:val="none"/>
        </w:rPr>
      </w:pPr>
      <w:r w:rsidRPr="00573A92">
        <w:rPr>
          <w:rFonts w:ascii="Segoe UI" w:eastAsia="Times New Roman" w:hAnsi="Segoe UI" w:cs="Segoe UI"/>
          <w:b/>
          <w:bCs/>
          <w:color w:val="0F1115"/>
          <w:kern w:val="0"/>
          <w14:ligatures w14:val="none"/>
        </w:rPr>
        <w:t>Growth beyond Jerusalem and the Church’s “missionary” character</w:t>
      </w:r>
    </w:p>
    <w:p w14:paraId="3CCFF466" w14:textId="418B82FC"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The Acts narrative also shows the Church spreading geographically. For example, after persecutions, the text says: “the church throughout Judea, Galilee, and Samaria had peace and was built up… it increased in numbers.” </w:t>
      </w:r>
      <w:r w:rsidR="00DC7D4C">
        <w:rPr>
          <w:rStyle w:val="FootnoteReference"/>
          <w:rFonts w:ascii="Segoe UI" w:eastAsia="Times New Roman" w:hAnsi="Segoe UI" w:cs="Segoe UI"/>
          <w:color w:val="0F1115"/>
          <w:kern w:val="0"/>
          <w14:ligatures w14:val="none"/>
        </w:rPr>
        <w:footnoteReference w:id="13"/>
      </w:r>
    </w:p>
    <w:p w14:paraId="10DFC5EC" w14:textId="7DD0741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So, in the first century, the Church did not stay localized: it moved with apostolic ministry and adapted as new regions received the Gospel. </w:t>
      </w:r>
      <w:r w:rsidR="00DC7D4C">
        <w:rPr>
          <w:rStyle w:val="FootnoteReference"/>
          <w:rFonts w:ascii="Segoe UI" w:eastAsia="Times New Roman" w:hAnsi="Segoe UI" w:cs="Segoe UI"/>
          <w:color w:val="0F1115"/>
          <w:kern w:val="0"/>
          <w14:ligatures w14:val="none"/>
        </w:rPr>
        <w:footnoteReference w:id="14"/>
      </w:r>
    </w:p>
    <w:p w14:paraId="73B8B28B" w14:textId="77777777" w:rsidR="00573A92" w:rsidRPr="00573A92" w:rsidRDefault="00573A92" w:rsidP="00573A92">
      <w:pPr>
        <w:shd w:val="clear" w:color="auto" w:fill="FFFFFF"/>
        <w:spacing w:after="240" w:line="240" w:lineRule="auto"/>
        <w:rPr>
          <w:rFonts w:ascii="Segoe UI" w:eastAsia="Times New Roman" w:hAnsi="Segoe UI" w:cs="Segoe UI"/>
          <w:b/>
          <w:bCs/>
          <w:color w:val="0F1115"/>
          <w:kern w:val="0"/>
          <w14:ligatures w14:val="none"/>
        </w:rPr>
      </w:pPr>
      <w:r w:rsidRPr="00573A92">
        <w:rPr>
          <w:rFonts w:ascii="Segoe UI" w:eastAsia="Times New Roman" w:hAnsi="Segoe UI" w:cs="Segoe UI"/>
          <w:b/>
          <w:bCs/>
          <w:color w:val="0F1115"/>
          <w:kern w:val="0"/>
          <w14:ligatures w14:val="none"/>
        </w:rPr>
        <w:t>Teaching conflicts and doctrinal development: the Council of Jerusalem</w:t>
      </w:r>
    </w:p>
    <w:p w14:paraId="0FA66719"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As the Gospel reached Gentiles, controversy arose about whether Gentile converts needed to follow Jewish practices (specifically circumcision and the Mosaic law). Acts describes “dissension and debate” leading to a meeting in Jerusalem with the apostles and elders. 4</w:t>
      </w:r>
    </w:p>
    <w:p w14:paraId="7DCDF36F"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The meeting culminates in a decision: they conclude that Gentiles should not be “trouble[d]” with the Mosaic law as a condition of salvation, and they communicate practical guidance instead. 4</w:t>
      </w:r>
    </w:p>
    <w:p w14:paraId="6100E2DB"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This shows that the first-century Church wasn’t merely preaching; it was also </w:t>
      </w:r>
      <w:r w:rsidRPr="00573A92">
        <w:rPr>
          <w:rFonts w:ascii="Segoe UI" w:eastAsia="Times New Roman" w:hAnsi="Segoe UI" w:cs="Segoe UI"/>
          <w:b/>
          <w:bCs/>
          <w:color w:val="0F1115"/>
          <w:kern w:val="0"/>
          <w14:ligatures w14:val="none"/>
        </w:rPr>
        <w:t>reasoning about the faith</w:t>
      </w:r>
      <w:r w:rsidRPr="00573A92">
        <w:rPr>
          <w:rFonts w:ascii="Segoe UI" w:eastAsia="Times New Roman" w:hAnsi="Segoe UI" w:cs="Segoe UI"/>
          <w:color w:val="0F1115"/>
          <w:kern w:val="0"/>
          <w14:ligatures w14:val="none"/>
        </w:rPr>
        <w:t>, resolving disputes in a communal and apostolic way. 4</w:t>
      </w:r>
    </w:p>
    <w:p w14:paraId="7A0BDD5F" w14:textId="77777777" w:rsidR="00573A92" w:rsidRPr="00573A92" w:rsidRDefault="00573A92" w:rsidP="00573A92">
      <w:pPr>
        <w:shd w:val="clear" w:color="auto" w:fill="FFFFFF"/>
        <w:spacing w:after="240" w:line="240" w:lineRule="auto"/>
        <w:rPr>
          <w:rFonts w:ascii="Segoe UI" w:eastAsia="Times New Roman" w:hAnsi="Segoe UI" w:cs="Segoe UI"/>
          <w:b/>
          <w:bCs/>
          <w:color w:val="0F1115"/>
          <w:kern w:val="0"/>
          <w14:ligatures w14:val="none"/>
        </w:rPr>
      </w:pPr>
      <w:r w:rsidRPr="00573A92">
        <w:rPr>
          <w:rFonts w:ascii="Segoe UI" w:eastAsia="Times New Roman" w:hAnsi="Segoe UI" w:cs="Segoe UI"/>
          <w:b/>
          <w:bCs/>
          <w:color w:val="0F1115"/>
          <w:kern w:val="0"/>
          <w14:ligatures w14:val="none"/>
        </w:rPr>
        <w:t>Opposition and persecution: witness that costs something</w:t>
      </w:r>
    </w:p>
    <w:p w14:paraId="34388258"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The first century also included serious resistance to Christian preaching.</w:t>
      </w:r>
    </w:p>
    <w:p w14:paraId="76ED351E"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A patristic witness (Origen) describes how “the Roman Senate… and the people… made war upon their doctrine” (i.e., Christians’ teaching and practice), suggesting that civil and social authorities actively opposed the movement. 6</w:t>
      </w:r>
    </w:p>
    <w:p w14:paraId="051BC739"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A Church text summarizing Acts highlights that this strong witness “can only provoke the ire of the authorities,” leading to the </w:t>
      </w:r>
      <w:r w:rsidRPr="00573A92">
        <w:rPr>
          <w:rFonts w:ascii="Segoe UI" w:eastAsia="Times New Roman" w:hAnsi="Segoe UI" w:cs="Segoe UI"/>
          <w:b/>
          <w:bCs/>
          <w:color w:val="0F1115"/>
          <w:kern w:val="0"/>
          <w14:ligatures w14:val="none"/>
        </w:rPr>
        <w:t>first martyr, Stephen</w:t>
      </w:r>
      <w:r w:rsidRPr="00573A92">
        <w:rPr>
          <w:rFonts w:ascii="Segoe UI" w:eastAsia="Times New Roman" w:hAnsi="Segoe UI" w:cs="Segoe UI"/>
          <w:color w:val="0F1115"/>
          <w:kern w:val="0"/>
          <w14:ligatures w14:val="none"/>
        </w:rPr>
        <w:t>, emphasizing that fidelity could require one’s life. 5</w:t>
      </w:r>
    </w:p>
    <w:p w14:paraId="071D17C5" w14:textId="77777777" w:rsidR="00641884" w:rsidRDefault="00641884" w:rsidP="00573A92">
      <w:pPr>
        <w:shd w:val="clear" w:color="auto" w:fill="FFFFFF"/>
        <w:spacing w:after="240" w:line="240" w:lineRule="auto"/>
        <w:rPr>
          <w:rFonts w:ascii="Segoe UI" w:eastAsia="Times New Roman" w:hAnsi="Segoe UI" w:cs="Segoe UI"/>
          <w:b/>
          <w:bCs/>
          <w:color w:val="0F1115"/>
          <w:kern w:val="0"/>
          <w14:ligatures w14:val="none"/>
        </w:rPr>
      </w:pPr>
    </w:p>
    <w:p w14:paraId="15B68AFC" w14:textId="66A94731" w:rsidR="00573A92" w:rsidRPr="00573A92" w:rsidRDefault="00573A92" w:rsidP="00573A92">
      <w:pPr>
        <w:shd w:val="clear" w:color="auto" w:fill="FFFFFF"/>
        <w:spacing w:after="240" w:line="240" w:lineRule="auto"/>
        <w:rPr>
          <w:rFonts w:ascii="Segoe UI" w:eastAsia="Times New Roman" w:hAnsi="Segoe UI" w:cs="Segoe UI"/>
          <w:b/>
          <w:bCs/>
          <w:color w:val="0F1115"/>
          <w:kern w:val="0"/>
          <w14:ligatures w14:val="none"/>
        </w:rPr>
      </w:pPr>
      <w:r w:rsidRPr="00573A92">
        <w:rPr>
          <w:rFonts w:ascii="Segoe UI" w:eastAsia="Times New Roman" w:hAnsi="Segoe UI" w:cs="Segoe UI"/>
          <w:b/>
          <w:bCs/>
          <w:color w:val="0F1115"/>
          <w:kern w:val="0"/>
          <w14:ligatures w14:val="none"/>
        </w:rPr>
        <w:lastRenderedPageBreak/>
        <w:t>In summary</w:t>
      </w:r>
    </w:p>
    <w:p w14:paraId="16FE9EA5" w14:textId="77777777" w:rsidR="00573A92" w:rsidRPr="00573A92" w:rsidRDefault="00573A92" w:rsidP="00573A92">
      <w:p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In the first century, the Church was characterized by:</w:t>
      </w:r>
    </w:p>
    <w:p w14:paraId="4118E327" w14:textId="77777777" w:rsidR="00573A92" w:rsidRPr="00573A92" w:rsidRDefault="00573A92" w:rsidP="00573A92">
      <w:pPr>
        <w:numPr>
          <w:ilvl w:val="0"/>
          <w:numId w:val="8"/>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conversion, baptism, and Spirit-led preaching</w:t>
      </w:r>
    </w:p>
    <w:p w14:paraId="72CF2662" w14:textId="77777777" w:rsidR="00573A92" w:rsidRPr="00573A92" w:rsidRDefault="00573A92" w:rsidP="00573A92">
      <w:pPr>
        <w:numPr>
          <w:ilvl w:val="0"/>
          <w:numId w:val="8"/>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a life centered on </w:t>
      </w:r>
      <w:r w:rsidRPr="00573A92">
        <w:rPr>
          <w:rFonts w:ascii="Segoe UI" w:eastAsia="Times New Roman" w:hAnsi="Segoe UI" w:cs="Segoe UI"/>
          <w:b/>
          <w:bCs/>
          <w:color w:val="0F1115"/>
          <w:kern w:val="0"/>
          <w14:ligatures w14:val="none"/>
        </w:rPr>
        <w:t>apostolic teaching, prayer, and the breaking of bread</w:t>
      </w:r>
    </w:p>
    <w:p w14:paraId="100067EE" w14:textId="77777777" w:rsidR="00573A92" w:rsidRPr="00573A92" w:rsidRDefault="00573A92" w:rsidP="00573A92">
      <w:pPr>
        <w:numPr>
          <w:ilvl w:val="0"/>
          <w:numId w:val="8"/>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unity and charity</w:t>
      </w:r>
      <w:r w:rsidRPr="00573A92">
        <w:rPr>
          <w:rFonts w:ascii="Segoe UI" w:eastAsia="Times New Roman" w:hAnsi="Segoe UI" w:cs="Segoe UI"/>
          <w:color w:val="0F1115"/>
          <w:kern w:val="0"/>
          <w14:ligatures w14:val="none"/>
        </w:rPr>
        <w:t> among believers</w:t>
      </w:r>
    </w:p>
    <w:p w14:paraId="7A9FBF58" w14:textId="77777777" w:rsidR="00573A92" w:rsidRPr="00573A92" w:rsidRDefault="00573A92" w:rsidP="00573A92">
      <w:pPr>
        <w:numPr>
          <w:ilvl w:val="0"/>
          <w:numId w:val="8"/>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color w:val="0F1115"/>
          <w:kern w:val="0"/>
          <w14:ligatures w14:val="none"/>
        </w:rPr>
        <w:t>missionary expansion and increasing numbers</w:t>
      </w:r>
    </w:p>
    <w:p w14:paraId="5D7C8169" w14:textId="77777777" w:rsidR="00573A92" w:rsidRPr="00573A92" w:rsidRDefault="00573A92" w:rsidP="00573A92">
      <w:pPr>
        <w:numPr>
          <w:ilvl w:val="0"/>
          <w:numId w:val="8"/>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doctrinal resolution</w:t>
      </w:r>
      <w:r w:rsidRPr="00573A92">
        <w:rPr>
          <w:rFonts w:ascii="Segoe UI" w:eastAsia="Times New Roman" w:hAnsi="Segoe UI" w:cs="Segoe UI"/>
          <w:color w:val="0F1115"/>
          <w:kern w:val="0"/>
          <w14:ligatures w14:val="none"/>
        </w:rPr>
        <w:t> when disputes arose (especially involving Gentiles)</w:t>
      </w:r>
    </w:p>
    <w:p w14:paraId="0C7D8F76" w14:textId="77777777" w:rsidR="00573A92" w:rsidRPr="00573A92" w:rsidRDefault="00573A92" w:rsidP="00573A92">
      <w:pPr>
        <w:numPr>
          <w:ilvl w:val="0"/>
          <w:numId w:val="8"/>
        </w:numPr>
        <w:shd w:val="clear" w:color="auto" w:fill="FFFFFF"/>
        <w:spacing w:after="240" w:line="240" w:lineRule="auto"/>
        <w:rPr>
          <w:rFonts w:ascii="Segoe UI" w:eastAsia="Times New Roman" w:hAnsi="Segoe UI" w:cs="Segoe UI"/>
          <w:color w:val="0F1115"/>
          <w:kern w:val="0"/>
          <w14:ligatures w14:val="none"/>
        </w:rPr>
      </w:pPr>
      <w:r w:rsidRPr="00573A92">
        <w:rPr>
          <w:rFonts w:ascii="Segoe UI" w:eastAsia="Times New Roman" w:hAnsi="Segoe UI" w:cs="Segoe UI"/>
          <w:b/>
          <w:bCs/>
          <w:color w:val="0F1115"/>
          <w:kern w:val="0"/>
          <w14:ligatures w14:val="none"/>
        </w:rPr>
        <w:t>persecution and martyrdom</w:t>
      </w:r>
      <w:r w:rsidRPr="00573A92">
        <w:rPr>
          <w:rFonts w:ascii="Segoe UI" w:eastAsia="Times New Roman" w:hAnsi="Segoe UI" w:cs="Segoe UI"/>
          <w:color w:val="0F1115"/>
          <w:kern w:val="0"/>
          <w14:ligatures w14:val="none"/>
        </w:rPr>
        <w:t> as part of witnessing to Christ 1 2 3 4 5 6</w:t>
      </w:r>
    </w:p>
    <w:p w14:paraId="4C64C4FB" w14:textId="6BD50CA3" w:rsidR="00573A92" w:rsidRDefault="00573A92" w:rsidP="00315E91">
      <w:pPr>
        <w:shd w:val="clear" w:color="auto" w:fill="FFFFFF"/>
        <w:spacing w:after="240" w:line="240" w:lineRule="auto"/>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t>*****************************************************************************************</w:t>
      </w:r>
    </w:p>
    <w:p w14:paraId="15325E9D" w14:textId="77777777" w:rsidR="00573A92" w:rsidRDefault="00573A92" w:rsidP="00315E91">
      <w:pPr>
        <w:shd w:val="clear" w:color="auto" w:fill="FFFFFF"/>
        <w:spacing w:after="240" w:line="240" w:lineRule="auto"/>
        <w:rPr>
          <w:rFonts w:ascii="Segoe UI" w:eastAsia="Times New Roman" w:hAnsi="Segoe UI" w:cs="Segoe UI"/>
          <w:color w:val="0F1115"/>
          <w:kern w:val="0"/>
          <w14:ligatures w14:val="none"/>
        </w:rPr>
      </w:pPr>
    </w:p>
    <w:p w14:paraId="18300B08" w14:textId="50E5A687"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In the </w:t>
      </w:r>
      <w:r w:rsidRPr="00315E91">
        <w:rPr>
          <w:rFonts w:ascii="Segoe UI" w:eastAsia="Times New Roman" w:hAnsi="Segoe UI" w:cs="Segoe UI"/>
          <w:b/>
          <w:bCs/>
          <w:color w:val="0F1115"/>
          <w:kern w:val="0"/>
          <w14:ligatures w14:val="none"/>
        </w:rPr>
        <w:t>2nd century</w:t>
      </w:r>
      <w:r w:rsidRPr="00315E91">
        <w:rPr>
          <w:rFonts w:ascii="Segoe UI" w:eastAsia="Times New Roman" w:hAnsi="Segoe UI" w:cs="Segoe UI"/>
          <w:color w:val="0F1115"/>
          <w:kern w:val="0"/>
          <w14:ligatures w14:val="none"/>
        </w:rPr>
        <w:t>, the Church grew and organized itself more clearly, and it faced recurring </w:t>
      </w:r>
      <w:r w:rsidRPr="00315E91">
        <w:rPr>
          <w:rFonts w:ascii="Segoe UI" w:eastAsia="Times New Roman" w:hAnsi="Segoe UI" w:cs="Segoe UI"/>
          <w:b/>
          <w:bCs/>
          <w:color w:val="0F1115"/>
          <w:kern w:val="0"/>
          <w14:ligatures w14:val="none"/>
        </w:rPr>
        <w:t>Roman persecution</w:t>
      </w:r>
      <w:r w:rsidRPr="00315E91">
        <w:rPr>
          <w:rFonts w:ascii="Segoe UI" w:eastAsia="Times New Roman" w:hAnsi="Segoe UI" w:cs="Segoe UI"/>
          <w:color w:val="0F1115"/>
          <w:kern w:val="0"/>
          <w14:ligatures w14:val="none"/>
        </w:rPr>
        <w:t>—especially against Christians who refused to worship the gods or the emperor. The surviving writings from this period (notably Ignatius of Antioch and the witness of Polycarp) show both </w:t>
      </w:r>
      <w:r w:rsidRPr="00315E91">
        <w:rPr>
          <w:rFonts w:ascii="Segoe UI" w:eastAsia="Times New Roman" w:hAnsi="Segoe UI" w:cs="Segoe UI"/>
          <w:b/>
          <w:bCs/>
          <w:color w:val="0F1115"/>
          <w:kern w:val="0"/>
          <w14:ligatures w14:val="none"/>
        </w:rPr>
        <w:t>lived faith</w:t>
      </w:r>
      <w:r w:rsidRPr="00315E91">
        <w:rPr>
          <w:rFonts w:ascii="Segoe UI" w:eastAsia="Times New Roman" w:hAnsi="Segoe UI" w:cs="Segoe UI"/>
          <w:color w:val="0F1115"/>
          <w:kern w:val="0"/>
          <w14:ligatures w14:val="none"/>
        </w:rPr>
        <w:t> and </w:t>
      </w:r>
      <w:r w:rsidRPr="00315E91">
        <w:rPr>
          <w:rFonts w:ascii="Segoe UI" w:eastAsia="Times New Roman" w:hAnsi="Segoe UI" w:cs="Segoe UI"/>
          <w:b/>
          <w:bCs/>
          <w:color w:val="0F1115"/>
          <w:kern w:val="0"/>
          <w14:ligatures w14:val="none"/>
        </w:rPr>
        <w:t>Church structure</w:t>
      </w:r>
      <w:r w:rsidRPr="00315E91">
        <w:rPr>
          <w:rFonts w:ascii="Segoe UI" w:eastAsia="Times New Roman" w:hAnsi="Segoe UI" w:cs="Segoe UI"/>
          <w:color w:val="0F1115"/>
          <w:kern w:val="0"/>
          <w14:ligatures w14:val="none"/>
        </w:rPr>
        <w:t> emerging amid pressure. 1 2 3 4</w:t>
      </w:r>
    </w:p>
    <w:p w14:paraId="0623FDBD" w14:textId="77777777" w:rsidR="00315E91" w:rsidRPr="00315E91" w:rsidRDefault="00315E91" w:rsidP="00315E91">
      <w:pPr>
        <w:shd w:val="clear" w:color="auto" w:fill="FFFFFF"/>
        <w:spacing w:after="240" w:line="240" w:lineRule="auto"/>
        <w:rPr>
          <w:rFonts w:ascii="Segoe UI" w:eastAsia="Times New Roman" w:hAnsi="Segoe UI" w:cs="Segoe UI"/>
          <w:b/>
          <w:bCs/>
          <w:color w:val="0F1115"/>
          <w:kern w:val="0"/>
          <w14:ligatures w14:val="none"/>
        </w:rPr>
      </w:pPr>
      <w:r w:rsidRPr="00315E91">
        <w:rPr>
          <w:rFonts w:ascii="Segoe UI" w:eastAsia="Times New Roman" w:hAnsi="Segoe UI" w:cs="Segoe UI"/>
          <w:b/>
          <w:bCs/>
          <w:color w:val="0F1115"/>
          <w:kern w:val="0"/>
          <w14:ligatures w14:val="none"/>
        </w:rPr>
        <w:t>The Church under persecution</w:t>
      </w:r>
    </w:p>
    <w:p w14:paraId="2DC9E83E" w14:textId="77777777"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A major feature of the 2nd century was that many Christians suffered punishment for confessing Christ.</w:t>
      </w:r>
    </w:p>
    <w:p w14:paraId="35DF6F49" w14:textId="77777777"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In the </w:t>
      </w:r>
      <w:r w:rsidRPr="00315E91">
        <w:rPr>
          <w:rFonts w:ascii="Segoe UI" w:eastAsia="Times New Roman" w:hAnsi="Segoe UI" w:cs="Segoe UI"/>
          <w:i/>
          <w:iCs/>
          <w:color w:val="0F1115"/>
          <w:kern w:val="0"/>
          <w14:ligatures w14:val="none"/>
        </w:rPr>
        <w:t>Martyrdom of Ignatius</w:t>
      </w:r>
      <w:r w:rsidRPr="00315E91">
        <w:rPr>
          <w:rFonts w:ascii="Segoe UI" w:eastAsia="Times New Roman" w:hAnsi="Segoe UI" w:cs="Segoe UI"/>
          <w:color w:val="0F1115"/>
          <w:kern w:val="0"/>
          <w14:ligatures w14:val="none"/>
        </w:rPr>
        <w:t>, Ignatius is condemned under Emperor </w:t>
      </w:r>
      <w:r w:rsidRPr="00315E91">
        <w:rPr>
          <w:rFonts w:ascii="Segoe UI" w:eastAsia="Times New Roman" w:hAnsi="Segoe UI" w:cs="Segoe UI"/>
          <w:b/>
          <w:bCs/>
          <w:color w:val="0F1115"/>
          <w:kern w:val="0"/>
          <w14:ligatures w14:val="none"/>
        </w:rPr>
        <w:t>Trajan</w:t>
      </w:r>
      <w:r w:rsidRPr="00315E91">
        <w:rPr>
          <w:rFonts w:ascii="Segoe UI" w:eastAsia="Times New Roman" w:hAnsi="Segoe UI" w:cs="Segoe UI"/>
          <w:color w:val="0F1115"/>
          <w:kern w:val="0"/>
          <w14:ligatures w14:val="none"/>
        </w:rPr>
        <w:t> and sentenced to be taken to </w:t>
      </w:r>
      <w:r w:rsidRPr="00315E91">
        <w:rPr>
          <w:rFonts w:ascii="Segoe UI" w:eastAsia="Times New Roman" w:hAnsi="Segoe UI" w:cs="Segoe UI"/>
          <w:b/>
          <w:bCs/>
          <w:color w:val="0F1115"/>
          <w:kern w:val="0"/>
          <w14:ligatures w14:val="none"/>
        </w:rPr>
        <w:t>Rome</w:t>
      </w:r>
      <w:r w:rsidRPr="00315E91">
        <w:rPr>
          <w:rFonts w:ascii="Segoe UI" w:eastAsia="Times New Roman" w:hAnsi="Segoe UI" w:cs="Segoe UI"/>
          <w:color w:val="0F1115"/>
          <w:kern w:val="0"/>
          <w14:ligatures w14:val="none"/>
        </w:rPr>
        <w:t> to be killed in public before wild beasts “for the gratification of the people.” 1 This account also emphasizes that the persecution is not only legal but religious: Trajan threatens Christians with suffering unless they agree to worship “</w:t>
      </w:r>
      <w:proofErr w:type="spellStart"/>
      <w:r w:rsidRPr="00315E91">
        <w:rPr>
          <w:rFonts w:ascii="Segoe UI" w:eastAsia="Times New Roman" w:hAnsi="Segoe UI" w:cs="Segoe UI"/>
          <w:color w:val="0F1115"/>
          <w:kern w:val="0"/>
          <w14:ligatures w14:val="none"/>
        </w:rPr>
        <w:t>dæmons</w:t>
      </w:r>
      <w:proofErr w:type="spellEnd"/>
      <w:r w:rsidRPr="00315E91">
        <w:rPr>
          <w:rFonts w:ascii="Segoe UI" w:eastAsia="Times New Roman" w:hAnsi="Segoe UI" w:cs="Segoe UI"/>
          <w:color w:val="0F1115"/>
          <w:kern w:val="0"/>
          <w14:ligatures w14:val="none"/>
        </w:rPr>
        <w:t>” (idols), compelling people either to sacrifice to idols or die. 1</w:t>
      </w:r>
    </w:p>
    <w:p w14:paraId="57BD186A" w14:textId="77777777"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Similarly, the </w:t>
      </w:r>
      <w:r w:rsidRPr="00315E91">
        <w:rPr>
          <w:rFonts w:ascii="Segoe UI" w:eastAsia="Times New Roman" w:hAnsi="Segoe UI" w:cs="Segoe UI"/>
          <w:i/>
          <w:iCs/>
          <w:color w:val="0F1115"/>
          <w:kern w:val="0"/>
          <w14:ligatures w14:val="none"/>
        </w:rPr>
        <w:t>Martyrdom of Polycarp</w:t>
      </w:r>
      <w:r w:rsidRPr="00315E91">
        <w:rPr>
          <w:rFonts w:ascii="Segoe UI" w:eastAsia="Times New Roman" w:hAnsi="Segoe UI" w:cs="Segoe UI"/>
          <w:color w:val="0F1115"/>
          <w:kern w:val="0"/>
          <w14:ligatures w14:val="none"/>
        </w:rPr>
        <w:t> (dated in the source to </w:t>
      </w:r>
      <w:r w:rsidRPr="00315E91">
        <w:rPr>
          <w:rFonts w:ascii="Segoe UI" w:eastAsia="Times New Roman" w:hAnsi="Segoe UI" w:cs="Segoe UI"/>
          <w:b/>
          <w:bCs/>
          <w:color w:val="0F1115"/>
          <w:kern w:val="0"/>
          <w14:ligatures w14:val="none"/>
        </w:rPr>
        <w:t>155</w:t>
      </w:r>
      <w:r w:rsidRPr="00315E91">
        <w:rPr>
          <w:rFonts w:ascii="Segoe UI" w:eastAsia="Times New Roman" w:hAnsi="Segoe UI" w:cs="Segoe UI"/>
          <w:color w:val="0F1115"/>
          <w:kern w:val="0"/>
          <w14:ligatures w14:val="none"/>
        </w:rPr>
        <w:t>) portrays persecution as a direct demand to deny Christ. Polycarp is pressured by the proconsul to “deny [Christ]” and even swear by the fortune of Caesar and reject the Christian confession (“Away with the Atheists”). Polycarp refuses, calling Christ his “King and … Saviour.” 5 The text also underscores the moral and communal dimension of steadfastness: Polycarp’s martyrdom is presented as something that “put an end to the persecution” and as a “seal” on it. 6</w:t>
      </w:r>
    </w:p>
    <w:p w14:paraId="635FA0D0" w14:textId="77777777" w:rsidR="00641884" w:rsidRDefault="00641884" w:rsidP="00315E91">
      <w:pPr>
        <w:shd w:val="clear" w:color="auto" w:fill="FFFFFF"/>
        <w:spacing w:after="240" w:line="240" w:lineRule="auto"/>
        <w:rPr>
          <w:rFonts w:ascii="Segoe UI" w:eastAsia="Times New Roman" w:hAnsi="Segoe UI" w:cs="Segoe UI"/>
          <w:b/>
          <w:bCs/>
          <w:color w:val="0F1115"/>
          <w:kern w:val="0"/>
          <w14:ligatures w14:val="none"/>
        </w:rPr>
      </w:pPr>
    </w:p>
    <w:p w14:paraId="0C5E6CA2" w14:textId="34956C11" w:rsidR="00315E91" w:rsidRPr="00315E91" w:rsidRDefault="00315E91" w:rsidP="00315E91">
      <w:pPr>
        <w:shd w:val="clear" w:color="auto" w:fill="FFFFFF"/>
        <w:spacing w:after="240" w:line="240" w:lineRule="auto"/>
        <w:rPr>
          <w:rFonts w:ascii="Segoe UI" w:eastAsia="Times New Roman" w:hAnsi="Segoe UI" w:cs="Segoe UI"/>
          <w:b/>
          <w:bCs/>
          <w:color w:val="0F1115"/>
          <w:kern w:val="0"/>
          <w14:ligatures w14:val="none"/>
        </w:rPr>
      </w:pPr>
      <w:r w:rsidRPr="00315E91">
        <w:rPr>
          <w:rFonts w:ascii="Segoe UI" w:eastAsia="Times New Roman" w:hAnsi="Segoe UI" w:cs="Segoe UI"/>
          <w:b/>
          <w:bCs/>
          <w:color w:val="0F1115"/>
          <w:kern w:val="0"/>
          <w14:ligatures w14:val="none"/>
        </w:rPr>
        <w:t>The Church’s internal unity and leadership</w:t>
      </w:r>
    </w:p>
    <w:p w14:paraId="1D7A3954" w14:textId="77777777"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While persecution was intense, these texts also show the Church becoming more visibly organized and unified.</w:t>
      </w:r>
    </w:p>
    <w:p w14:paraId="74F60103" w14:textId="77777777"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In Ignatius’s letters, the faithful are repeatedly urged to be in </w:t>
      </w:r>
      <w:r w:rsidRPr="00315E91">
        <w:rPr>
          <w:rFonts w:ascii="Segoe UI" w:eastAsia="Times New Roman" w:hAnsi="Segoe UI" w:cs="Segoe UI"/>
          <w:b/>
          <w:bCs/>
          <w:color w:val="0F1115"/>
          <w:kern w:val="0"/>
          <w14:ligatures w14:val="none"/>
        </w:rPr>
        <w:t>unity</w:t>
      </w:r>
      <w:r w:rsidRPr="00315E91">
        <w:rPr>
          <w:rFonts w:ascii="Segoe UI" w:eastAsia="Times New Roman" w:hAnsi="Segoe UI" w:cs="Segoe UI"/>
          <w:color w:val="0F1115"/>
          <w:kern w:val="0"/>
          <w14:ligatures w14:val="none"/>
        </w:rPr>
        <w:t> with the Church’s leadership—specifically the **bishop, presbyters, and deacons</w:t>
      </w:r>
    </w:p>
    <w:p w14:paraId="7A4D6908" w14:textId="49481A50" w:rsidR="00315E91" w:rsidRDefault="00573A92" w:rsidP="00315E91">
      <w:pPr>
        <w:shd w:val="clear" w:color="auto" w:fill="FFFFFF"/>
        <w:spacing w:after="240" w:line="240" w:lineRule="auto"/>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t>***********************************************************************************</w:t>
      </w:r>
    </w:p>
    <w:p w14:paraId="7C46CC67" w14:textId="06295278" w:rsidR="00315E91" w:rsidRPr="00315E91" w:rsidRDefault="00315E91" w:rsidP="00315E91">
      <w:pPr>
        <w:shd w:val="clear" w:color="auto" w:fill="FFFFFF"/>
        <w:spacing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The 3rd century was a pivotal period that transformed the early church from a persecuted minority to a powerful force within the Roman Empire. The century is defined by three major themes: organized empire-wide persecution, the rise of influential theological thinkers, and the growth of church structure and hierarchy in the face of internal disputes.</w:t>
      </w:r>
    </w:p>
    <w:p w14:paraId="431C821B" w14:textId="77777777" w:rsidR="00315E91" w:rsidRPr="00315E91" w:rsidRDefault="00315E91" w:rsidP="00315E9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5E91">
        <w:rPr>
          <w:rFonts w:ascii="Segoe UI Emoji" w:eastAsia="Times New Roman" w:hAnsi="Segoe UI Emoji" w:cs="Segoe UI Emoji"/>
          <w:b/>
          <w:bCs/>
          <w:color w:val="0F1115"/>
          <w:kern w:val="0"/>
          <w:sz w:val="30"/>
          <w:szCs w:val="30"/>
          <w14:ligatures w14:val="none"/>
        </w:rPr>
        <w:t>📜</w:t>
      </w:r>
      <w:r w:rsidRPr="00315E91">
        <w:rPr>
          <w:rFonts w:ascii="Segoe UI" w:eastAsia="Times New Roman" w:hAnsi="Segoe UI" w:cs="Segoe UI"/>
          <w:b/>
          <w:bCs/>
          <w:color w:val="0F1115"/>
          <w:kern w:val="0"/>
          <w:sz w:val="30"/>
          <w:szCs w:val="30"/>
          <w14:ligatures w14:val="none"/>
        </w:rPr>
        <w:t xml:space="preserve"> The Century of Persecution</w:t>
      </w:r>
    </w:p>
    <w:p w14:paraId="37B814DC" w14:textId="77777777" w:rsidR="00315E91" w:rsidRPr="00315E91" w:rsidRDefault="00315E91" w:rsidP="00315E91">
      <w:pPr>
        <w:shd w:val="clear" w:color="auto" w:fill="FFFFFF"/>
        <w:spacing w:before="240"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The 3rd century saw the first systematic, empire-wide efforts to eradicate Christianity, which bookended an era of relative peace.</w:t>
      </w:r>
    </w:p>
    <w:p w14:paraId="2C05079A" w14:textId="77777777" w:rsidR="00315E91" w:rsidRPr="00315E91" w:rsidRDefault="00315E91" w:rsidP="00315E91">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The Severan Persecution (c. 202-211)</w:t>
      </w:r>
      <w:r w:rsidRPr="00315E91">
        <w:rPr>
          <w:rFonts w:ascii="Segoe UI" w:eastAsia="Times New Roman" w:hAnsi="Segoe UI" w:cs="Segoe UI"/>
          <w:color w:val="0F1115"/>
          <w:kern w:val="0"/>
          <w14:ligatures w14:val="none"/>
        </w:rPr>
        <w:t>: Emperor Septimius Severus forbade conversion to Christianity and Judaism, leading to violent persecutions, particularly in Egypt and North Africa . This period produced famous martyrs such as </w:t>
      </w:r>
      <w:r w:rsidRPr="00315E91">
        <w:rPr>
          <w:rFonts w:ascii="Segoe UI" w:eastAsia="Times New Roman" w:hAnsi="Segoe UI" w:cs="Segoe UI"/>
          <w:b/>
          <w:bCs/>
          <w:color w:val="0F1115"/>
          <w:kern w:val="0"/>
          <w14:ligatures w14:val="none"/>
        </w:rPr>
        <w:t>Perpetua and Felicity</w:t>
      </w:r>
      <w:r w:rsidRPr="00315E91">
        <w:rPr>
          <w:rFonts w:ascii="Segoe UI" w:eastAsia="Times New Roman" w:hAnsi="Segoe UI" w:cs="Segoe UI"/>
          <w:color w:val="0F1115"/>
          <w:kern w:val="0"/>
          <w14:ligatures w14:val="none"/>
        </w:rPr>
        <w:t> in Carthage, whose detailed prison diary became an iconic account of Christian courage .</w:t>
      </w:r>
    </w:p>
    <w:p w14:paraId="580163F4" w14:textId="77777777" w:rsidR="00315E91" w:rsidRPr="00315E91" w:rsidRDefault="00315E91" w:rsidP="00315E91">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The Decian Persecution (c. 249-251)</w:t>
      </w:r>
      <w:r w:rsidRPr="00315E91">
        <w:rPr>
          <w:rFonts w:ascii="Segoe UI" w:eastAsia="Times New Roman" w:hAnsi="Segoe UI" w:cs="Segoe UI"/>
          <w:color w:val="0F1115"/>
          <w:kern w:val="0"/>
          <w14:ligatures w14:val="none"/>
        </w:rPr>
        <w:t>: Emperor Decius issued an edict requiring all Roman citizens to perform a pagan sacrifice and obtain a certificate (</w:t>
      </w:r>
      <w:proofErr w:type="spellStart"/>
      <w:r w:rsidRPr="00315E91">
        <w:rPr>
          <w:rFonts w:ascii="Segoe UI" w:eastAsia="Times New Roman" w:hAnsi="Segoe UI" w:cs="Segoe UI"/>
          <w:color w:val="0F1115"/>
          <w:kern w:val="0"/>
          <w14:ligatures w14:val="none"/>
        </w:rPr>
        <w:t>libellus</w:t>
      </w:r>
      <w:proofErr w:type="spellEnd"/>
      <w:r w:rsidRPr="00315E91">
        <w:rPr>
          <w:rFonts w:ascii="Segoe UI" w:eastAsia="Times New Roman" w:hAnsi="Segoe UI" w:cs="Segoe UI"/>
          <w:color w:val="0F1115"/>
          <w:kern w:val="0"/>
          <w14:ligatures w14:val="none"/>
        </w:rPr>
        <w:t>) proving their compliance . This was the first empire-wide persecution, aiming to force Christians to apostatize. It threw the church into crisis, killing many (including Pope Fabian) while causing others to </w:t>
      </w:r>
      <w:r w:rsidRPr="00315E91">
        <w:rPr>
          <w:rFonts w:ascii="Segoe UI" w:eastAsia="Times New Roman" w:hAnsi="Segoe UI" w:cs="Segoe UI"/>
          <w:b/>
          <w:bCs/>
          <w:color w:val="0F1115"/>
          <w:kern w:val="0"/>
          <w14:ligatures w14:val="none"/>
        </w:rPr>
        <w:t>"lapse"</w:t>
      </w:r>
      <w:r w:rsidRPr="00315E91">
        <w:rPr>
          <w:rFonts w:ascii="Segoe UI" w:eastAsia="Times New Roman" w:hAnsi="Segoe UI" w:cs="Segoe UI"/>
          <w:color w:val="0F1115"/>
          <w:kern w:val="0"/>
          <w14:ligatures w14:val="none"/>
        </w:rPr>
        <w:t> —either sacrificing (</w:t>
      </w:r>
      <w:proofErr w:type="spellStart"/>
      <w:r w:rsidRPr="00315E91">
        <w:rPr>
          <w:rFonts w:ascii="Segoe UI" w:eastAsia="Times New Roman" w:hAnsi="Segoe UI" w:cs="Segoe UI"/>
          <w:color w:val="0F1115"/>
          <w:kern w:val="0"/>
          <w14:ligatures w14:val="none"/>
        </w:rPr>
        <w:t>sacrificati</w:t>
      </w:r>
      <w:proofErr w:type="spellEnd"/>
      <w:r w:rsidRPr="00315E91">
        <w:rPr>
          <w:rFonts w:ascii="Segoe UI" w:eastAsia="Times New Roman" w:hAnsi="Segoe UI" w:cs="Segoe UI"/>
          <w:color w:val="0F1115"/>
          <w:kern w:val="0"/>
          <w14:ligatures w14:val="none"/>
        </w:rPr>
        <w:t>) or bribing officials for false certificates (</w:t>
      </w:r>
      <w:proofErr w:type="spellStart"/>
      <w:r w:rsidRPr="00315E91">
        <w:rPr>
          <w:rFonts w:ascii="Segoe UI" w:eastAsia="Times New Roman" w:hAnsi="Segoe UI" w:cs="Segoe UI"/>
          <w:color w:val="0F1115"/>
          <w:kern w:val="0"/>
          <w14:ligatures w14:val="none"/>
        </w:rPr>
        <w:t>libellatici</w:t>
      </w:r>
      <w:proofErr w:type="spellEnd"/>
      <w:r w:rsidRPr="00315E91">
        <w:rPr>
          <w:rFonts w:ascii="Segoe UI" w:eastAsia="Times New Roman" w:hAnsi="Segoe UI" w:cs="Segoe UI"/>
          <w:color w:val="0F1115"/>
          <w:kern w:val="0"/>
          <w14:ligatures w14:val="none"/>
        </w:rPr>
        <w:t>) .</w:t>
      </w:r>
    </w:p>
    <w:p w14:paraId="48646CA5" w14:textId="77777777" w:rsidR="00315E91" w:rsidRPr="00315E91" w:rsidRDefault="00315E91" w:rsidP="00315E91">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The Valerian Persecution (c. 257-260)</w:t>
      </w:r>
      <w:r w:rsidRPr="00315E91">
        <w:rPr>
          <w:rFonts w:ascii="Segoe UI" w:eastAsia="Times New Roman" w:hAnsi="Segoe UI" w:cs="Segoe UI"/>
          <w:color w:val="0F1115"/>
          <w:kern w:val="0"/>
          <w14:ligatures w14:val="none"/>
        </w:rPr>
        <w:t>: Valerian targeted the church's leadership, banning Christian worship in cemeteries and executing clergy, including </w:t>
      </w:r>
      <w:r w:rsidRPr="00315E91">
        <w:rPr>
          <w:rFonts w:ascii="Segoe UI" w:eastAsia="Times New Roman" w:hAnsi="Segoe UI" w:cs="Segoe UI"/>
          <w:b/>
          <w:bCs/>
          <w:color w:val="0F1115"/>
          <w:kern w:val="0"/>
          <w14:ligatures w14:val="none"/>
        </w:rPr>
        <w:t>Cyprian of Carthage</w:t>
      </w:r>
      <w:r w:rsidRPr="00315E91">
        <w:rPr>
          <w:rFonts w:ascii="Segoe UI" w:eastAsia="Times New Roman" w:hAnsi="Segoe UI" w:cs="Segoe UI"/>
          <w:color w:val="0F1115"/>
          <w:kern w:val="0"/>
          <w14:ligatures w14:val="none"/>
        </w:rPr>
        <w:t> in 258 .</w:t>
      </w:r>
    </w:p>
    <w:p w14:paraId="6F268A52" w14:textId="280094EC" w:rsidR="00641884" w:rsidRPr="00D11581" w:rsidRDefault="00315E91" w:rsidP="00D11581">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The Little Peace of the Church (c. 260-303)</w:t>
      </w:r>
      <w:r w:rsidRPr="00315E91">
        <w:rPr>
          <w:rFonts w:ascii="Segoe UI" w:eastAsia="Times New Roman" w:hAnsi="Segoe UI" w:cs="Segoe UI"/>
          <w:color w:val="0F1115"/>
          <w:kern w:val="0"/>
          <w14:ligatures w14:val="none"/>
        </w:rPr>
        <w:t xml:space="preserve">: A forty-year period of stability began when Emperor Gallienus issued the first official edict of tolerance, recognizing Christianity as a legal religion . This "Little Peace" allowed significant </w:t>
      </w:r>
      <w:r w:rsidRPr="00315E91">
        <w:rPr>
          <w:rFonts w:ascii="Segoe UI" w:eastAsia="Times New Roman" w:hAnsi="Segoe UI" w:cs="Segoe UI"/>
          <w:color w:val="0F1115"/>
          <w:kern w:val="0"/>
          <w14:ligatures w14:val="none"/>
        </w:rPr>
        <w:lastRenderedPageBreak/>
        <w:t xml:space="preserve">church growth and construction, though it ended with the </w:t>
      </w:r>
      <w:proofErr w:type="spellStart"/>
      <w:r w:rsidRPr="00315E91">
        <w:rPr>
          <w:rFonts w:ascii="Segoe UI" w:eastAsia="Times New Roman" w:hAnsi="Segoe UI" w:cs="Segoe UI"/>
          <w:color w:val="0F1115"/>
          <w:kern w:val="0"/>
          <w14:ligatures w14:val="none"/>
        </w:rPr>
        <w:t>Diocletianic</w:t>
      </w:r>
      <w:proofErr w:type="spellEnd"/>
      <w:r w:rsidRPr="00315E91">
        <w:rPr>
          <w:rFonts w:ascii="Segoe UI" w:eastAsia="Times New Roman" w:hAnsi="Segoe UI" w:cs="Segoe UI"/>
          <w:color w:val="0F1115"/>
          <w:kern w:val="0"/>
          <w14:ligatures w14:val="none"/>
        </w:rPr>
        <w:t xml:space="preserve"> Persecution in 303.</w:t>
      </w:r>
    </w:p>
    <w:p w14:paraId="195D8729" w14:textId="16F2795C" w:rsidR="00315E91" w:rsidRPr="00315E91" w:rsidRDefault="00315E91" w:rsidP="00315E9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5E91">
        <w:rPr>
          <w:rFonts w:ascii="Segoe UI" w:eastAsia="Times New Roman" w:hAnsi="Segoe UI" w:cs="Segoe UI"/>
          <w:b/>
          <w:bCs/>
          <w:color w:val="0F1115"/>
          <w:kern w:val="0"/>
          <w:sz w:val="30"/>
          <w:szCs w:val="30"/>
          <w14:ligatures w14:val="none"/>
        </w:rPr>
        <w:t>The Great Theological Minds</w:t>
      </w:r>
    </w:p>
    <w:p w14:paraId="3416E937" w14:textId="77777777" w:rsidR="00315E91" w:rsidRPr="00315E91" w:rsidRDefault="00315E91" w:rsidP="00315E91">
      <w:pPr>
        <w:shd w:val="clear" w:color="auto" w:fill="FFFFFF"/>
        <w:spacing w:before="240"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Amidst persecution, brilliant writers defended and defined Christian theology, responding to both pagan critics and internal heresies.</w:t>
      </w:r>
    </w:p>
    <w:p w14:paraId="6DFDBB18" w14:textId="77777777" w:rsidR="00315E91" w:rsidRPr="00315E91" w:rsidRDefault="00315E91" w:rsidP="00315E91">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Origen (c. 184–253)</w:t>
      </w:r>
      <w:r w:rsidRPr="00315E91">
        <w:rPr>
          <w:rFonts w:ascii="Segoe UI" w:eastAsia="Times New Roman" w:hAnsi="Segoe UI" w:cs="Segoe UI"/>
          <w:color w:val="0F1115"/>
          <w:kern w:val="0"/>
          <w14:ligatures w14:val="none"/>
        </w:rPr>
        <w:t xml:space="preserve"> of Alexandria: A prolific writer and scholar, Origen developed systematic theology, created the Hexapla (a massive six-column comparison of Old Testament texts), and wrote "Contra </w:t>
      </w:r>
      <w:proofErr w:type="spellStart"/>
      <w:r w:rsidRPr="00315E91">
        <w:rPr>
          <w:rFonts w:ascii="Segoe UI" w:eastAsia="Times New Roman" w:hAnsi="Segoe UI" w:cs="Segoe UI"/>
          <w:color w:val="0F1115"/>
          <w:kern w:val="0"/>
          <w14:ligatures w14:val="none"/>
        </w:rPr>
        <w:t>Celsum</w:t>
      </w:r>
      <w:proofErr w:type="spellEnd"/>
      <w:r w:rsidRPr="00315E91">
        <w:rPr>
          <w:rFonts w:ascii="Segoe UI" w:eastAsia="Times New Roman" w:hAnsi="Segoe UI" w:cs="Segoe UI"/>
          <w:color w:val="0F1115"/>
          <w:kern w:val="0"/>
          <w14:ligatures w14:val="none"/>
        </w:rPr>
        <w:t>," a masterful defense of Christianity against pagan criticism .</w:t>
      </w:r>
    </w:p>
    <w:p w14:paraId="39FF78F0" w14:textId="77777777" w:rsidR="00315E91" w:rsidRPr="00315E91" w:rsidRDefault="00315E91" w:rsidP="00315E91">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Cyprian (c. 210–258)</w:t>
      </w:r>
      <w:r w:rsidRPr="00315E91">
        <w:rPr>
          <w:rFonts w:ascii="Segoe UI" w:eastAsia="Times New Roman" w:hAnsi="Segoe UI" w:cs="Segoe UI"/>
          <w:color w:val="0F1115"/>
          <w:kern w:val="0"/>
          <w14:ligatures w14:val="none"/>
        </w:rPr>
        <w:t> of Carthage: A convert who became bishop, Cyprian was the great administrator of the 3rd-century church. His writings on church unity—arguing there is no salvation outside the church and that the bishop holds supreme authority—shaped the emerging episcopal structure .</w:t>
      </w:r>
    </w:p>
    <w:p w14:paraId="18CF5459" w14:textId="28573737" w:rsidR="00315E91" w:rsidRPr="00315E91" w:rsidRDefault="00315E91" w:rsidP="00315E91">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Tertullian (c. 155–220)</w:t>
      </w:r>
      <w:r w:rsidRPr="00315E91">
        <w:rPr>
          <w:rFonts w:ascii="Segoe UI" w:eastAsia="Times New Roman" w:hAnsi="Segoe UI" w:cs="Segoe UI"/>
          <w:color w:val="0F1115"/>
          <w:kern w:val="0"/>
          <w14:ligatures w14:val="none"/>
        </w:rPr>
        <w:t> of Carthage: The first major Latin theologian, Tertullian coined the term "Trinity" (Latin: </w:t>
      </w:r>
      <w:r w:rsidRPr="00315E91">
        <w:rPr>
          <w:rFonts w:ascii="Segoe UI" w:eastAsia="Times New Roman" w:hAnsi="Segoe UI" w:cs="Segoe UI"/>
          <w:i/>
          <w:iCs/>
          <w:color w:val="0F1115"/>
          <w:kern w:val="0"/>
          <w14:ligatures w14:val="none"/>
        </w:rPr>
        <w:t>Trinitas</w:t>
      </w:r>
      <w:r w:rsidRPr="00315E91">
        <w:rPr>
          <w:rFonts w:ascii="Segoe UI" w:eastAsia="Times New Roman" w:hAnsi="Segoe UI" w:cs="Segoe UI"/>
          <w:color w:val="0F1115"/>
          <w:kern w:val="0"/>
          <w14:ligatures w14:val="none"/>
        </w:rPr>
        <w:t>) and wrote influential apologetic works before later joining the Montanist movement.</w:t>
      </w:r>
    </w:p>
    <w:p w14:paraId="64E3A6E8" w14:textId="34EE09D4" w:rsidR="00315E91" w:rsidRPr="00315E91" w:rsidRDefault="00315E91" w:rsidP="00315E91">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Hippolytus (c. 170–235)</w:t>
      </w:r>
      <w:r w:rsidRPr="00315E91">
        <w:rPr>
          <w:rFonts w:ascii="Segoe UI" w:eastAsia="Times New Roman" w:hAnsi="Segoe UI" w:cs="Segoe UI"/>
          <w:color w:val="0F1115"/>
          <w:kern w:val="0"/>
          <w14:ligatures w14:val="none"/>
        </w:rPr>
        <w:t> of Rome: An important Roman theologian, Hippolytus wrote the </w:t>
      </w:r>
      <w:r w:rsidRPr="00315E91">
        <w:rPr>
          <w:rFonts w:ascii="Segoe UI" w:eastAsia="Times New Roman" w:hAnsi="Segoe UI" w:cs="Segoe UI"/>
          <w:i/>
          <w:iCs/>
          <w:color w:val="0F1115"/>
          <w:kern w:val="0"/>
          <w14:ligatures w14:val="none"/>
        </w:rPr>
        <w:t>Apostolic Tradition</w:t>
      </w:r>
      <w:r w:rsidRPr="00315E91">
        <w:rPr>
          <w:rFonts w:ascii="Segoe UI" w:eastAsia="Times New Roman" w:hAnsi="Segoe UI" w:cs="Segoe UI"/>
          <w:color w:val="0F1115"/>
          <w:kern w:val="0"/>
          <w14:ligatures w14:val="none"/>
        </w:rPr>
        <w:t>, which provides the oldest known fixed text for the Eucharistic prayer and detailed instructions for baptism and ordination.</w:t>
      </w:r>
    </w:p>
    <w:p w14:paraId="0C87048D" w14:textId="77777777" w:rsidR="00315E91" w:rsidRPr="00315E91" w:rsidRDefault="00315E91" w:rsidP="00315E9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5E91">
        <w:rPr>
          <w:rFonts w:ascii="Segoe UI Emoji" w:eastAsia="Times New Roman" w:hAnsi="Segoe UI Emoji" w:cs="Segoe UI Emoji"/>
          <w:b/>
          <w:bCs/>
          <w:color w:val="0F1115"/>
          <w:kern w:val="0"/>
          <w:sz w:val="30"/>
          <w:szCs w:val="30"/>
          <w14:ligatures w14:val="none"/>
        </w:rPr>
        <w:t>🏛️</w:t>
      </w:r>
      <w:r w:rsidRPr="00315E91">
        <w:rPr>
          <w:rFonts w:ascii="Segoe UI" w:eastAsia="Times New Roman" w:hAnsi="Segoe UI" w:cs="Segoe UI"/>
          <w:b/>
          <w:bCs/>
          <w:color w:val="0F1115"/>
          <w:kern w:val="0"/>
          <w:sz w:val="30"/>
          <w:szCs w:val="30"/>
          <w14:ligatures w14:val="none"/>
        </w:rPr>
        <w:t xml:space="preserve"> The Church's Internal Struggles</w:t>
      </w:r>
    </w:p>
    <w:p w14:paraId="32C648C6" w14:textId="77777777" w:rsidR="00315E91" w:rsidRPr="00315E91" w:rsidRDefault="00315E91" w:rsidP="00315E91">
      <w:pPr>
        <w:shd w:val="clear" w:color="auto" w:fill="FFFFFF"/>
        <w:spacing w:before="240"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As the church grew, it faced major controversies that forced it to define its boundaries and refine its policies.</w:t>
      </w:r>
    </w:p>
    <w:p w14:paraId="7BE2AC91" w14:textId="77777777" w:rsidR="00315E91" w:rsidRPr="00315E91" w:rsidRDefault="00315E91" w:rsidP="00315E91">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The Lapsed Controversy (Novatian Schism)</w:t>
      </w:r>
      <w:r w:rsidRPr="00315E91">
        <w:rPr>
          <w:rFonts w:ascii="Segoe UI" w:eastAsia="Times New Roman" w:hAnsi="Segoe UI" w:cs="Segoe UI"/>
          <w:color w:val="0F1115"/>
          <w:kern w:val="0"/>
          <w14:ligatures w14:val="none"/>
        </w:rPr>
        <w:t>: After the Decian persecution, the church had to decide how to handle those who had renounced their faith. While Bishop Cyprian of Carthage advocated for a moderate policy of readmission after penance, the Roman presbyter </w:t>
      </w:r>
      <w:r w:rsidRPr="00315E91">
        <w:rPr>
          <w:rFonts w:ascii="Segoe UI" w:eastAsia="Times New Roman" w:hAnsi="Segoe UI" w:cs="Segoe UI"/>
          <w:b/>
          <w:bCs/>
          <w:color w:val="0F1115"/>
          <w:kern w:val="0"/>
          <w14:ligatures w14:val="none"/>
        </w:rPr>
        <w:t>Novatian</w:t>
      </w:r>
      <w:r w:rsidRPr="00315E91">
        <w:rPr>
          <w:rFonts w:ascii="Segoe UI" w:eastAsia="Times New Roman" w:hAnsi="Segoe UI" w:cs="Segoe UI"/>
          <w:color w:val="0F1115"/>
          <w:kern w:val="0"/>
          <w14:ligatures w14:val="none"/>
        </w:rPr>
        <w:t> took a rigorous stance, arguing that the lapsed (especially those who had sacrificed) should never be readmitted. This led to the </w:t>
      </w:r>
      <w:r w:rsidRPr="00315E91">
        <w:rPr>
          <w:rFonts w:ascii="Segoe UI" w:eastAsia="Times New Roman" w:hAnsi="Segoe UI" w:cs="Segoe UI"/>
          <w:b/>
          <w:bCs/>
          <w:color w:val="0F1115"/>
          <w:kern w:val="0"/>
          <w14:ligatures w14:val="none"/>
        </w:rPr>
        <w:t>Novatian schism</w:t>
      </w:r>
      <w:r w:rsidRPr="00315E91">
        <w:rPr>
          <w:rFonts w:ascii="Segoe UI" w:eastAsia="Times New Roman" w:hAnsi="Segoe UI" w:cs="Segoe UI"/>
          <w:color w:val="0F1115"/>
          <w:kern w:val="0"/>
          <w14:ligatures w14:val="none"/>
        </w:rPr>
        <w:t>, with Novatian setting himself up as a rival bishop and founding a puritanical sect that lasted for centuries .</w:t>
      </w:r>
    </w:p>
    <w:p w14:paraId="4203324F" w14:textId="77777777" w:rsidR="00315E91" w:rsidRPr="00315E91" w:rsidRDefault="00315E91" w:rsidP="00315E91">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t>The Baptismal Controversy</w:t>
      </w:r>
      <w:r w:rsidRPr="00315E91">
        <w:rPr>
          <w:rFonts w:ascii="Segoe UI" w:eastAsia="Times New Roman" w:hAnsi="Segoe UI" w:cs="Segoe UI"/>
          <w:color w:val="0F1115"/>
          <w:kern w:val="0"/>
          <w14:ligatures w14:val="none"/>
        </w:rPr>
        <w:t>: Cyprian also argued that baptism performed by heretical groups was invalid and that converts must be rebaptized. This brought him into sharp conflict with Pope Stephen I of Rome, who held the opposite view—a dispute that strained relations between Carthage and Rome but ultimately paved the way for the Roman position to prevail .</w:t>
      </w:r>
    </w:p>
    <w:p w14:paraId="0FADCF74" w14:textId="77777777" w:rsidR="00315E91" w:rsidRDefault="00315E91" w:rsidP="00315E91">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15E91">
        <w:rPr>
          <w:rFonts w:ascii="Segoe UI" w:eastAsia="Times New Roman" w:hAnsi="Segoe UI" w:cs="Segoe UI"/>
          <w:b/>
          <w:bCs/>
          <w:color w:val="0F1115"/>
          <w:kern w:val="0"/>
          <w14:ligatures w14:val="none"/>
        </w:rPr>
        <w:lastRenderedPageBreak/>
        <w:t>Christological Heresies</w:t>
      </w:r>
      <w:r w:rsidRPr="00315E91">
        <w:rPr>
          <w:rFonts w:ascii="Segoe UI" w:eastAsia="Times New Roman" w:hAnsi="Segoe UI" w:cs="Segoe UI"/>
          <w:color w:val="0F1115"/>
          <w:kern w:val="0"/>
          <w14:ligatures w14:val="none"/>
        </w:rPr>
        <w:t>: Debates over the nature of Christ also intensified. </w:t>
      </w:r>
      <w:r w:rsidRPr="00315E91">
        <w:rPr>
          <w:rFonts w:ascii="Segoe UI" w:eastAsia="Times New Roman" w:hAnsi="Segoe UI" w:cs="Segoe UI"/>
          <w:b/>
          <w:bCs/>
          <w:color w:val="0F1115"/>
          <w:kern w:val="0"/>
          <w14:ligatures w14:val="none"/>
        </w:rPr>
        <w:t>Adoptionism</w:t>
      </w:r>
      <w:r w:rsidRPr="00315E91">
        <w:rPr>
          <w:rFonts w:ascii="Segoe UI" w:eastAsia="Times New Roman" w:hAnsi="Segoe UI" w:cs="Segoe UI"/>
          <w:color w:val="0F1115"/>
          <w:kern w:val="0"/>
          <w14:ligatures w14:val="none"/>
        </w:rPr>
        <w:t> taught that Jesus was a man adopted as God's Son, while </w:t>
      </w:r>
      <w:r w:rsidRPr="00315E91">
        <w:rPr>
          <w:rFonts w:ascii="Segoe UI" w:eastAsia="Times New Roman" w:hAnsi="Segoe UI" w:cs="Segoe UI"/>
          <w:b/>
          <w:bCs/>
          <w:color w:val="0F1115"/>
          <w:kern w:val="0"/>
          <w14:ligatures w14:val="none"/>
        </w:rPr>
        <w:t>Sabellianism</w:t>
      </w:r>
      <w:r w:rsidRPr="00315E91">
        <w:rPr>
          <w:rFonts w:ascii="Segoe UI" w:eastAsia="Times New Roman" w:hAnsi="Segoe UI" w:cs="Segoe UI"/>
          <w:color w:val="0F1115"/>
          <w:kern w:val="0"/>
          <w14:ligatures w14:val="none"/>
        </w:rPr>
        <w:t> (Modalism) claimed that Father, Son, and Spirit were different modes of the same person. Figures like </w:t>
      </w:r>
      <w:r w:rsidRPr="00315E91">
        <w:rPr>
          <w:rFonts w:ascii="Segoe UI" w:eastAsia="Times New Roman" w:hAnsi="Segoe UI" w:cs="Segoe UI"/>
          <w:b/>
          <w:bCs/>
          <w:color w:val="0F1115"/>
          <w:kern w:val="0"/>
          <w14:ligatures w14:val="none"/>
        </w:rPr>
        <w:t>Paul of Samosata</w:t>
      </w:r>
      <w:r w:rsidRPr="00315E91">
        <w:rPr>
          <w:rFonts w:ascii="Segoe UI" w:eastAsia="Times New Roman" w:hAnsi="Segoe UI" w:cs="Segoe UI"/>
          <w:color w:val="0F1115"/>
          <w:kern w:val="0"/>
          <w14:ligatures w14:val="none"/>
        </w:rPr>
        <w:t xml:space="preserve">, Bishop of Antioch, propagated </w:t>
      </w:r>
      <w:proofErr w:type="spellStart"/>
      <w:r w:rsidRPr="00315E91">
        <w:rPr>
          <w:rFonts w:ascii="Segoe UI" w:eastAsia="Times New Roman" w:hAnsi="Segoe UI" w:cs="Segoe UI"/>
          <w:color w:val="0F1115"/>
          <w:kern w:val="0"/>
          <w14:ligatures w14:val="none"/>
        </w:rPr>
        <w:t>adoptionist</w:t>
      </w:r>
      <w:proofErr w:type="spellEnd"/>
      <w:r w:rsidRPr="00315E91">
        <w:rPr>
          <w:rFonts w:ascii="Segoe UI" w:eastAsia="Times New Roman" w:hAnsi="Segoe UI" w:cs="Segoe UI"/>
          <w:color w:val="0F1115"/>
          <w:kern w:val="0"/>
          <w14:ligatures w14:val="none"/>
        </w:rPr>
        <w:t xml:space="preserve"> ideas, leading to his condemnation by synods in the 260s .</w:t>
      </w:r>
    </w:p>
    <w:p w14:paraId="19FC44F3" w14:textId="77777777" w:rsidR="00315E91" w:rsidRPr="00315E91" w:rsidRDefault="00315E91" w:rsidP="00315E9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5E91">
        <w:rPr>
          <w:rFonts w:ascii="Segoe UI Emoji" w:eastAsia="Times New Roman" w:hAnsi="Segoe UI Emoji" w:cs="Segoe UI Emoji"/>
          <w:b/>
          <w:bCs/>
          <w:color w:val="0F1115"/>
          <w:kern w:val="0"/>
          <w:sz w:val="30"/>
          <w:szCs w:val="30"/>
          <w14:ligatures w14:val="none"/>
        </w:rPr>
        <w:t>🏗️</w:t>
      </w:r>
      <w:r w:rsidRPr="00315E91">
        <w:rPr>
          <w:rFonts w:ascii="Segoe UI" w:eastAsia="Times New Roman" w:hAnsi="Segoe UI" w:cs="Segoe UI"/>
          <w:b/>
          <w:bCs/>
          <w:color w:val="0F1115"/>
          <w:kern w:val="0"/>
          <w:sz w:val="30"/>
          <w:szCs w:val="30"/>
          <w14:ligatures w14:val="none"/>
        </w:rPr>
        <w:t xml:space="preserve"> From House Church to Imperial Religion</w:t>
      </w:r>
    </w:p>
    <w:p w14:paraId="7DEDCD67" w14:textId="77777777" w:rsidR="00315E91" w:rsidRPr="00315E91" w:rsidRDefault="00315E91" w:rsidP="00315E91">
      <w:pPr>
        <w:shd w:val="clear" w:color="auto" w:fill="FFFFFF"/>
        <w:spacing w:before="240"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Beyond persecution and theology, the church underwent significant structural and social changes. The position of the </w:t>
      </w:r>
      <w:r w:rsidRPr="00315E91">
        <w:rPr>
          <w:rFonts w:ascii="Segoe UI" w:eastAsia="Times New Roman" w:hAnsi="Segoe UI" w:cs="Segoe UI"/>
          <w:b/>
          <w:bCs/>
          <w:color w:val="0F1115"/>
          <w:kern w:val="0"/>
          <w14:ligatures w14:val="none"/>
        </w:rPr>
        <w:t>bishop</w:t>
      </w:r>
      <w:r w:rsidRPr="00315E91">
        <w:rPr>
          <w:rFonts w:ascii="Segoe UI" w:eastAsia="Times New Roman" w:hAnsi="Segoe UI" w:cs="Segoe UI"/>
          <w:color w:val="0F1115"/>
          <w:kern w:val="0"/>
          <w14:ligatures w14:val="none"/>
        </w:rPr>
        <w:t> grew enormously in power and prestige, becoming the central authority in Christian communities . With the "Little Peace of the Church," Christians began building dedicated public churches (</w:t>
      </w:r>
      <w:r w:rsidRPr="00315E91">
        <w:rPr>
          <w:rFonts w:ascii="Segoe UI" w:eastAsia="Times New Roman" w:hAnsi="Segoe UI" w:cs="Segoe UI"/>
          <w:i/>
          <w:iCs/>
          <w:color w:val="0F1115"/>
          <w:kern w:val="0"/>
          <w14:ligatures w14:val="none"/>
        </w:rPr>
        <w:t>basilicas</w:t>
      </w:r>
      <w:r w:rsidRPr="00315E91">
        <w:rPr>
          <w:rFonts w:ascii="Segoe UI" w:eastAsia="Times New Roman" w:hAnsi="Segoe UI" w:cs="Segoe UI"/>
          <w:color w:val="0F1115"/>
          <w:kern w:val="0"/>
          <w14:ligatures w14:val="none"/>
        </w:rPr>
        <w:t>) for worship for the first time . Missionary activity expanded, with accounts of Christians reaching as far as India (</w:t>
      </w:r>
      <w:proofErr w:type="spellStart"/>
      <w:r w:rsidRPr="00315E91">
        <w:rPr>
          <w:rFonts w:ascii="Segoe UI" w:eastAsia="Times New Roman" w:hAnsi="Segoe UI" w:cs="Segoe UI"/>
          <w:color w:val="0F1115"/>
          <w:kern w:val="0"/>
          <w14:ligatures w14:val="none"/>
        </w:rPr>
        <w:t>Pantaneus</w:t>
      </w:r>
      <w:proofErr w:type="spellEnd"/>
      <w:r w:rsidRPr="00315E91">
        <w:rPr>
          <w:rFonts w:ascii="Segoe UI" w:eastAsia="Times New Roman" w:hAnsi="Segoe UI" w:cs="Segoe UI"/>
          <w:color w:val="0F1115"/>
          <w:kern w:val="0"/>
          <w14:ligatures w14:val="none"/>
        </w:rPr>
        <w:t>), Arabia (Origen), and Gaul (modern France) .</w:t>
      </w:r>
    </w:p>
    <w:p w14:paraId="26EDF24A" w14:textId="762FF1AB" w:rsidR="00315E91" w:rsidRPr="00315E91" w:rsidRDefault="00315E91" w:rsidP="00315E91">
      <w:pPr>
        <w:shd w:val="clear" w:color="auto" w:fill="FFFFFF"/>
        <w:spacing w:before="240" w:after="240" w:line="240" w:lineRule="auto"/>
        <w:rPr>
          <w:rFonts w:ascii="Segoe UI" w:eastAsia="Times New Roman" w:hAnsi="Segoe UI" w:cs="Segoe UI"/>
          <w:color w:val="0F1115"/>
          <w:kern w:val="0"/>
          <w14:ligatures w14:val="none"/>
        </w:rPr>
      </w:pPr>
      <w:r w:rsidRPr="00315E91">
        <w:rPr>
          <w:rFonts w:ascii="Segoe UI" w:eastAsia="Times New Roman" w:hAnsi="Segoe UI" w:cs="Segoe UI"/>
          <w:color w:val="0F1115"/>
          <w:kern w:val="0"/>
          <w14:ligatures w14:val="none"/>
        </w:rPr>
        <w:t>However, these changes created internal tension. Church manuals like the </w:t>
      </w:r>
      <w:r w:rsidRPr="00315E91">
        <w:rPr>
          <w:rFonts w:ascii="Segoe UI" w:eastAsia="Times New Roman" w:hAnsi="Segoe UI" w:cs="Segoe UI"/>
          <w:i/>
          <w:iCs/>
          <w:color w:val="0F1115"/>
          <w:kern w:val="0"/>
          <w14:ligatures w14:val="none"/>
        </w:rPr>
        <w:t>Didache</w:t>
      </w:r>
      <w:r w:rsidRPr="00315E91">
        <w:rPr>
          <w:rFonts w:ascii="Segoe UI" w:eastAsia="Times New Roman" w:hAnsi="Segoe UI" w:cs="Segoe UI"/>
          <w:color w:val="0F1115"/>
          <w:kern w:val="0"/>
          <w14:ligatures w14:val="none"/>
        </w:rPr>
        <w:t> and the </w:t>
      </w:r>
      <w:r w:rsidRPr="00315E91">
        <w:rPr>
          <w:rFonts w:ascii="Segoe UI" w:eastAsia="Times New Roman" w:hAnsi="Segoe UI" w:cs="Segoe UI"/>
          <w:i/>
          <w:iCs/>
          <w:color w:val="0F1115"/>
          <w:kern w:val="0"/>
          <w14:ligatures w14:val="none"/>
        </w:rPr>
        <w:t>Apostolic Tradition</w:t>
      </w:r>
      <w:r w:rsidRPr="00315E91">
        <w:rPr>
          <w:rFonts w:ascii="Segoe UI" w:eastAsia="Times New Roman" w:hAnsi="Segoe UI" w:cs="Segoe UI"/>
          <w:color w:val="0F1115"/>
          <w:kern w:val="0"/>
          <w14:ligatures w14:val="none"/>
        </w:rPr>
        <w:t> standardized worship, regulating baptism and requiring prescribed prayers. Furthermore, the church's growing social respectability inadvertently reduced the exercise of spiritual gifts like prophecy and healing, which had been more prominent in the charismatic 2nd century.</w:t>
      </w:r>
    </w:p>
    <w:p w14:paraId="0208A5FC" w14:textId="77777777" w:rsidR="00315E91" w:rsidRDefault="00315E91" w:rsidP="00315E91">
      <w:pPr>
        <w:rPr>
          <w:b/>
          <w:bCs/>
        </w:rPr>
      </w:pPr>
    </w:p>
    <w:p w14:paraId="115F6311" w14:textId="5F74BA7C" w:rsidR="00315E91" w:rsidRDefault="00573A92" w:rsidP="00315E91">
      <w:pPr>
        <w:rPr>
          <w:b/>
          <w:bCs/>
        </w:rPr>
      </w:pPr>
      <w:r>
        <w:rPr>
          <w:b/>
          <w:bCs/>
        </w:rPr>
        <w:t>4</w:t>
      </w:r>
      <w:r w:rsidRPr="00573A92">
        <w:rPr>
          <w:b/>
          <w:bCs/>
          <w:vertAlign w:val="superscript"/>
        </w:rPr>
        <w:t>th</w:t>
      </w:r>
      <w:r>
        <w:rPr>
          <w:b/>
          <w:bCs/>
        </w:rPr>
        <w:t xml:space="preserve"> CENTURY </w:t>
      </w:r>
    </w:p>
    <w:p w14:paraId="3DAB9696" w14:textId="77777777" w:rsidR="00573A92" w:rsidRPr="00573A92" w:rsidRDefault="00573A92" w:rsidP="00573A92">
      <w:r w:rsidRPr="00573A92">
        <w:t>In the 4th century, the Church moved from a persecuted minority into a public, legally recognized religion, and then into a new era of close interaction with imperial power—while also wrestling with major theological disputes that led to the great ecumenical councils. 1 2 3 4</w:t>
      </w:r>
    </w:p>
    <w:p w14:paraId="7ABCC84A" w14:textId="77777777" w:rsidR="00573A92" w:rsidRPr="00573A92" w:rsidRDefault="00573A92" w:rsidP="00573A92">
      <w:pPr>
        <w:rPr>
          <w:b/>
          <w:bCs/>
        </w:rPr>
      </w:pPr>
      <w:r w:rsidRPr="00573A92">
        <w:rPr>
          <w:b/>
          <w:bCs/>
        </w:rPr>
        <w:t>Peace and legal recognition (early 4th century)</w:t>
      </w:r>
    </w:p>
    <w:p w14:paraId="375CA9E2" w14:textId="77777777" w:rsidR="00573A92" w:rsidRPr="00573A92" w:rsidRDefault="00573A92" w:rsidP="00573A92">
      <w:r w:rsidRPr="00573A92">
        <w:t>A decisive turning point came when Constantine (with Licinius) issued the Edict of Milan (313), granting Christians freedom to worship without molestation—often called the Peace of the Church. 1</w:t>
      </w:r>
    </w:p>
    <w:p w14:paraId="78EE0543" w14:textId="77777777" w:rsidR="00573A92" w:rsidRPr="00573A92" w:rsidRDefault="00573A92" w:rsidP="00573A92">
      <w:r w:rsidRPr="00573A92">
        <w:t>This peace did not mean the Church instantly became perfect or free from conflict, but it did change the Church’s public situation dramatically: persecution receded, and Christians could worship openly and organize more visibly. 1 5</w:t>
      </w:r>
    </w:p>
    <w:p w14:paraId="5E4CC417" w14:textId="77777777" w:rsidR="00573A92" w:rsidRPr="00573A92" w:rsidRDefault="00573A92" w:rsidP="00573A92">
      <w:pPr>
        <w:rPr>
          <w:b/>
          <w:bCs/>
        </w:rPr>
      </w:pPr>
      <w:r w:rsidRPr="00573A92">
        <w:rPr>
          <w:b/>
          <w:bCs/>
        </w:rPr>
        <w:t>The “Constantinian” shift: Church in the Empire</w:t>
      </w:r>
    </w:p>
    <w:p w14:paraId="420B7DCC" w14:textId="77777777" w:rsidR="00573A92" w:rsidRPr="00573A92" w:rsidRDefault="00573A92" w:rsidP="00573A92">
      <w:r w:rsidRPr="00573A92">
        <w:lastRenderedPageBreak/>
        <w:t>The 4th century is also the beginning of what the Catholic Encyclopedia calls the close union between Church and State—a “privileged position of the clergy” and a new configuration often described as “the Christian Empire.” 2</w:t>
      </w:r>
    </w:p>
    <w:p w14:paraId="4DE5D3F9" w14:textId="77777777" w:rsidR="00573A92" w:rsidRPr="00573A92" w:rsidRDefault="00573A92" w:rsidP="00573A92">
      <w:r w:rsidRPr="00573A92">
        <w:t>At the same time, that source notes an important tension: although Constantine supported the Council of Nicaea, there was a danger that the Church could be pressured by the emperor’s desire to control religious outcomes—so the Church was “in the empire, not the empire in the church.” 4</w:t>
      </w:r>
    </w:p>
    <w:p w14:paraId="0501E1A2" w14:textId="77777777" w:rsidR="00573A92" w:rsidRPr="00573A92" w:rsidRDefault="00573A92" w:rsidP="00573A92">
      <w:pPr>
        <w:rPr>
          <w:b/>
          <w:bCs/>
        </w:rPr>
      </w:pPr>
      <w:r w:rsidRPr="00573A92">
        <w:rPr>
          <w:b/>
          <w:bCs/>
        </w:rPr>
        <w:t>Major doctrinal crisis: Arianism → Nicaea (325)</w:t>
      </w:r>
    </w:p>
    <w:p w14:paraId="3439C617" w14:textId="77777777" w:rsidR="00573A92" w:rsidRPr="00573A92" w:rsidRDefault="00573A92" w:rsidP="00573A92">
      <w:r w:rsidRPr="00573A92">
        <w:t>Once Christianity had imperial recognition, major theological controversies came to the forefront. The Catholic Encyclopedia identifies Arianism as a major 4th-century dispute denying the divinity of Jesus Christ. 6</w:t>
      </w:r>
    </w:p>
    <w:p w14:paraId="277129B6" w14:textId="77777777" w:rsidR="00573A92" w:rsidRPr="00573A92" w:rsidRDefault="00573A92" w:rsidP="00573A92">
      <w:r w:rsidRPr="00573A92">
        <w:t>To restore unity, Constantine convoked the First Ecumenical Council at Nicaea in 325, called on account of the Arian controversy. 3 7</w:t>
      </w:r>
    </w:p>
    <w:p w14:paraId="3B59FE4A" w14:textId="77777777" w:rsidR="00573A92" w:rsidRPr="00573A92" w:rsidRDefault="00573A92" w:rsidP="00573A92">
      <w:r w:rsidRPr="00573A92">
        <w:t>The Council’s central achievement was the formulation of the Nicene Creed (the Nicene “symbol”), which articulated the faith of the Church against Arian denial of Christ’s full divinity. 3 8</w:t>
      </w:r>
    </w:p>
    <w:p w14:paraId="067D2831" w14:textId="77777777" w:rsidR="00573A92" w:rsidRPr="002678E3" w:rsidRDefault="00573A92" w:rsidP="00573A92">
      <w:pPr>
        <w:rPr>
          <w:b/>
          <w:bCs/>
        </w:rPr>
      </w:pPr>
      <w:r w:rsidRPr="002678E3">
        <w:rPr>
          <w:b/>
          <w:bCs/>
        </w:rPr>
        <w:t>Continued development of Church life and worship</w:t>
      </w:r>
    </w:p>
    <w:p w14:paraId="0A7B81F9" w14:textId="77777777" w:rsidR="00573A92" w:rsidRPr="00573A92" w:rsidRDefault="00573A92" w:rsidP="00573A92">
      <w:r w:rsidRPr="00573A92">
        <w:t>With peace and legalization came further development in how the Church lived and worshiped.</w:t>
      </w:r>
    </w:p>
    <w:p w14:paraId="3F35DA57" w14:textId="77777777" w:rsidR="00573A92" w:rsidRPr="00573A92" w:rsidRDefault="00573A92" w:rsidP="00573A92">
      <w:pPr>
        <w:numPr>
          <w:ilvl w:val="0"/>
          <w:numId w:val="9"/>
        </w:numPr>
      </w:pPr>
      <w:r w:rsidRPr="00573A92">
        <w:t>Worship spaces and church architecture: before Constantine, Christians often worshiped in private homes; the 4th century sees the growth of basilica-type churches connected with the new freedom inaugurated by Constantine. 5</w:t>
      </w:r>
    </w:p>
    <w:p w14:paraId="10060DE1" w14:textId="77777777" w:rsidR="00573A92" w:rsidRPr="00573A92" w:rsidRDefault="00573A92" w:rsidP="00573A92">
      <w:pPr>
        <w:numPr>
          <w:ilvl w:val="0"/>
          <w:numId w:val="9"/>
        </w:numPr>
      </w:pPr>
      <w:r w:rsidRPr="00573A92">
        <w:t>Christian art and public expression: Christian sculpture and symbolic art develop more fully in the 4th century “in the age of peace.” 5</w:t>
      </w:r>
    </w:p>
    <w:p w14:paraId="534F3526" w14:textId="77777777" w:rsidR="00573A92" w:rsidRPr="00573A92" w:rsidRDefault="00573A92" w:rsidP="00573A92">
      <w:pPr>
        <w:numPr>
          <w:ilvl w:val="0"/>
          <w:numId w:val="9"/>
        </w:numPr>
      </w:pPr>
      <w:r w:rsidRPr="00573A92">
        <w:t>More public Christian signs: sources describing Christian symbolism note how Constantine’s peace enabled Christians to move toward more open public expression of the cross over time. 9</w:t>
      </w:r>
    </w:p>
    <w:p w14:paraId="20B6C66D" w14:textId="77777777" w:rsidR="00573A92" w:rsidRPr="002678E3" w:rsidRDefault="00573A92" w:rsidP="00573A92">
      <w:pPr>
        <w:rPr>
          <w:b/>
          <w:bCs/>
        </w:rPr>
      </w:pPr>
      <w:r w:rsidRPr="002678E3">
        <w:rPr>
          <w:b/>
          <w:bCs/>
        </w:rPr>
        <w:t>Consolidation and “standardization” of Church structures</w:t>
      </w:r>
    </w:p>
    <w:p w14:paraId="1EE7125A" w14:textId="77777777" w:rsidR="00573A92" w:rsidRPr="00573A92" w:rsidRDefault="00573A92" w:rsidP="00573A92">
      <w:r w:rsidRPr="00573A92">
        <w:t>The Catholic Encyclopedia also summarizes the 4th century as a period in which the Church’s hierarchy, worship, and religious life assumed fixed forms—shaping later development. 2</w:t>
      </w:r>
    </w:p>
    <w:p w14:paraId="21B7B680" w14:textId="77777777" w:rsidR="00573A92" w:rsidRPr="00573A92" w:rsidRDefault="00573A92" w:rsidP="00573A92">
      <w:r w:rsidRPr="00573A92">
        <w:lastRenderedPageBreak/>
        <w:t>It further notes that theological disputes pushed forward “important dogmatical questions,” bringing councils and major theological literature to the forefront, and that the primacy of Rome becomes more conspicuous in this era. 2</w:t>
      </w:r>
    </w:p>
    <w:p w14:paraId="1FE121FF" w14:textId="77777777" w:rsidR="00573A92" w:rsidRPr="00573A92" w:rsidRDefault="00573A92" w:rsidP="00573A92">
      <w:r w:rsidRPr="00573A92">
        <w:t>The Second ecumenical milestone: Constantinople (381)</w:t>
      </w:r>
    </w:p>
    <w:p w14:paraId="1AE1F0C8" w14:textId="77777777" w:rsidR="00573A92" w:rsidRPr="00573A92" w:rsidRDefault="00573A92" w:rsidP="00573A92">
      <w:r w:rsidRPr="00573A92">
        <w:t>By the later 4th century, the Church continued to refine the Nicene faith in another major ecumenical council: Constantinople I (381), which confirmed and expanded the Nicene Creed—producing the Nicene-Constantinopolitan form still used liturgically in the Church today.</w:t>
      </w:r>
    </w:p>
    <w:p w14:paraId="68DEE486" w14:textId="77777777" w:rsidR="00573A92" w:rsidRPr="002678E3" w:rsidRDefault="00573A92" w:rsidP="00573A92">
      <w:pPr>
        <w:rPr>
          <w:b/>
          <w:bCs/>
        </w:rPr>
      </w:pPr>
      <w:r w:rsidRPr="002678E3">
        <w:rPr>
          <w:b/>
          <w:bCs/>
        </w:rPr>
        <w:t>Summary</w:t>
      </w:r>
    </w:p>
    <w:p w14:paraId="49F1C78A" w14:textId="77777777" w:rsidR="00573A92" w:rsidRPr="00573A92" w:rsidRDefault="00573A92" w:rsidP="00573A92">
      <w:r w:rsidRPr="00573A92">
        <w:t>So, in the 4th century the Church experienced: legal peace and public growth, greater involvement of imperial authority, major Christological conflict resolved by ecumenical councils (Nicaea 325; Constantinople 381), and a more standardized, publicly visible Church structure and worship. 1 4 3 2</w:t>
      </w:r>
    </w:p>
    <w:p w14:paraId="20B1EE95" w14:textId="77777777" w:rsidR="00315E91" w:rsidRPr="00573A92" w:rsidRDefault="00315E91" w:rsidP="00315E91"/>
    <w:p w14:paraId="47709107" w14:textId="77777777" w:rsidR="00315E91" w:rsidRDefault="00315E91" w:rsidP="00315E91">
      <w:pPr>
        <w:rPr>
          <w:b/>
          <w:bCs/>
        </w:rPr>
      </w:pPr>
    </w:p>
    <w:p w14:paraId="6172DFFF" w14:textId="77777777" w:rsidR="00315E91" w:rsidRDefault="00315E91" w:rsidP="00315E91">
      <w:pPr>
        <w:rPr>
          <w:b/>
          <w:bCs/>
        </w:rPr>
      </w:pPr>
    </w:p>
    <w:p w14:paraId="4486B97E" w14:textId="77777777" w:rsidR="00315E91" w:rsidRDefault="00315E91" w:rsidP="00315E91">
      <w:pPr>
        <w:rPr>
          <w:b/>
          <w:bCs/>
        </w:rPr>
      </w:pPr>
    </w:p>
    <w:p w14:paraId="756518BE" w14:textId="77777777" w:rsidR="00315E91" w:rsidRDefault="00315E91" w:rsidP="00315E91">
      <w:pPr>
        <w:rPr>
          <w:b/>
          <w:bCs/>
        </w:rPr>
      </w:pPr>
    </w:p>
    <w:p w14:paraId="54407D57" w14:textId="77777777" w:rsidR="00315E91" w:rsidRDefault="00315E91" w:rsidP="00315E91">
      <w:pPr>
        <w:rPr>
          <w:b/>
          <w:bCs/>
        </w:rPr>
      </w:pPr>
    </w:p>
    <w:p w14:paraId="0D2F640F" w14:textId="77777777" w:rsidR="00315E91" w:rsidRDefault="00315E91" w:rsidP="00315E91">
      <w:pPr>
        <w:rPr>
          <w:b/>
          <w:bCs/>
        </w:rPr>
      </w:pPr>
    </w:p>
    <w:p w14:paraId="6CC3EE1A" w14:textId="77777777" w:rsidR="00573A92" w:rsidRDefault="00573A92" w:rsidP="00315E91">
      <w:pPr>
        <w:rPr>
          <w:b/>
          <w:bCs/>
        </w:rPr>
      </w:pPr>
    </w:p>
    <w:p w14:paraId="0C3B1606" w14:textId="77777777" w:rsidR="00573A92" w:rsidRDefault="00573A92" w:rsidP="00315E91">
      <w:pPr>
        <w:rPr>
          <w:b/>
          <w:bCs/>
        </w:rPr>
      </w:pPr>
    </w:p>
    <w:p w14:paraId="191566B2" w14:textId="77777777" w:rsidR="00573A92" w:rsidRDefault="00573A92" w:rsidP="00315E91">
      <w:pPr>
        <w:rPr>
          <w:b/>
          <w:bCs/>
        </w:rPr>
      </w:pPr>
    </w:p>
    <w:p w14:paraId="69DD7FB0" w14:textId="77777777" w:rsidR="00573A92" w:rsidRDefault="00573A92" w:rsidP="00315E91">
      <w:pPr>
        <w:rPr>
          <w:b/>
          <w:bCs/>
        </w:rPr>
      </w:pPr>
    </w:p>
    <w:p w14:paraId="325826C9" w14:textId="77777777" w:rsidR="00573A92" w:rsidRDefault="00573A92" w:rsidP="00315E91">
      <w:pPr>
        <w:rPr>
          <w:b/>
          <w:bCs/>
        </w:rPr>
      </w:pPr>
    </w:p>
    <w:p w14:paraId="4C34A1C1" w14:textId="77777777" w:rsidR="00573A92" w:rsidRDefault="00573A92" w:rsidP="00315E91">
      <w:pPr>
        <w:rPr>
          <w:b/>
          <w:bCs/>
        </w:rPr>
      </w:pPr>
    </w:p>
    <w:p w14:paraId="7BD6DBCB" w14:textId="77777777" w:rsidR="00573A92" w:rsidRDefault="00573A92" w:rsidP="00315E91">
      <w:pPr>
        <w:rPr>
          <w:b/>
          <w:bCs/>
        </w:rPr>
      </w:pPr>
    </w:p>
    <w:p w14:paraId="2CDC1AC8" w14:textId="77777777" w:rsidR="00573A92" w:rsidRDefault="00573A92" w:rsidP="00315E91">
      <w:pPr>
        <w:rPr>
          <w:b/>
          <w:bCs/>
        </w:rPr>
      </w:pPr>
    </w:p>
    <w:p w14:paraId="6F7E349B" w14:textId="77777777" w:rsidR="00573A92" w:rsidRDefault="00573A92" w:rsidP="00315E91">
      <w:pPr>
        <w:rPr>
          <w:b/>
          <w:bCs/>
        </w:rPr>
      </w:pPr>
    </w:p>
    <w:p w14:paraId="55DCCD53" w14:textId="77777777" w:rsidR="00573A92" w:rsidRDefault="00573A92" w:rsidP="00315E91">
      <w:pPr>
        <w:rPr>
          <w:b/>
          <w:bCs/>
        </w:rPr>
      </w:pPr>
    </w:p>
    <w:p w14:paraId="37AEDEB6" w14:textId="6E1E4486" w:rsidR="00315E91" w:rsidRPr="00315E91" w:rsidRDefault="00315E91" w:rsidP="00315E91">
      <w:pPr>
        <w:rPr>
          <w:b/>
          <w:bCs/>
        </w:rPr>
      </w:pPr>
      <w:r w:rsidRPr="00315E91">
        <w:rPr>
          <w:b/>
          <w:bCs/>
        </w:rPr>
        <w:t>When did it split?</w:t>
      </w:r>
    </w:p>
    <w:p w14:paraId="4AA2C0B6" w14:textId="77777777" w:rsidR="00315E91" w:rsidRPr="00315E91" w:rsidRDefault="00315E91" w:rsidP="00315E91">
      <w:r w:rsidRPr="00315E91">
        <w:t>The Roman Empire’s “split” is best understood as happening </w:t>
      </w:r>
      <w:r w:rsidRPr="00315E91">
        <w:rPr>
          <w:b/>
          <w:bCs/>
        </w:rPr>
        <w:t>in stages</w:t>
      </w:r>
      <w:r w:rsidRPr="00315E91">
        <w:t>:</w:t>
      </w:r>
    </w:p>
    <w:p w14:paraId="60C7E2BA" w14:textId="77777777" w:rsidR="00315E91" w:rsidRPr="00315E91" w:rsidRDefault="00315E91" w:rsidP="00315E91">
      <w:pPr>
        <w:numPr>
          <w:ilvl w:val="0"/>
          <w:numId w:val="1"/>
        </w:numPr>
      </w:pPr>
      <w:r w:rsidRPr="00315E91">
        <w:rPr>
          <w:b/>
          <w:bCs/>
        </w:rPr>
        <w:t>First major administrative division (Diocletian, 284–305):</w:t>
      </w:r>
      <w:r w:rsidRPr="00315E91">
        <w:t> Diocletian reorganized the empire into a system that effectively divided government among multiple rulers/governing units (“the empire having been quartered”). 1</w:t>
      </w:r>
    </w:p>
    <w:p w14:paraId="6F51E6E3" w14:textId="77777777" w:rsidR="00315E91" w:rsidRPr="00315E91" w:rsidRDefault="00315E91" w:rsidP="00315E91">
      <w:pPr>
        <w:numPr>
          <w:ilvl w:val="0"/>
          <w:numId w:val="1"/>
        </w:numPr>
      </w:pPr>
      <w:r w:rsidRPr="00315E91">
        <w:rPr>
          <w:b/>
          <w:bCs/>
        </w:rPr>
        <w:t>Definitive East/West separation under Theodosius I (year 395):</w:t>
      </w:r>
      <w:r w:rsidRPr="00315E91">
        <w:t> After the Emperor Theodosius divided the empire, </w:t>
      </w:r>
      <w:r w:rsidRPr="00315E91">
        <w:rPr>
          <w:b/>
          <w:bCs/>
        </w:rPr>
        <w:t>the Western half went to Honorius</w:t>
      </w:r>
      <w:r w:rsidRPr="00315E91">
        <w:t> and </w:t>
      </w:r>
      <w:r w:rsidRPr="00315E91">
        <w:rPr>
          <w:b/>
          <w:bCs/>
        </w:rPr>
        <w:t>the Eastern half to Arcadius</w:t>
      </w:r>
      <w:r w:rsidRPr="00315E91">
        <w:t>. 2</w:t>
      </w:r>
    </w:p>
    <w:p w14:paraId="34139331" w14:textId="77777777" w:rsidR="00315E91" w:rsidRPr="00315E91" w:rsidRDefault="00315E91" w:rsidP="00315E91">
      <w:pPr>
        <w:numPr>
          <w:ilvl w:val="0"/>
          <w:numId w:val="1"/>
        </w:numPr>
      </w:pPr>
      <w:r w:rsidRPr="00315E91">
        <w:rPr>
          <w:b/>
          <w:bCs/>
        </w:rPr>
        <w:t>Ongoing, later permanence (so the Church/empire east-west map aligns):</w:t>
      </w:r>
      <w:r w:rsidRPr="00315E91">
        <w:t> The Catholic Encyclopedia summarizes that the division was made “first by Diocletian (284-305), and again by the sons of Theodosius I … (Arcadius in the East, 395-408; and Honorius in the West, 395-423).” 3</w:t>
      </w:r>
    </w:p>
    <w:p w14:paraId="6E029B09" w14:textId="77777777" w:rsidR="00315E91" w:rsidRPr="00315E91" w:rsidRDefault="00315E91" w:rsidP="00315E91">
      <w:r w:rsidRPr="00315E91">
        <w:t>So, if you mean the </w:t>
      </w:r>
      <w:r w:rsidRPr="00315E91">
        <w:rPr>
          <w:b/>
          <w:bCs/>
        </w:rPr>
        <w:t>classic “East vs West Roman Empire” split</w:t>
      </w:r>
      <w:r w:rsidRPr="00315E91">
        <w:t>, the key date is </w:t>
      </w:r>
      <w:r w:rsidRPr="00315E91">
        <w:rPr>
          <w:b/>
          <w:bCs/>
        </w:rPr>
        <w:t>395</w:t>
      </w:r>
      <w:r w:rsidRPr="00315E91">
        <w:t>. 2</w:t>
      </w:r>
    </w:p>
    <w:p w14:paraId="7502991C" w14:textId="77777777" w:rsidR="00315E91" w:rsidRPr="00315E91" w:rsidRDefault="00315E91" w:rsidP="00315E91">
      <w:pPr>
        <w:rPr>
          <w:b/>
          <w:bCs/>
        </w:rPr>
      </w:pPr>
      <w:r w:rsidRPr="00315E91">
        <w:rPr>
          <w:b/>
          <w:bCs/>
        </w:rPr>
        <w:t>Why did it split?</w:t>
      </w:r>
    </w:p>
    <w:p w14:paraId="7FB8B649" w14:textId="77777777" w:rsidR="00315E91" w:rsidRPr="00315E91" w:rsidRDefault="00315E91" w:rsidP="00315E91">
      <w:r w:rsidRPr="00315E91">
        <w:t>There were both </w:t>
      </w:r>
      <w:r w:rsidRPr="00315E91">
        <w:rPr>
          <w:b/>
          <w:bCs/>
        </w:rPr>
        <w:t>practical</w:t>
      </w:r>
      <w:r w:rsidRPr="00315E91">
        <w:t> and </w:t>
      </w:r>
      <w:r w:rsidRPr="00315E91">
        <w:rPr>
          <w:b/>
          <w:bCs/>
        </w:rPr>
        <w:t>political</w:t>
      </w:r>
      <w:r w:rsidRPr="00315E91">
        <w:t> reasons:</w:t>
      </w:r>
    </w:p>
    <w:p w14:paraId="6C361D1B" w14:textId="77777777" w:rsidR="00315E91" w:rsidRPr="00315E91" w:rsidRDefault="00315E91" w:rsidP="00315E91">
      <w:pPr>
        <w:numPr>
          <w:ilvl w:val="0"/>
          <w:numId w:val="2"/>
        </w:numPr>
      </w:pPr>
      <w:r w:rsidRPr="00315E91">
        <w:rPr>
          <w:b/>
          <w:bCs/>
        </w:rPr>
        <w:t>To manage the empire more effectively:</w:t>
      </w:r>
      <w:r w:rsidRPr="00315E91">
        <w:t> Diocletian’s reform “quartered” the government and multiplied armies and offices; the Catholic Encyclopedia notes this division as part of the empire’s political development. 1 3</w:t>
      </w:r>
    </w:p>
    <w:p w14:paraId="7307881F" w14:textId="77777777" w:rsidR="00315E91" w:rsidRPr="00315E91" w:rsidRDefault="00315E91" w:rsidP="00315E91">
      <w:pPr>
        <w:numPr>
          <w:ilvl w:val="0"/>
          <w:numId w:val="2"/>
        </w:numPr>
      </w:pPr>
      <w:r w:rsidRPr="00315E91">
        <w:rPr>
          <w:b/>
          <w:bCs/>
        </w:rPr>
        <w:t>Succession planning after Theodosius:</w:t>
      </w:r>
      <w:r w:rsidRPr="00315E91">
        <w:t> In </w:t>
      </w:r>
      <w:r w:rsidRPr="00315E91">
        <w:rPr>
          <w:b/>
          <w:bCs/>
        </w:rPr>
        <w:t>395</w:t>
      </w:r>
      <w:r w:rsidRPr="00315E91">
        <w:t>, the empire was divided between the sons—</w:t>
      </w:r>
      <w:r w:rsidRPr="00315E91">
        <w:rPr>
          <w:b/>
          <w:bCs/>
        </w:rPr>
        <w:t>Honorius (West) and Arcadius (East)</w:t>
      </w:r>
      <w:r w:rsidRPr="00315E91">
        <w:t>—with a boundary drawn so some provinces remained with the West. 2</w:t>
      </w:r>
    </w:p>
    <w:p w14:paraId="02FDFC16" w14:textId="77777777" w:rsidR="00315E91" w:rsidRPr="00315E91" w:rsidRDefault="00315E91" w:rsidP="00315E91">
      <w:pPr>
        <w:numPr>
          <w:ilvl w:val="0"/>
          <w:numId w:val="2"/>
        </w:numPr>
      </w:pPr>
      <w:r w:rsidRPr="00315E91">
        <w:rPr>
          <w:b/>
          <w:bCs/>
        </w:rPr>
        <w:t xml:space="preserve">It later produced hostility between the </w:t>
      </w:r>
      <w:proofErr w:type="spellStart"/>
      <w:r w:rsidRPr="00315E91">
        <w:rPr>
          <w:b/>
          <w:bCs/>
        </w:rPr>
        <w:t>halves</w:t>
      </w:r>
      <w:proofErr w:type="spellEnd"/>
      <w:r w:rsidRPr="00315E91">
        <w:rPr>
          <w:b/>
          <w:bCs/>
        </w:rPr>
        <w:t>:</w:t>
      </w:r>
      <w:r w:rsidRPr="00315E91">
        <w:t> After the division, the source explicitly says the separation led to “positive hostility between its parts.” 2</w:t>
      </w:r>
    </w:p>
    <w:p w14:paraId="64BC7DFB" w14:textId="77777777" w:rsidR="00315E91" w:rsidRPr="00315E91" w:rsidRDefault="00315E91" w:rsidP="00315E91">
      <w:r w:rsidRPr="00315E91">
        <w:t>In short: the split began as an </w:t>
      </w:r>
      <w:r w:rsidRPr="00315E91">
        <w:rPr>
          <w:b/>
          <w:bCs/>
        </w:rPr>
        <w:t>administrative/successional structure</w:t>
      </w:r>
      <w:r w:rsidRPr="00315E91">
        <w:t> (Diocletian → Theodosius), and by the time of the </w:t>
      </w:r>
      <w:r w:rsidRPr="00315E91">
        <w:rPr>
          <w:b/>
          <w:bCs/>
        </w:rPr>
        <w:t>395</w:t>
      </w:r>
      <w:r w:rsidRPr="00315E91">
        <w:t> arrangement it became a </w:t>
      </w:r>
      <w:r w:rsidRPr="00315E91">
        <w:rPr>
          <w:b/>
          <w:bCs/>
        </w:rPr>
        <w:t>more durable political reality</w:t>
      </w:r>
      <w:r w:rsidRPr="00315E91">
        <w:t> that eventually increased tensions between East and West. 2 3</w:t>
      </w:r>
    </w:p>
    <w:p w14:paraId="34910DF1" w14:textId="77777777" w:rsidR="00CC7C45" w:rsidRDefault="00CC7C45"/>
    <w:p w14:paraId="71E9A4FD" w14:textId="77777777" w:rsidR="00315E91" w:rsidRDefault="00315E91"/>
    <w:p w14:paraId="525C981D" w14:textId="77777777" w:rsidR="00315E91" w:rsidRDefault="00315E91"/>
    <w:p w14:paraId="6E2A459A" w14:textId="77777777" w:rsidR="00315E91" w:rsidRDefault="00315E91"/>
    <w:p w14:paraId="42E964A1" w14:textId="77777777" w:rsidR="00315E91" w:rsidRPr="00315E91" w:rsidRDefault="00315E91" w:rsidP="00315E91">
      <w:r w:rsidRPr="00315E91">
        <w:t>The “Roman Empire” can be said to “fall” in two major historical senses:</w:t>
      </w:r>
    </w:p>
    <w:p w14:paraId="0EC63A8D" w14:textId="77777777" w:rsidR="00315E91" w:rsidRPr="00315E91" w:rsidRDefault="00315E91" w:rsidP="00315E91">
      <w:pPr>
        <w:numPr>
          <w:ilvl w:val="0"/>
          <w:numId w:val="3"/>
        </w:numPr>
      </w:pPr>
      <w:r w:rsidRPr="00315E91">
        <w:rPr>
          <w:b/>
          <w:bCs/>
        </w:rPr>
        <w:t>Fall of the Western Roman Empire: 476</w:t>
      </w:r>
    </w:p>
    <w:p w14:paraId="65C0E054" w14:textId="77777777" w:rsidR="00315E91" w:rsidRPr="00315E91" w:rsidRDefault="00315E91" w:rsidP="00315E91">
      <w:pPr>
        <w:numPr>
          <w:ilvl w:val="1"/>
          <w:numId w:val="3"/>
        </w:numPr>
      </w:pPr>
      <w:r w:rsidRPr="00315E91">
        <w:t>The last Western emperor, </w:t>
      </w:r>
      <w:r w:rsidRPr="00315E91">
        <w:rPr>
          <w:b/>
          <w:bCs/>
        </w:rPr>
        <w:t>Romulus Augustulus</w:t>
      </w:r>
      <w:r w:rsidRPr="00315E91">
        <w:t>, was </w:t>
      </w:r>
      <w:r w:rsidRPr="00315E91">
        <w:rPr>
          <w:b/>
          <w:bCs/>
        </w:rPr>
        <w:t>deposed in 476</w:t>
      </w:r>
      <w:r w:rsidRPr="00315E91">
        <w:t>, and the Western Empire effectively ceased. 1</w:t>
      </w:r>
    </w:p>
    <w:p w14:paraId="336ADDB1" w14:textId="77777777" w:rsidR="00315E91" w:rsidRPr="00315E91" w:rsidRDefault="00315E91" w:rsidP="00315E91">
      <w:pPr>
        <w:numPr>
          <w:ilvl w:val="0"/>
          <w:numId w:val="3"/>
        </w:numPr>
      </w:pPr>
      <w:r w:rsidRPr="00315E91">
        <w:rPr>
          <w:b/>
          <w:bCs/>
        </w:rPr>
        <w:t>Fall of the Eastern (Byzantine) Roman Empire: 1453</w:t>
      </w:r>
    </w:p>
    <w:p w14:paraId="25C7ADB6" w14:textId="77777777" w:rsidR="00315E91" w:rsidRPr="00315E91" w:rsidRDefault="00315E91" w:rsidP="00315E91">
      <w:pPr>
        <w:numPr>
          <w:ilvl w:val="1"/>
          <w:numId w:val="3"/>
        </w:numPr>
      </w:pPr>
      <w:r w:rsidRPr="00315E91">
        <w:rPr>
          <w:b/>
          <w:bCs/>
        </w:rPr>
        <w:t>Constantinople</w:t>
      </w:r>
      <w:r w:rsidRPr="00315E91">
        <w:t> (the capital of the Eastern empire) was captured by the Turks on </w:t>
      </w:r>
      <w:r w:rsidRPr="00315E91">
        <w:rPr>
          <w:b/>
          <w:bCs/>
        </w:rPr>
        <w:t>29 May 1453</w:t>
      </w:r>
      <w:r w:rsidRPr="00315E91">
        <w:t>, marking the end of the Byzantine Empire (the Eastern “survival of Rome”). 2 3</w:t>
      </w:r>
    </w:p>
    <w:p w14:paraId="00CB5A0B" w14:textId="77777777" w:rsidR="00315E91" w:rsidRDefault="00315E91"/>
    <w:sectPr w:rsidR="00315E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E3C6" w14:textId="77777777" w:rsidR="00080323" w:rsidRDefault="00080323" w:rsidP="002678E3">
      <w:pPr>
        <w:spacing w:after="0" w:line="240" w:lineRule="auto"/>
      </w:pPr>
      <w:r>
        <w:separator/>
      </w:r>
    </w:p>
  </w:endnote>
  <w:endnote w:type="continuationSeparator" w:id="0">
    <w:p w14:paraId="26835C59" w14:textId="77777777" w:rsidR="00080323" w:rsidRDefault="00080323" w:rsidP="0026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5921" w14:textId="77777777" w:rsidR="00080323" w:rsidRDefault="00080323" w:rsidP="002678E3">
      <w:pPr>
        <w:spacing w:after="0" w:line="240" w:lineRule="auto"/>
      </w:pPr>
      <w:r>
        <w:separator/>
      </w:r>
    </w:p>
  </w:footnote>
  <w:footnote w:type="continuationSeparator" w:id="0">
    <w:p w14:paraId="35A00614" w14:textId="77777777" w:rsidR="00080323" w:rsidRDefault="00080323" w:rsidP="002678E3">
      <w:pPr>
        <w:spacing w:after="0" w:line="240" w:lineRule="auto"/>
      </w:pPr>
      <w:r>
        <w:continuationSeparator/>
      </w:r>
    </w:p>
  </w:footnote>
  <w:footnote w:id="1">
    <w:p w14:paraId="54AD8E8A" w14:textId="5480DB8D" w:rsidR="002678E3" w:rsidRDefault="002678E3">
      <w:pPr>
        <w:pStyle w:val="FootnoteText"/>
      </w:pPr>
      <w:r>
        <w:rPr>
          <w:rStyle w:val="FootnoteReference"/>
        </w:rPr>
        <w:footnoteRef/>
      </w:r>
      <w:r>
        <w:t xml:space="preserve"> The New Revised Standard Version, Catholic Edition (NRSV-CE). The Holy Bible, Acts 2</w:t>
      </w:r>
    </w:p>
  </w:footnote>
  <w:footnote w:id="2">
    <w:p w14:paraId="5A22DFDF" w14:textId="14396B1B" w:rsidR="002678E3" w:rsidRDefault="002678E3">
      <w:pPr>
        <w:pStyle w:val="FootnoteText"/>
      </w:pPr>
      <w:r>
        <w:rPr>
          <w:rStyle w:val="FootnoteReference"/>
        </w:rPr>
        <w:footnoteRef/>
      </w:r>
      <w:r>
        <w:t xml:space="preserve"> Ibid, Acts 4</w:t>
      </w:r>
    </w:p>
  </w:footnote>
  <w:footnote w:id="3">
    <w:p w14:paraId="0593F137" w14:textId="0C028D6F" w:rsidR="002678E3" w:rsidRDefault="002678E3">
      <w:pPr>
        <w:pStyle w:val="FootnoteText"/>
      </w:pPr>
      <w:r>
        <w:rPr>
          <w:rStyle w:val="FootnoteReference"/>
        </w:rPr>
        <w:footnoteRef/>
      </w:r>
      <w:r>
        <w:t xml:space="preserve"> The New Revised Standard Version, Catholic Edition (NRSV-CE). The Holy Bible, Acts 9</w:t>
      </w:r>
    </w:p>
  </w:footnote>
  <w:footnote w:id="4">
    <w:p w14:paraId="56EEF33E" w14:textId="29B8FBA8" w:rsidR="002678E3" w:rsidRDefault="002678E3">
      <w:pPr>
        <w:pStyle w:val="FootnoteText"/>
      </w:pPr>
      <w:r>
        <w:rPr>
          <w:rStyle w:val="FootnoteReference"/>
        </w:rPr>
        <w:footnoteRef/>
      </w:r>
      <w:r>
        <w:t xml:space="preserve"> Ibid, Acts 15</w:t>
      </w:r>
    </w:p>
  </w:footnote>
  <w:footnote w:id="5">
    <w:p w14:paraId="67C5627A" w14:textId="1FBD380F" w:rsidR="002678E3" w:rsidRDefault="002678E3">
      <w:pPr>
        <w:pStyle w:val="FootnoteText"/>
      </w:pPr>
      <w:r>
        <w:rPr>
          <w:rStyle w:val="FootnoteReference"/>
        </w:rPr>
        <w:footnoteRef/>
      </w:r>
      <w:r>
        <w:t xml:space="preserve"> </w:t>
      </w:r>
      <w:r w:rsidR="00DC7D4C">
        <w:t>Dicastery for Institutes of Consecrated Life and the Societies of Apostolic life</w:t>
      </w:r>
    </w:p>
  </w:footnote>
  <w:footnote w:id="6">
    <w:p w14:paraId="27A4B4AF" w14:textId="233CE0FB" w:rsidR="00DC7D4C" w:rsidRDefault="00DC7D4C">
      <w:pPr>
        <w:pStyle w:val="FootnoteText"/>
      </w:pPr>
      <w:r>
        <w:rPr>
          <w:rStyle w:val="FootnoteReference"/>
        </w:rPr>
        <w:footnoteRef/>
      </w:r>
      <w:r>
        <w:t xml:space="preserve"> Origen of Alexandria, Contra Celsum,3</w:t>
      </w:r>
    </w:p>
  </w:footnote>
  <w:footnote w:id="7">
    <w:p w14:paraId="50FBA03A" w14:textId="524E1CB0" w:rsidR="00DC7D4C" w:rsidRDefault="00DC7D4C">
      <w:pPr>
        <w:pStyle w:val="FootnoteText"/>
      </w:pPr>
      <w:r>
        <w:rPr>
          <w:rStyle w:val="FootnoteReference"/>
        </w:rPr>
        <w:footnoteRef/>
      </w:r>
      <w:r>
        <w:t xml:space="preserve"> The New Revised Standard Version, Catholic Edition (NRSV-CE). The Holy Bible, Acts 2</w:t>
      </w:r>
    </w:p>
  </w:footnote>
  <w:footnote w:id="8">
    <w:p w14:paraId="64FE6F32" w14:textId="09A16F7B" w:rsidR="00DC7D4C" w:rsidRDefault="00DC7D4C">
      <w:pPr>
        <w:pStyle w:val="FootnoteText"/>
      </w:pPr>
      <w:r>
        <w:rPr>
          <w:rStyle w:val="FootnoteReference"/>
        </w:rPr>
        <w:footnoteRef/>
      </w:r>
      <w:r>
        <w:t xml:space="preserve"> Ibid, Acts 2</w:t>
      </w:r>
    </w:p>
  </w:footnote>
  <w:footnote w:id="9">
    <w:p w14:paraId="1F5454E5" w14:textId="58300F2C" w:rsidR="00DC7D4C" w:rsidRDefault="00DC7D4C">
      <w:pPr>
        <w:pStyle w:val="FootnoteText"/>
      </w:pPr>
      <w:r>
        <w:rPr>
          <w:rStyle w:val="FootnoteReference"/>
        </w:rPr>
        <w:footnoteRef/>
      </w:r>
      <w:r>
        <w:t xml:space="preserve"> Ibid, Acts 2</w:t>
      </w:r>
    </w:p>
  </w:footnote>
  <w:footnote w:id="10">
    <w:p w14:paraId="2CFFD275" w14:textId="0BDDD48E" w:rsidR="00DC7D4C" w:rsidRDefault="00DC7D4C">
      <w:pPr>
        <w:pStyle w:val="FootnoteText"/>
      </w:pPr>
      <w:r>
        <w:rPr>
          <w:rStyle w:val="FootnoteReference"/>
        </w:rPr>
        <w:footnoteRef/>
      </w:r>
      <w:r>
        <w:t xml:space="preserve"> Ibid, Acts 4</w:t>
      </w:r>
    </w:p>
  </w:footnote>
  <w:footnote w:id="11">
    <w:p w14:paraId="4DA91282" w14:textId="4766C903" w:rsidR="00DC7D4C" w:rsidRDefault="00DC7D4C">
      <w:pPr>
        <w:pStyle w:val="FootnoteText"/>
      </w:pPr>
      <w:r>
        <w:rPr>
          <w:rStyle w:val="FootnoteReference"/>
        </w:rPr>
        <w:footnoteRef/>
      </w:r>
      <w:r>
        <w:t xml:space="preserve"> Ibid, Acts 4</w:t>
      </w:r>
    </w:p>
  </w:footnote>
  <w:footnote w:id="12">
    <w:p w14:paraId="6334F4FA" w14:textId="25FF4080" w:rsidR="00DC7D4C" w:rsidRDefault="00DC7D4C">
      <w:pPr>
        <w:pStyle w:val="FootnoteText"/>
      </w:pPr>
      <w:r>
        <w:rPr>
          <w:rStyle w:val="FootnoteReference"/>
        </w:rPr>
        <w:footnoteRef/>
      </w:r>
      <w:r>
        <w:t xml:space="preserve"> The New Revised Standard Version, Catholic Edition (NRSV-CE). The Holy Bible, Acts 2</w:t>
      </w:r>
    </w:p>
  </w:footnote>
  <w:footnote w:id="13">
    <w:p w14:paraId="202CD464" w14:textId="1CF7FD10" w:rsidR="00DC7D4C" w:rsidRDefault="00DC7D4C">
      <w:pPr>
        <w:pStyle w:val="FootnoteText"/>
      </w:pPr>
      <w:r>
        <w:rPr>
          <w:rStyle w:val="FootnoteReference"/>
        </w:rPr>
        <w:footnoteRef/>
      </w:r>
      <w:r>
        <w:t xml:space="preserve"> The New Revised Standard Version, Catholic Edition (NRSV-CE). The Holy Bible, Acts 9</w:t>
      </w:r>
    </w:p>
  </w:footnote>
  <w:footnote w:id="14">
    <w:p w14:paraId="41029E47" w14:textId="2B45A18D" w:rsidR="00DC7D4C" w:rsidRDefault="00DC7D4C">
      <w:pPr>
        <w:pStyle w:val="FootnoteText"/>
      </w:pPr>
      <w:r>
        <w:rPr>
          <w:rStyle w:val="FootnoteReference"/>
        </w:rPr>
        <w:footnoteRef/>
      </w:r>
      <w:r>
        <w:t xml:space="preserve"> Ibid, Acts 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2C9E"/>
    <w:multiLevelType w:val="multilevel"/>
    <w:tmpl w:val="C16A7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5F46E9"/>
    <w:multiLevelType w:val="multilevel"/>
    <w:tmpl w:val="3E2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01A18"/>
    <w:multiLevelType w:val="multilevel"/>
    <w:tmpl w:val="9C6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526B5"/>
    <w:multiLevelType w:val="multilevel"/>
    <w:tmpl w:val="65E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163D"/>
    <w:multiLevelType w:val="multilevel"/>
    <w:tmpl w:val="BEC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CB0C8B"/>
    <w:multiLevelType w:val="multilevel"/>
    <w:tmpl w:val="B3F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1F5846"/>
    <w:multiLevelType w:val="multilevel"/>
    <w:tmpl w:val="90D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745933"/>
    <w:multiLevelType w:val="multilevel"/>
    <w:tmpl w:val="A3E4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2E5536"/>
    <w:multiLevelType w:val="multilevel"/>
    <w:tmpl w:val="9B2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94811">
    <w:abstractNumId w:val="2"/>
  </w:num>
  <w:num w:numId="2" w16cid:durableId="1401519508">
    <w:abstractNumId w:val="7"/>
  </w:num>
  <w:num w:numId="3" w16cid:durableId="1894194795">
    <w:abstractNumId w:val="0"/>
  </w:num>
  <w:num w:numId="4" w16cid:durableId="361975586">
    <w:abstractNumId w:val="8"/>
  </w:num>
  <w:num w:numId="5" w16cid:durableId="1990935894">
    <w:abstractNumId w:val="1"/>
  </w:num>
  <w:num w:numId="6" w16cid:durableId="1816800350">
    <w:abstractNumId w:val="3"/>
  </w:num>
  <w:num w:numId="7" w16cid:durableId="1295408519">
    <w:abstractNumId w:val="6"/>
  </w:num>
  <w:num w:numId="8" w16cid:durableId="2094742233">
    <w:abstractNumId w:val="5"/>
  </w:num>
  <w:num w:numId="9" w16cid:durableId="982467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91"/>
    <w:rsid w:val="00035F52"/>
    <w:rsid w:val="00080323"/>
    <w:rsid w:val="001B6744"/>
    <w:rsid w:val="00262AB9"/>
    <w:rsid w:val="002678E3"/>
    <w:rsid w:val="00315E91"/>
    <w:rsid w:val="00441D28"/>
    <w:rsid w:val="00573A92"/>
    <w:rsid w:val="00641884"/>
    <w:rsid w:val="00663195"/>
    <w:rsid w:val="009D292B"/>
    <w:rsid w:val="00B773D6"/>
    <w:rsid w:val="00CA3894"/>
    <w:rsid w:val="00CC7C45"/>
    <w:rsid w:val="00CF58D3"/>
    <w:rsid w:val="00D11581"/>
    <w:rsid w:val="00DC7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AB86"/>
  <w15:chartTrackingRefBased/>
  <w15:docId w15:val="{C1AE05DD-5556-4840-B86F-C4C1F2DB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91"/>
    <w:rPr>
      <w:rFonts w:eastAsiaTheme="majorEastAsia" w:cstheme="majorBidi"/>
      <w:color w:val="272727" w:themeColor="text1" w:themeTint="D8"/>
    </w:rPr>
  </w:style>
  <w:style w:type="paragraph" w:styleId="Title">
    <w:name w:val="Title"/>
    <w:basedOn w:val="Normal"/>
    <w:next w:val="Normal"/>
    <w:link w:val="TitleChar"/>
    <w:uiPriority w:val="10"/>
    <w:qFormat/>
    <w:rsid w:val="00315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91"/>
    <w:pPr>
      <w:spacing w:before="160"/>
      <w:jc w:val="center"/>
    </w:pPr>
    <w:rPr>
      <w:i/>
      <w:iCs/>
      <w:color w:val="404040" w:themeColor="text1" w:themeTint="BF"/>
    </w:rPr>
  </w:style>
  <w:style w:type="character" w:customStyle="1" w:styleId="QuoteChar">
    <w:name w:val="Quote Char"/>
    <w:basedOn w:val="DefaultParagraphFont"/>
    <w:link w:val="Quote"/>
    <w:uiPriority w:val="29"/>
    <w:rsid w:val="00315E91"/>
    <w:rPr>
      <w:i/>
      <w:iCs/>
      <w:color w:val="404040" w:themeColor="text1" w:themeTint="BF"/>
    </w:rPr>
  </w:style>
  <w:style w:type="paragraph" w:styleId="ListParagraph">
    <w:name w:val="List Paragraph"/>
    <w:basedOn w:val="Normal"/>
    <w:uiPriority w:val="34"/>
    <w:qFormat/>
    <w:rsid w:val="00315E91"/>
    <w:pPr>
      <w:ind w:left="720"/>
      <w:contextualSpacing/>
    </w:pPr>
  </w:style>
  <w:style w:type="character" w:styleId="IntenseEmphasis">
    <w:name w:val="Intense Emphasis"/>
    <w:basedOn w:val="DefaultParagraphFont"/>
    <w:uiPriority w:val="21"/>
    <w:qFormat/>
    <w:rsid w:val="00315E91"/>
    <w:rPr>
      <w:i/>
      <w:iCs/>
      <w:color w:val="0F4761" w:themeColor="accent1" w:themeShade="BF"/>
    </w:rPr>
  </w:style>
  <w:style w:type="paragraph" w:styleId="IntenseQuote">
    <w:name w:val="Intense Quote"/>
    <w:basedOn w:val="Normal"/>
    <w:next w:val="Normal"/>
    <w:link w:val="IntenseQuoteChar"/>
    <w:uiPriority w:val="30"/>
    <w:qFormat/>
    <w:rsid w:val="00315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91"/>
    <w:rPr>
      <w:i/>
      <w:iCs/>
      <w:color w:val="0F4761" w:themeColor="accent1" w:themeShade="BF"/>
    </w:rPr>
  </w:style>
  <w:style w:type="character" w:styleId="IntenseReference">
    <w:name w:val="Intense Reference"/>
    <w:basedOn w:val="DefaultParagraphFont"/>
    <w:uiPriority w:val="32"/>
    <w:qFormat/>
    <w:rsid w:val="00315E91"/>
    <w:rPr>
      <w:b/>
      <w:bCs/>
      <w:smallCaps/>
      <w:color w:val="0F4761" w:themeColor="accent1" w:themeShade="BF"/>
      <w:spacing w:val="5"/>
    </w:rPr>
  </w:style>
  <w:style w:type="paragraph" w:styleId="FootnoteText">
    <w:name w:val="footnote text"/>
    <w:basedOn w:val="Normal"/>
    <w:link w:val="FootnoteTextChar"/>
    <w:uiPriority w:val="99"/>
    <w:semiHidden/>
    <w:unhideWhenUsed/>
    <w:rsid w:val="002678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78E3"/>
    <w:rPr>
      <w:sz w:val="20"/>
      <w:szCs w:val="20"/>
    </w:rPr>
  </w:style>
  <w:style w:type="character" w:styleId="FootnoteReference">
    <w:name w:val="footnote reference"/>
    <w:basedOn w:val="DefaultParagraphFont"/>
    <w:uiPriority w:val="99"/>
    <w:semiHidden/>
    <w:unhideWhenUsed/>
    <w:rsid w:val="002678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84EFD-1E0A-4EEE-AF95-EAC0D15E0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2487</Words>
  <Characters>14180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KPI STUDENT PC 2</dc:creator>
  <cp:keywords/>
  <dc:description/>
  <cp:lastModifiedBy>KPI STUDENT PC 2</cp:lastModifiedBy>
  <cp:revision>5</cp:revision>
  <dcterms:created xsi:type="dcterms:W3CDTF">2026-06-03T02:55:00Z</dcterms:created>
  <dcterms:modified xsi:type="dcterms:W3CDTF">2026-06-14T21:35:00Z</dcterms:modified>
</cp:coreProperties>
</file>