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1F9D" w14:textId="1A83C925" w:rsidR="007F7A62" w:rsidRPr="00EB7F77" w:rsidRDefault="00747245" w:rsidP="00DF2177">
      <w:pPr>
        <w:pStyle w:val="Titel"/>
      </w:pPr>
      <w:r>
        <w:t>Load-Transiente der LDOs</w:t>
      </w:r>
    </w:p>
    <w:p w14:paraId="17EB9B2F" w14:textId="77777777" w:rsidR="00484F55" w:rsidRPr="00EB7F77" w:rsidRDefault="00484F55">
      <w:r w:rsidRPr="00EB7F77">
        <w:t>Zugehörige Daten aus den Datenblatten:</w:t>
      </w:r>
      <w:bookmarkStart w:id="0" w:name="_GoBack"/>
      <w:bookmarkEnd w:id="0"/>
    </w:p>
    <w:p w14:paraId="44AD290C" w14:textId="20349DE0" w:rsidR="00484F55" w:rsidRPr="00EB7F77" w:rsidRDefault="00484F55">
      <w:r w:rsidRPr="00EB7F77">
        <w:t>LDL112</w:t>
      </w:r>
      <w:sdt>
        <w:sdtPr>
          <w:id w:val="-1669398092"/>
          <w:citation/>
        </w:sdtPr>
        <w:sdtContent>
          <w:r w:rsidR="00D62B94">
            <w:fldChar w:fldCharType="begin"/>
          </w:r>
          <w:r w:rsidR="00D62B94">
            <w:rPr>
              <w:lang w:val="en-GB"/>
            </w:rPr>
            <w:instrText xml:space="preserve"> CITATION LDL112 \l 2057 </w:instrText>
          </w:r>
          <w:r w:rsidR="00D62B94">
            <w:fldChar w:fldCharType="separate"/>
          </w:r>
          <w:r w:rsidR="00D62B94">
            <w:rPr>
              <w:noProof/>
              <w:lang w:val="en-GB"/>
            </w:rPr>
            <w:t xml:space="preserve"> (1)</w:t>
          </w:r>
          <w:r w:rsidR="00D62B94">
            <w:fldChar w:fldCharType="end"/>
          </w:r>
        </w:sdtContent>
      </w:sdt>
    </w:p>
    <w:p w14:paraId="420C9C6F" w14:textId="3CB757A7" w:rsidR="00484F55" w:rsidRPr="00EB7F77" w:rsidRDefault="00484F55" w:rsidP="00484F55">
      <w:pPr>
        <w:tabs>
          <w:tab w:val="left" w:pos="1560"/>
          <w:tab w:val="left" w:pos="1843"/>
        </w:tabs>
        <w:ind w:left="705"/>
      </w:pPr>
      <w:bookmarkStart w:id="1" w:name="LDL112_electrical_characterisctics"/>
      <w:r w:rsidRPr="00EB7F77">
        <w:t xml:space="preserve">Seite 7 </w:t>
      </w:r>
      <w:r w:rsidRPr="00EB7F77">
        <w:tab/>
        <w:t xml:space="preserve">- </w:t>
      </w:r>
      <w:r w:rsidRPr="00EB7F77">
        <w:tab/>
        <w:t xml:space="preserve">Table 4: LDL112 </w:t>
      </w:r>
      <w:proofErr w:type="spellStart"/>
      <w:r w:rsidRPr="00EB7F77">
        <w:t>electrical</w:t>
      </w:r>
      <w:proofErr w:type="spellEnd"/>
      <w:r w:rsidRPr="00EB7F77">
        <w:t xml:space="preserve"> </w:t>
      </w:r>
      <w:proofErr w:type="spellStart"/>
      <w:r w:rsidRPr="00EB7F77">
        <w:t>characteristics</w:t>
      </w:r>
      <w:proofErr w:type="spellEnd"/>
      <w:r w:rsidRPr="00EB7F77">
        <w:t xml:space="preserve"> (</w:t>
      </w:r>
      <w:proofErr w:type="spellStart"/>
      <w:r w:rsidRPr="00EB7F77">
        <w:t>fixed</w:t>
      </w:r>
      <w:proofErr w:type="spellEnd"/>
      <w:r w:rsidRPr="00EB7F77">
        <w:t xml:space="preserve"> </w:t>
      </w:r>
      <w:proofErr w:type="spellStart"/>
      <w:r w:rsidRPr="00EB7F77">
        <w:t>version</w:t>
      </w:r>
      <w:proofErr w:type="spellEnd"/>
      <w:r w:rsidR="006F0540">
        <w:t>)</w:t>
      </w:r>
      <w:bookmarkEnd w:id="1"/>
      <w:r w:rsidRPr="00EB7F77">
        <w:br/>
      </w:r>
      <w:bookmarkStart w:id="2" w:name="LDL112_stability_plan"/>
      <w:r w:rsidRPr="00EB7F77">
        <w:t xml:space="preserve">Seite 13 </w:t>
      </w:r>
      <w:r w:rsidRPr="00EB7F77">
        <w:tab/>
        <w:t xml:space="preserve">- </w:t>
      </w:r>
      <w:r w:rsidRPr="00EB7F77">
        <w:tab/>
        <w:t xml:space="preserve">Figure 22: </w:t>
      </w:r>
      <w:proofErr w:type="spellStart"/>
      <w:r w:rsidRPr="00EB7F77">
        <w:t>Stability</w:t>
      </w:r>
      <w:proofErr w:type="spellEnd"/>
      <w:r w:rsidRPr="00EB7F77">
        <w:t xml:space="preserve"> plan </w:t>
      </w:r>
      <w:proofErr w:type="spellStart"/>
      <w:r w:rsidRPr="00EB7F77">
        <w:t>vs</w:t>
      </w:r>
      <w:proofErr w:type="spellEnd"/>
      <w:r w:rsidRPr="00EB7F77">
        <w:t xml:space="preserve"> </w:t>
      </w:r>
      <w:proofErr w:type="spellStart"/>
      <w:r w:rsidRPr="00EB7F77">
        <w:t>Cout</w:t>
      </w:r>
      <w:proofErr w:type="spellEnd"/>
      <w:r w:rsidRPr="00EB7F77">
        <w:t>, ESR</w:t>
      </w:r>
      <w:bookmarkEnd w:id="2"/>
      <w:r w:rsidRPr="00EB7F77">
        <w:br/>
      </w:r>
      <w:bookmarkStart w:id="3" w:name="LDL112_load_transient"/>
      <w:r w:rsidRPr="00EB7F77">
        <w:t xml:space="preserve">Seite 14 </w:t>
      </w:r>
      <w:r w:rsidRPr="00EB7F77">
        <w:tab/>
        <w:t xml:space="preserve">- </w:t>
      </w:r>
      <w:r w:rsidRPr="00EB7F77">
        <w:tab/>
        <w:t>Figure 24: Load transient</w:t>
      </w:r>
      <w:bookmarkEnd w:id="3"/>
    </w:p>
    <w:p w14:paraId="78DA1773" w14:textId="69C128C4" w:rsidR="00DA08D3" w:rsidRPr="00EB7F77" w:rsidRDefault="00DA08D3" w:rsidP="00DA08D3">
      <w:pPr>
        <w:tabs>
          <w:tab w:val="left" w:pos="1560"/>
          <w:tab w:val="left" w:pos="1843"/>
        </w:tabs>
      </w:pPr>
      <w:r w:rsidRPr="00EB7F77">
        <w:t>TPS735</w:t>
      </w:r>
      <w:sdt>
        <w:sdtPr>
          <w:id w:val="-1915696081"/>
          <w:citation/>
        </w:sdtPr>
        <w:sdtContent>
          <w:r w:rsidR="00703724">
            <w:fldChar w:fldCharType="begin"/>
          </w:r>
          <w:r w:rsidR="00703724">
            <w:rPr>
              <w:lang w:val="en-GB"/>
            </w:rPr>
            <w:instrText xml:space="preserve"> CITATION TPS735 \l 2057 </w:instrText>
          </w:r>
          <w:r w:rsidR="00703724">
            <w:fldChar w:fldCharType="separate"/>
          </w:r>
          <w:r w:rsidR="00703724">
            <w:rPr>
              <w:noProof/>
              <w:lang w:val="en-GB"/>
            </w:rPr>
            <w:t xml:space="preserve"> (2)</w:t>
          </w:r>
          <w:r w:rsidR="00703724">
            <w:fldChar w:fldCharType="end"/>
          </w:r>
        </w:sdtContent>
      </w:sdt>
    </w:p>
    <w:p w14:paraId="61C2A1C5" w14:textId="6B970502" w:rsidR="00DA08D3" w:rsidRPr="00EB7F77" w:rsidRDefault="00DA08D3" w:rsidP="00DA08D3">
      <w:pPr>
        <w:tabs>
          <w:tab w:val="left" w:pos="1560"/>
          <w:tab w:val="left" w:pos="1843"/>
        </w:tabs>
        <w:ind w:left="709"/>
      </w:pPr>
      <w:bookmarkStart w:id="4" w:name="TPS735_pin_functions"/>
      <w:r w:rsidRPr="00EB7F77">
        <w:t>Seite 4</w:t>
      </w:r>
      <w:r w:rsidRPr="00EB7F77">
        <w:tab/>
        <w:t>-</w:t>
      </w:r>
      <w:r w:rsidRPr="00EB7F77">
        <w:tab/>
        <w:t xml:space="preserve">Pin </w:t>
      </w:r>
      <w:proofErr w:type="spellStart"/>
      <w:r w:rsidRPr="00EB7F77">
        <w:t>Functions</w:t>
      </w:r>
      <w:bookmarkEnd w:id="4"/>
      <w:proofErr w:type="spellEnd"/>
      <w:r w:rsidRPr="00EB7F77">
        <w:br/>
        <w:t>Seite 15</w:t>
      </w:r>
      <w:r w:rsidRPr="00EB7F77">
        <w:tab/>
        <w:t>-</w:t>
      </w:r>
      <w:r w:rsidRPr="00EB7F77">
        <w:tab/>
        <w:t>Figure 20: TPS735 Load Transient Response</w:t>
      </w:r>
    </w:p>
    <w:p w14:paraId="02C4DA50" w14:textId="72F9205D" w:rsidR="00DA08D3" w:rsidRPr="00EB7F77" w:rsidRDefault="00DA08D3" w:rsidP="00DA08D3">
      <w:pPr>
        <w:tabs>
          <w:tab w:val="left" w:pos="1560"/>
          <w:tab w:val="left" w:pos="1843"/>
        </w:tabs>
      </w:pPr>
      <w:r w:rsidRPr="00EB7F77">
        <w:t>Die</w:t>
      </w:r>
      <w:r w:rsidR="00647586" w:rsidRPr="00EB7F77">
        <w:t xml:space="preserve"> gewählte</w:t>
      </w:r>
      <w:r w:rsidRPr="00EB7F77">
        <w:t xml:space="preserve"> Kapazität der Ausgangskondensator für den TPS735 Linearregler </w:t>
      </w:r>
      <w:r w:rsidR="00647586" w:rsidRPr="00EB7F77">
        <w:t>ist 2.2uF. Die Bauteile in seinem Schaltkreis verursachen keine</w:t>
      </w:r>
      <w:r w:rsidR="004633E2">
        <w:t>n</w:t>
      </w:r>
      <w:r w:rsidR="00647586" w:rsidRPr="00EB7F77">
        <w:t xml:space="preserve"> große</w:t>
      </w:r>
      <w:r w:rsidR="004633E2">
        <w:t>n</w:t>
      </w:r>
      <w:r w:rsidR="00647586" w:rsidRPr="00EB7F77">
        <w:t xml:space="preserve"> Änderungen der Belastung, deshalb die empfohlene Kapazität wurde genommen.</w:t>
      </w:r>
    </w:p>
    <w:p w14:paraId="54F7D713" w14:textId="77777777" w:rsidR="00647586" w:rsidRPr="00EB7F77" w:rsidRDefault="00647586" w:rsidP="00DA08D3">
      <w:pPr>
        <w:tabs>
          <w:tab w:val="left" w:pos="1560"/>
          <w:tab w:val="left" w:pos="1843"/>
        </w:tabs>
      </w:pPr>
    </w:p>
    <w:p w14:paraId="4302CD98" w14:textId="038207C0" w:rsidR="00647586" w:rsidRPr="00EB7F77" w:rsidRDefault="00647586" w:rsidP="00DA08D3">
      <w:pPr>
        <w:tabs>
          <w:tab w:val="left" w:pos="1560"/>
          <w:tab w:val="left" w:pos="1843"/>
        </w:tabs>
      </w:pPr>
      <w:r w:rsidRPr="00EB7F77">
        <w:t xml:space="preserve">Die gewählte Kapazität der Ausgangskondensator für den LDL112 Linearregler ist 10uF. Da wir in diesem Stromkreis größere Schwankungen der Belastung annehmen müssen, eine größere Ausgangskondensator ist zu überlegen. Die </w:t>
      </w:r>
      <w:r w:rsidR="00744EFF" w:rsidRPr="00EB7F77">
        <w:t>Last-</w:t>
      </w:r>
      <w:proofErr w:type="spellStart"/>
      <w:r w:rsidR="00744EFF" w:rsidRPr="00EB7F77">
        <w:t>Enschwingverhalten</w:t>
      </w:r>
      <w:proofErr w:type="spellEnd"/>
      <w:r w:rsidR="00744EFF" w:rsidRPr="00EB7F77">
        <w:t xml:space="preserve"> des TPS735 lässt mir annehmen, dass die </w:t>
      </w:r>
      <w:r w:rsidR="004633E2">
        <w:t>E</w:t>
      </w:r>
      <w:r w:rsidR="00744EFF" w:rsidRPr="00EB7F77">
        <w:t>rhöhung der Kapazität ganz bis 470uF das Senken der Amplitude der Spannungsantwort verursacht.</w:t>
      </w:r>
      <w:r w:rsidRPr="00EB7F77">
        <w:t xml:space="preserve"> Anhand der Figur des Stabilitätsplanes</w:t>
      </w:r>
      <w:r w:rsidR="00744EFF" w:rsidRPr="00EB7F77">
        <w:t xml:space="preserve"> des LDL112 darf </w:t>
      </w:r>
      <w:r w:rsidR="00155105" w:rsidRPr="00EB7F77">
        <w:t xml:space="preserve">aber </w:t>
      </w:r>
      <w:r w:rsidR="00744EFF" w:rsidRPr="00EB7F77">
        <w:t xml:space="preserve">die Ausgangskapazität 22uF nicht überschreiten. </w:t>
      </w:r>
    </w:p>
    <w:p w14:paraId="5D961AF5" w14:textId="1A6D5619" w:rsidR="00744EFF" w:rsidRDefault="00744EFF" w:rsidP="00DA08D3">
      <w:pPr>
        <w:tabs>
          <w:tab w:val="left" w:pos="1560"/>
          <w:tab w:val="left" w:pos="1843"/>
        </w:tabs>
      </w:pPr>
      <w:r w:rsidRPr="00EB7F77">
        <w:t>Wenn alle sich an dem Netz bef</w:t>
      </w:r>
      <w:r w:rsidR="004633E2">
        <w:t>u</w:t>
      </w:r>
      <w:r w:rsidRPr="00EB7F77">
        <w:t>ndene Kondensatoren zwischen +3V3 und GND in der Ausgangskapazität eingerechnet w</w:t>
      </w:r>
      <w:r w:rsidR="00155105" w:rsidRPr="00EB7F77">
        <w:t>e</w:t>
      </w:r>
      <w:r w:rsidRPr="00EB7F77">
        <w:t xml:space="preserve">rden muss, dann </w:t>
      </w:r>
      <w:r w:rsidR="00EC1410" w:rsidRPr="00EB7F77">
        <w:t>muss d</w:t>
      </w:r>
      <w:r w:rsidR="00B92516" w:rsidRPr="00EB7F77">
        <w:t>er Kondensator b</w:t>
      </w:r>
      <w:r w:rsidR="007D0086" w:rsidRPr="00EB7F77">
        <w:t>ei dem Motortreiber</w:t>
      </w:r>
      <w:r w:rsidR="00EB7F77">
        <w:t xml:space="preserve"> zu de</w:t>
      </w:r>
      <w:r w:rsidR="005D1AE7">
        <w:t xml:space="preserve">r Ausgangskapazität </w:t>
      </w:r>
      <w:r w:rsidR="000F6721">
        <w:t xml:space="preserve">addiert werden. Deshalb darf wird </w:t>
      </w:r>
      <w:proofErr w:type="spellStart"/>
      <w:r w:rsidR="00317D46">
        <w:t>Cout</w:t>
      </w:r>
      <w:proofErr w:type="spellEnd"/>
      <w:r w:rsidR="00317D46">
        <w:t>=10uF gewählt.</w:t>
      </w:r>
    </w:p>
    <w:p w14:paraId="48A6A17F" w14:textId="1655A790" w:rsidR="009545C9" w:rsidRDefault="00317D46" w:rsidP="00DA08D3">
      <w:pPr>
        <w:tabs>
          <w:tab w:val="left" w:pos="1560"/>
          <w:tab w:val="left" w:pos="1843"/>
        </w:tabs>
      </w:pPr>
      <w:r>
        <w:t>Angenommen, das</w:t>
      </w:r>
      <w:r w:rsidR="009545C9">
        <w:t>s</w:t>
      </w:r>
    </w:p>
    <w:p w14:paraId="6F23997A" w14:textId="6A9712EE" w:rsidR="009545C9" w:rsidRDefault="00E9153E" w:rsidP="009545C9">
      <w:pPr>
        <w:pStyle w:val="Listenabsatz"/>
        <w:numPr>
          <w:ilvl w:val="0"/>
          <w:numId w:val="2"/>
        </w:numPr>
        <w:tabs>
          <w:tab w:val="left" w:pos="1560"/>
          <w:tab w:val="left" w:pos="1843"/>
        </w:tabs>
      </w:pPr>
      <w:r>
        <w:t>die Figure über dem Last-</w:t>
      </w:r>
      <w:proofErr w:type="spellStart"/>
      <w:r>
        <w:t>Enschwingverhalten</w:t>
      </w:r>
      <w:proofErr w:type="spellEnd"/>
      <w:r>
        <w:t xml:space="preserve"> mit </w:t>
      </w:r>
      <w:proofErr w:type="spellStart"/>
      <w:r>
        <w:t>Cout</w:t>
      </w:r>
      <w:proofErr w:type="spellEnd"/>
      <w:r>
        <w:t xml:space="preserve">=1uF </w:t>
      </w:r>
      <w:r w:rsidR="006A4749">
        <w:t>berechnet wurde (wie bei den anderen Figuren und alle</w:t>
      </w:r>
      <w:r w:rsidR="00B119D0">
        <w:t>n</w:t>
      </w:r>
      <w:r w:rsidR="006A4749">
        <w:t xml:space="preserve"> andere</w:t>
      </w:r>
      <w:r w:rsidR="00B119D0">
        <w:t>n</w:t>
      </w:r>
      <w:r w:rsidR="006A4749">
        <w:t xml:space="preserve"> Stellen im Datenblatt)</w:t>
      </w:r>
      <w:r w:rsidR="00FD17F0">
        <w:t xml:space="preserve">, </w:t>
      </w:r>
    </w:p>
    <w:p w14:paraId="16CF8B82" w14:textId="47CD2BED" w:rsidR="00A63FAB" w:rsidRDefault="00FD17F0" w:rsidP="009545C9">
      <w:pPr>
        <w:pStyle w:val="Listenabsatz"/>
        <w:numPr>
          <w:ilvl w:val="0"/>
          <w:numId w:val="2"/>
        </w:numPr>
        <w:tabs>
          <w:tab w:val="left" w:pos="1560"/>
          <w:tab w:val="left" w:pos="1843"/>
        </w:tabs>
      </w:pPr>
      <w:r>
        <w:t>d</w:t>
      </w:r>
      <w:r w:rsidR="00CC320E">
        <w:t>er</w:t>
      </w:r>
      <w:r>
        <w:t xml:space="preserve"> Ausgangskondensator</w:t>
      </w:r>
      <w:r w:rsidR="001723EE" w:rsidRPr="001723EE">
        <w:t xml:space="preserve"> </w:t>
      </w:r>
      <w:r w:rsidR="001723EE">
        <w:t>auf die Transiente</w:t>
      </w:r>
      <w:r>
        <w:t xml:space="preserve"> bei dem LDL112</w:t>
      </w:r>
      <w:r w:rsidR="00CC320E">
        <w:t xml:space="preserve"> ungefähr d</w:t>
      </w:r>
      <w:r w:rsidR="00E24AB8">
        <w:t>er</w:t>
      </w:r>
      <w:r w:rsidR="00CC320E">
        <w:t xml:space="preserve">selbe Einfluss </w:t>
      </w:r>
      <w:r w:rsidR="00286F97">
        <w:t>wie bei dem TPS735 hat</w:t>
      </w:r>
      <w:r w:rsidR="0051161A">
        <w:t xml:space="preserve"> (10x höher Kapazität die Amplitude der </w:t>
      </w:r>
      <w:r w:rsidR="000E0C6E">
        <w:t>Transiente halbiert)</w:t>
      </w:r>
      <w:r w:rsidR="00286F97">
        <w:t xml:space="preserve">, </w:t>
      </w:r>
    </w:p>
    <w:p w14:paraId="251AFE5D" w14:textId="4B1B96D7" w:rsidR="00A63FAB" w:rsidRDefault="00C95B10" w:rsidP="009545C9">
      <w:pPr>
        <w:pStyle w:val="Listenabsatz"/>
        <w:numPr>
          <w:ilvl w:val="0"/>
          <w:numId w:val="2"/>
        </w:numPr>
        <w:tabs>
          <w:tab w:val="left" w:pos="1560"/>
          <w:tab w:val="left" w:pos="1843"/>
        </w:tabs>
      </w:pPr>
      <w:r>
        <w:t>die Amplitude der Transiente von der Laststromsprung Linear a</w:t>
      </w:r>
      <w:r w:rsidR="00B119D0">
        <w:t>bhängt,</w:t>
      </w:r>
    </w:p>
    <w:p w14:paraId="7CFC2638" w14:textId="6279D1F5" w:rsidR="009257F3" w:rsidRDefault="006202C4" w:rsidP="00A63FAB">
      <w:pPr>
        <w:tabs>
          <w:tab w:val="left" w:pos="1560"/>
          <w:tab w:val="left" w:pos="1843"/>
        </w:tabs>
      </w:pPr>
      <w:r>
        <w:t>werden</w:t>
      </w:r>
      <w:r w:rsidR="00291A4C">
        <w:t xml:space="preserve"> beim Einschalten</w:t>
      </w:r>
      <w:r>
        <w:t xml:space="preserve"> </w:t>
      </w:r>
      <w:r w:rsidR="00291A4C">
        <w:t xml:space="preserve">der IR-LEDS und Motors </w:t>
      </w:r>
      <w:r>
        <w:t>die folgende</w:t>
      </w:r>
      <w:r w:rsidR="00291A4C">
        <w:t>n</w:t>
      </w:r>
      <w:r>
        <w:t xml:space="preserve"> </w:t>
      </w:r>
      <w:proofErr w:type="spellStart"/>
      <w:r>
        <w:t>Transientengrößen</w:t>
      </w:r>
      <w:proofErr w:type="spellEnd"/>
      <w:r>
        <w:t xml:space="preserve"> erwartet:</w:t>
      </w:r>
    </w:p>
    <w:p w14:paraId="46BFD0E8" w14:textId="1768880F" w:rsidR="00317D46" w:rsidRDefault="005875D6" w:rsidP="009257F3">
      <w:pPr>
        <w:pStyle w:val="Listenabsatz"/>
        <w:numPr>
          <w:ilvl w:val="0"/>
          <w:numId w:val="3"/>
        </w:numPr>
        <w:tabs>
          <w:tab w:val="left" w:pos="1560"/>
          <w:tab w:val="left" w:pos="1843"/>
        </w:tabs>
      </w:pPr>
      <w:r>
        <w:t>400mA</w:t>
      </w:r>
      <w:r w:rsidR="003A182C">
        <w:tab/>
      </w:r>
      <w:r w:rsidR="003A182C">
        <w:sym w:font="Wingdings" w:char="F0E0"/>
      </w:r>
      <w:r w:rsidR="003A182C">
        <w:tab/>
        <w:t>~50mV</w:t>
      </w:r>
      <w:r w:rsidR="00E31290">
        <w:tab/>
        <w:t>(max. IR LED Strom</w:t>
      </w:r>
      <w:r w:rsidR="00DE2661">
        <w:t xml:space="preserve">, max. </w:t>
      </w:r>
      <w:r w:rsidR="00ED2DFC">
        <w:t>Strom eines Motors</w:t>
      </w:r>
      <w:r w:rsidR="00DE2661">
        <w:t>)</w:t>
      </w:r>
    </w:p>
    <w:p w14:paraId="655B2E1B" w14:textId="3C49F9AB" w:rsidR="003A182C" w:rsidRDefault="00DE2661" w:rsidP="009257F3">
      <w:pPr>
        <w:pStyle w:val="Listenabsatz"/>
        <w:numPr>
          <w:ilvl w:val="0"/>
          <w:numId w:val="3"/>
        </w:numPr>
        <w:tabs>
          <w:tab w:val="left" w:pos="1560"/>
          <w:tab w:val="left" w:pos="1843"/>
        </w:tabs>
      </w:pPr>
      <w:r>
        <w:t>800mA</w:t>
      </w:r>
      <w:r w:rsidR="00ED2DFC">
        <w:tab/>
      </w:r>
      <w:r w:rsidR="00ED2DFC">
        <w:sym w:font="Wingdings" w:char="F0E0"/>
      </w:r>
      <w:r w:rsidR="00ED2DFC">
        <w:tab/>
        <w:t>~100mV</w:t>
      </w:r>
      <w:r w:rsidR="00ED2DFC">
        <w:tab/>
        <w:t>(max. Strom</w:t>
      </w:r>
      <w:r w:rsidR="004711DD">
        <w:t xml:space="preserve"> beides Motors)</w:t>
      </w:r>
    </w:p>
    <w:p w14:paraId="7CFBD88E" w14:textId="7802BC92" w:rsidR="0069302C" w:rsidRDefault="0069302C" w:rsidP="009257F3">
      <w:pPr>
        <w:pStyle w:val="Listenabsatz"/>
        <w:numPr>
          <w:ilvl w:val="0"/>
          <w:numId w:val="3"/>
        </w:numPr>
        <w:tabs>
          <w:tab w:val="left" w:pos="1560"/>
          <w:tab w:val="left" w:pos="1843"/>
        </w:tabs>
      </w:pPr>
      <w:r>
        <w:t>1200mA</w:t>
      </w:r>
      <w:r>
        <w:tab/>
      </w:r>
      <w:r>
        <w:sym w:font="Wingdings" w:char="F0E0"/>
      </w:r>
      <w:r>
        <w:tab/>
        <w:t>~200mV</w:t>
      </w:r>
      <w:r w:rsidR="00124253">
        <w:tab/>
        <w:t>(alles gleichzeitig eingeschaltet)</w:t>
      </w:r>
    </w:p>
    <w:p w14:paraId="0BEA952E" w14:textId="77777777" w:rsidR="00D435FE" w:rsidRPr="00EB7F77" w:rsidRDefault="00DE2198" w:rsidP="00DE2198">
      <w:pPr>
        <w:tabs>
          <w:tab w:val="left" w:pos="1560"/>
          <w:tab w:val="left" w:pos="1843"/>
        </w:tabs>
      </w:pPr>
      <w:r>
        <w:t>Es wäre nützlich</w:t>
      </w:r>
      <w:r w:rsidR="0044332F">
        <w:t>, diese Werte auch mit Messungen zu bestimmen und d</w:t>
      </w:r>
      <w:r w:rsidR="00DF2177">
        <w:t>en</w:t>
      </w:r>
      <w:r w:rsidR="007806DE">
        <w:t xml:space="preserve"> </w:t>
      </w:r>
      <w:r w:rsidR="005C7D9E">
        <w:t>mögliche</w:t>
      </w:r>
      <w:r w:rsidR="00DF2177">
        <w:t>n</w:t>
      </w:r>
      <w:r w:rsidR="005C7D9E">
        <w:t xml:space="preserve"> Einfluss </w:t>
      </w:r>
      <w:r w:rsidR="00942CE0">
        <w:t xml:space="preserve">der </w:t>
      </w:r>
      <w:r w:rsidR="004D74FF">
        <w:t>Spannungsschwankungen auf die Kalibrierung der IR LED</w:t>
      </w:r>
      <w:r w:rsidR="00533D92">
        <w:t>s und Motors zu untersuchen.</w:t>
      </w:r>
    </w:p>
    <w:sdt>
      <w:sdtPr>
        <w:id w:val="-11562989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169BE35" w14:textId="5E618078" w:rsidR="00D435FE" w:rsidRDefault="00D435FE">
          <w:pPr>
            <w:pStyle w:val="berschrift1"/>
          </w:pPr>
          <w:r>
            <w:t>Verweise</w:t>
          </w:r>
        </w:p>
        <w:sdt>
          <w:sdtPr>
            <w:id w:val="-573587230"/>
            <w:bibliography/>
          </w:sdtPr>
          <w:sdtContent>
            <w:p w14:paraId="71881035" w14:textId="77777777" w:rsidR="00137CA3" w:rsidRDefault="00D435FE" w:rsidP="00137CA3">
              <w:pPr>
                <w:pStyle w:val="Literaturverzeichnis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37CA3">
                <w:rPr>
                  <w:noProof/>
                </w:rPr>
                <w:t xml:space="preserve">1. </w:t>
              </w:r>
              <w:r w:rsidR="00137CA3">
                <w:rPr>
                  <w:b/>
                  <w:bCs/>
                  <w:noProof/>
                </w:rPr>
                <w:t>ST Microelectronics.</w:t>
              </w:r>
              <w:r w:rsidR="00137CA3">
                <w:rPr>
                  <w:noProof/>
                </w:rPr>
                <w:t xml:space="preserve"> LDL112 Datasheet. [Online] https://www.st.com/resource/en/datasheet/ldl112.pdf.</w:t>
              </w:r>
            </w:p>
            <w:p w14:paraId="0BE2AB35" w14:textId="77777777" w:rsidR="00137CA3" w:rsidRDefault="00137CA3" w:rsidP="00137CA3">
              <w:pPr>
                <w:pStyle w:val="Literaturverzeichnis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2. </w:t>
              </w:r>
              <w:r>
                <w:rPr>
                  <w:b/>
                  <w:bCs/>
                  <w:noProof/>
                </w:rPr>
                <w:t>Texas Instruments.</w:t>
              </w:r>
              <w:r>
                <w:rPr>
                  <w:noProof/>
                </w:rPr>
                <w:t xml:space="preserve"> TPS735 Datasheet. [Online] https://www.ti.com/lit/ds/symlink/tps735.pdf.</w:t>
              </w:r>
            </w:p>
            <w:p w14:paraId="10B2CF73" w14:textId="216943FA" w:rsidR="00D435FE" w:rsidRDefault="00D435FE" w:rsidP="00137C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091CFC" w14:textId="24592B9B" w:rsidR="00DE2198" w:rsidRPr="00EB7F77" w:rsidRDefault="00DE2198" w:rsidP="00DE2198">
      <w:pPr>
        <w:tabs>
          <w:tab w:val="left" w:pos="1560"/>
          <w:tab w:val="left" w:pos="1843"/>
        </w:tabs>
      </w:pPr>
    </w:p>
    <w:sectPr w:rsidR="00DE2198" w:rsidRPr="00EB7F77" w:rsidSect="0035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65286" w14:textId="77777777" w:rsidR="00D435FE" w:rsidRDefault="00D435FE" w:rsidP="00D435FE">
      <w:pPr>
        <w:spacing w:after="0" w:line="240" w:lineRule="auto"/>
      </w:pPr>
      <w:r>
        <w:separator/>
      </w:r>
    </w:p>
  </w:endnote>
  <w:endnote w:type="continuationSeparator" w:id="0">
    <w:p w14:paraId="6FF0D24C" w14:textId="77777777" w:rsidR="00D435FE" w:rsidRDefault="00D435FE" w:rsidP="00D4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06CF5" w14:textId="77777777" w:rsidR="00D435FE" w:rsidRDefault="00D435FE" w:rsidP="00D435FE">
      <w:pPr>
        <w:spacing w:after="0" w:line="240" w:lineRule="auto"/>
      </w:pPr>
      <w:r>
        <w:separator/>
      </w:r>
    </w:p>
  </w:footnote>
  <w:footnote w:type="continuationSeparator" w:id="0">
    <w:p w14:paraId="09780E9B" w14:textId="77777777" w:rsidR="00D435FE" w:rsidRDefault="00D435FE" w:rsidP="00D4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6208"/>
    <w:multiLevelType w:val="hybridMultilevel"/>
    <w:tmpl w:val="2CAE6D7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8817864"/>
    <w:multiLevelType w:val="hybridMultilevel"/>
    <w:tmpl w:val="CDE08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241CF"/>
    <w:multiLevelType w:val="hybridMultilevel"/>
    <w:tmpl w:val="B48E26A8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5"/>
    <w:rsid w:val="00035481"/>
    <w:rsid w:val="000E0C6E"/>
    <w:rsid w:val="000F6721"/>
    <w:rsid w:val="00102C45"/>
    <w:rsid w:val="00124253"/>
    <w:rsid w:val="00137CA3"/>
    <w:rsid w:val="00143E51"/>
    <w:rsid w:val="00155105"/>
    <w:rsid w:val="001723EE"/>
    <w:rsid w:val="0022327C"/>
    <w:rsid w:val="00231199"/>
    <w:rsid w:val="00286F97"/>
    <w:rsid w:val="00291A4C"/>
    <w:rsid w:val="002E1C29"/>
    <w:rsid w:val="00317D46"/>
    <w:rsid w:val="00357DED"/>
    <w:rsid w:val="003A182C"/>
    <w:rsid w:val="003D1223"/>
    <w:rsid w:val="003E2A1E"/>
    <w:rsid w:val="003F7623"/>
    <w:rsid w:val="004263EC"/>
    <w:rsid w:val="0044332F"/>
    <w:rsid w:val="004633E2"/>
    <w:rsid w:val="004711DD"/>
    <w:rsid w:val="00484F55"/>
    <w:rsid w:val="004D74FF"/>
    <w:rsid w:val="00504D59"/>
    <w:rsid w:val="0051161A"/>
    <w:rsid w:val="00533D92"/>
    <w:rsid w:val="005875D6"/>
    <w:rsid w:val="005C7D9E"/>
    <w:rsid w:val="005D1AE7"/>
    <w:rsid w:val="006202C4"/>
    <w:rsid w:val="00647586"/>
    <w:rsid w:val="0069302C"/>
    <w:rsid w:val="006A4749"/>
    <w:rsid w:val="006F0540"/>
    <w:rsid w:val="00703724"/>
    <w:rsid w:val="00744EFF"/>
    <w:rsid w:val="00747245"/>
    <w:rsid w:val="007806DE"/>
    <w:rsid w:val="007B6936"/>
    <w:rsid w:val="007D0086"/>
    <w:rsid w:val="007F7A62"/>
    <w:rsid w:val="009257F3"/>
    <w:rsid w:val="00942CE0"/>
    <w:rsid w:val="009529D7"/>
    <w:rsid w:val="009545C9"/>
    <w:rsid w:val="009D0023"/>
    <w:rsid w:val="00A20115"/>
    <w:rsid w:val="00A63FAB"/>
    <w:rsid w:val="00B119D0"/>
    <w:rsid w:val="00B92516"/>
    <w:rsid w:val="00C30F8E"/>
    <w:rsid w:val="00C95B10"/>
    <w:rsid w:val="00CC320E"/>
    <w:rsid w:val="00D435FE"/>
    <w:rsid w:val="00D62B94"/>
    <w:rsid w:val="00D67F69"/>
    <w:rsid w:val="00DA08D3"/>
    <w:rsid w:val="00DE2198"/>
    <w:rsid w:val="00DE2661"/>
    <w:rsid w:val="00DF2177"/>
    <w:rsid w:val="00E24AB8"/>
    <w:rsid w:val="00E31290"/>
    <w:rsid w:val="00E9153E"/>
    <w:rsid w:val="00EB7F77"/>
    <w:rsid w:val="00EC1410"/>
    <w:rsid w:val="00ED2DFC"/>
    <w:rsid w:val="00F42368"/>
    <w:rsid w:val="00FC2D85"/>
    <w:rsid w:val="00F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22AD"/>
  <w15:chartTrackingRefBased/>
  <w15:docId w15:val="{747ECE00-BC55-4D8B-8B6B-11177EF3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4F5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F2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35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35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35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35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35FE"/>
  </w:style>
  <w:style w:type="character" w:styleId="Hyperlink">
    <w:name w:val="Hyperlink"/>
    <w:basedOn w:val="Absatz-Standardschriftart"/>
    <w:uiPriority w:val="99"/>
    <w:unhideWhenUsed/>
    <w:rsid w:val="00D62B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2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>
  <b:Source>
    <b:Tag>LDL112</b:Tag>
    <b:SourceType>DocumentFromInternetSite</b:SourceType>
    <b:Guid>{43DF5056-3925-4318-928F-102864DE57DA}</b:Guid>
    <b:Title>LDL112 Datasheet</b:Title>
    <b:URL>https://www.st.com/resource/en/datasheet/ldl112.pdf</b:URL>
    <b:Author>
      <b:Author>
        <b:Corporate>ST Microelectronics</b:Corporate>
      </b:Author>
    </b:Author>
    <b:RefOrder>1</b:RefOrder>
  </b:Source>
  <b:Source>
    <b:Tag>TPS735</b:Tag>
    <b:SourceType>DocumentFromInternetSite</b:SourceType>
    <b:Guid>{B70FFBEA-5EDD-4A11-A05A-DBF0BAE4F75F}</b:Guid>
    <b:Author>
      <b:Author>
        <b:Corporate>Texas Instruments</b:Corporate>
      </b:Author>
    </b:Author>
    <b:Title>TPS735 Datasheet</b:Title>
    <b:URL>https://www.ti.com/lit/ds/symlink/tps735.pdf</b:URL>
    <b:RefOrder>2</b:RefOrder>
  </b:Source>
</b:Sources>
</file>

<file path=customXml/itemProps1.xml><?xml version="1.0" encoding="utf-8"?>
<ds:datastoreItem xmlns:ds="http://schemas.openxmlformats.org/officeDocument/2006/customXml" ds:itemID="{1D10F78D-5DBB-4A3E-9930-42F87CAE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Rési Zoltán</dc:creator>
  <cp:keywords/>
  <dc:description/>
  <cp:lastModifiedBy>Rési Zoltán</cp:lastModifiedBy>
  <cp:revision>66</cp:revision>
  <dcterms:created xsi:type="dcterms:W3CDTF">2019-02-22T17:42:00Z</dcterms:created>
  <dcterms:modified xsi:type="dcterms:W3CDTF">2019-02-23T12:15:00Z</dcterms:modified>
</cp:coreProperties>
</file>