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F78650E" w:rsidR="00DF5B3C" w:rsidRPr="00987724" w:rsidRDefault="00726623" w:rsidP="00BD5043">
            <w:pPr>
              <w:jc w:val="both"/>
              <w:rPr>
                <w:rFonts w:cstheme="minorHAnsi"/>
              </w:rPr>
            </w:pPr>
            <w:r w:rsidRPr="00C80A91">
              <w:rPr>
                <w:rFonts w:cstheme="minorHAnsi"/>
              </w:rPr>
              <w:t>1</w:t>
            </w:r>
            <w:r w:rsidR="00C80A91" w:rsidRPr="00C80A91">
              <w:rPr>
                <w:rFonts w:cstheme="minorHAnsi"/>
              </w:rPr>
              <w:t>5</w:t>
            </w:r>
            <w:r w:rsidR="00780AB8">
              <w:rPr>
                <w:rFonts w:cstheme="minorHAnsi"/>
              </w:rPr>
              <w:t>2</w:t>
            </w:r>
            <w:r w:rsidR="00D24F38">
              <w:rPr>
                <w:rFonts w:cstheme="minorHAnsi"/>
              </w:rPr>
              <w:t xml:space="preserve">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7C731A70" w:rsidR="00011AAA" w:rsidRPr="00987724" w:rsidRDefault="00C80A91"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280A2F68"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2D9199E4"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3E5492A" w:rsidR="00011AAA" w:rsidRPr="00987724" w:rsidRDefault="00BF0306" w:rsidP="00011AAA">
            <w:pPr>
              <w:jc w:val="both"/>
              <w:rPr>
                <w:rFonts w:cstheme="minorHAnsi"/>
              </w:rPr>
            </w:pPr>
            <w:r>
              <w:rPr>
                <w:rFonts w:cstheme="minorHAnsi"/>
              </w:rPr>
              <w:t>30</w:t>
            </w:r>
            <w:r w:rsidR="00011AAA" w:rsidRPr="0024004A">
              <w:rPr>
                <w:rFonts w:cstheme="minorHAnsi"/>
              </w:rPr>
              <w:t>0</w:t>
            </w:r>
          </w:p>
        </w:tc>
        <w:tc>
          <w:tcPr>
            <w:tcW w:w="2268" w:type="dxa"/>
            <w:tcBorders>
              <w:top w:val="nil"/>
              <w:bottom w:val="nil"/>
            </w:tcBorders>
            <w:shd w:val="clear" w:color="auto" w:fill="FFFFFF" w:themeFill="background1"/>
          </w:tcPr>
          <w:p w14:paraId="6FE86625" w14:textId="445A5F2B" w:rsidR="00011AAA" w:rsidRPr="00BF0306" w:rsidRDefault="00391087" w:rsidP="00011AAA">
            <w:pPr>
              <w:jc w:val="both"/>
              <w:rPr>
                <w:rFonts w:cstheme="minorHAnsi"/>
              </w:rPr>
            </w:pPr>
            <w:r w:rsidRPr="00BF0306">
              <w:rPr>
                <w:rFonts w:cstheme="minorHAnsi"/>
              </w:rPr>
              <w:t>2</w:t>
            </w:r>
            <w:r w:rsidR="00BF0306" w:rsidRPr="00BF0306">
              <w:rPr>
                <w:rFonts w:cstheme="minorHAnsi"/>
              </w:rPr>
              <w:t>6</w:t>
            </w:r>
            <w:r w:rsidR="000E703C" w:rsidRPr="00BF0306">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74AF15D1" w:rsidR="00011AAA" w:rsidRPr="00987724" w:rsidRDefault="00DC7DF5" w:rsidP="00011AAA">
            <w:pPr>
              <w:jc w:val="both"/>
              <w:rPr>
                <w:rFonts w:cstheme="minorHAnsi"/>
              </w:rPr>
            </w:pPr>
            <w:r>
              <w:rPr>
                <w:rFonts w:cstheme="minorHAnsi"/>
              </w:rPr>
              <w:t>5</w:t>
            </w:r>
            <w:r w:rsidR="0090397D">
              <w:rPr>
                <w:rFonts w:cstheme="minorHAnsi"/>
              </w:rPr>
              <w:t>20</w:t>
            </w:r>
          </w:p>
        </w:tc>
        <w:tc>
          <w:tcPr>
            <w:tcW w:w="1553" w:type="dxa"/>
            <w:tcBorders>
              <w:top w:val="nil"/>
              <w:bottom w:val="nil"/>
            </w:tcBorders>
            <w:shd w:val="clear" w:color="auto" w:fill="FFFFFF" w:themeFill="background1"/>
          </w:tcPr>
          <w:p w14:paraId="6554C862" w14:textId="53BA118B" w:rsidR="00011AAA" w:rsidRPr="00987724" w:rsidRDefault="00336224" w:rsidP="00011AAA">
            <w:pPr>
              <w:jc w:val="both"/>
              <w:rPr>
                <w:rFonts w:cstheme="minorHAnsi"/>
              </w:rPr>
            </w:pPr>
            <w:r>
              <w:rPr>
                <w:rFonts w:cstheme="minorHAnsi"/>
              </w:rPr>
              <w:t>2</w:t>
            </w:r>
            <w:r w:rsidR="00C80A91">
              <w:rPr>
                <w:rFonts w:cstheme="minorHAnsi"/>
              </w:rPr>
              <w:t>4</w:t>
            </w:r>
            <w:r w:rsidR="00AB7DDB">
              <w:rPr>
                <w:rFonts w:cstheme="minorHAnsi"/>
              </w:rPr>
              <w:t>0</w:t>
            </w:r>
          </w:p>
        </w:tc>
        <w:tc>
          <w:tcPr>
            <w:tcW w:w="1960" w:type="dxa"/>
            <w:tcBorders>
              <w:top w:val="nil"/>
              <w:bottom w:val="nil"/>
            </w:tcBorders>
            <w:shd w:val="clear" w:color="auto" w:fill="FFFFFF" w:themeFill="background1"/>
          </w:tcPr>
          <w:p w14:paraId="00985689" w14:textId="23E62841" w:rsidR="00011AAA" w:rsidRPr="00987724" w:rsidRDefault="00DC7DF5" w:rsidP="00011AAA">
            <w:pPr>
              <w:jc w:val="both"/>
              <w:rPr>
                <w:rFonts w:cstheme="minorHAnsi"/>
              </w:rPr>
            </w:pPr>
            <w:r>
              <w:rPr>
                <w:rFonts w:cstheme="minorHAnsi"/>
              </w:rPr>
              <w:t>30</w:t>
            </w:r>
            <w:r w:rsidR="00AB7DDB">
              <w:rPr>
                <w:rFonts w:cstheme="minorHAnsi"/>
              </w:rPr>
              <w:t>0</w:t>
            </w:r>
          </w:p>
        </w:tc>
        <w:tc>
          <w:tcPr>
            <w:tcW w:w="2268" w:type="dxa"/>
            <w:tcBorders>
              <w:top w:val="nil"/>
              <w:bottom w:val="nil"/>
            </w:tcBorders>
            <w:shd w:val="clear" w:color="auto" w:fill="FFFFFF" w:themeFill="background1"/>
          </w:tcPr>
          <w:p w14:paraId="6F3C6DB4" w14:textId="73B46237" w:rsidR="00011AAA" w:rsidRPr="00987724" w:rsidRDefault="00C80A91" w:rsidP="00011AAA">
            <w:pPr>
              <w:jc w:val="both"/>
              <w:rPr>
                <w:rFonts w:cstheme="minorHAnsi"/>
              </w:rPr>
            </w:pPr>
            <w:r>
              <w:rPr>
                <w:rFonts w:cstheme="minorHAnsi"/>
              </w:rPr>
              <w:t>24</w:t>
            </w:r>
            <w:r w:rsidR="00AB7DDB">
              <w:rPr>
                <w:rFonts w:cstheme="minorHAnsi"/>
              </w:rPr>
              <w:t>0</w:t>
            </w:r>
          </w:p>
        </w:tc>
        <w:tc>
          <w:tcPr>
            <w:tcW w:w="1134" w:type="dxa"/>
            <w:tcBorders>
              <w:top w:val="nil"/>
              <w:bottom w:val="nil"/>
            </w:tcBorders>
            <w:shd w:val="clear" w:color="auto" w:fill="FFFFFF" w:themeFill="background1"/>
          </w:tcPr>
          <w:p w14:paraId="7C498B79" w14:textId="3FEB2E22" w:rsidR="00011AAA" w:rsidRPr="00B910E1" w:rsidRDefault="00336224" w:rsidP="00011AAA">
            <w:pPr>
              <w:jc w:val="both"/>
              <w:rPr>
                <w:rFonts w:cstheme="minorHAnsi"/>
              </w:rPr>
            </w:pPr>
            <w:r w:rsidRPr="00B910E1">
              <w:rPr>
                <w:rFonts w:cstheme="minorHAnsi"/>
              </w:rPr>
              <w:t>2</w:t>
            </w:r>
            <w:r w:rsidR="00C80A91" w:rsidRPr="00B910E1">
              <w:rPr>
                <w:rFonts w:cstheme="minorHAnsi"/>
              </w:rPr>
              <w:t>4</w:t>
            </w:r>
            <w:r w:rsidR="00AB7DDB" w:rsidRPr="00B910E1">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6387E576" w:rsidR="00011AAA" w:rsidRPr="007D063C" w:rsidRDefault="007D063C" w:rsidP="00011AAA">
            <w:pPr>
              <w:jc w:val="both"/>
              <w:rPr>
                <w:rFonts w:cstheme="minorHAnsi"/>
              </w:rPr>
            </w:pPr>
            <w:r>
              <w:rPr>
                <w:rFonts w:cstheme="minorHAnsi"/>
              </w:rPr>
              <w:t>15</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336224" w14:paraId="2FD5F6AF" w14:textId="77777777" w:rsidTr="00D764C2">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shd w:val="clear" w:color="auto" w:fill="FFFF00"/>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1C43B04D" w:rsidR="00AB7DDB"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p w14:paraId="6BCF3D08" w14:textId="0300B206" w:rsidR="00507761" w:rsidRPr="002E2639" w:rsidRDefault="00507761" w:rsidP="00987724">
      <w:pPr>
        <w:jc w:val="both"/>
        <w:rPr>
          <w:rFonts w:cstheme="minorHAnsi"/>
        </w:rPr>
      </w:pPr>
      <w:r>
        <w:rPr>
          <w:rFonts w:cstheme="minorHAnsi"/>
        </w:rPr>
        <w:t>[9] debido a retrasos en la semana 6 (21 de Noviembre 2022) por la imposibilidad de</w:t>
      </w:r>
      <w:r w:rsidR="008B600B">
        <w:rPr>
          <w:rFonts w:cstheme="minorHAnsi"/>
        </w:rPr>
        <w:t xml:space="preserve"> realizar pruebas por no poder soldarlo todo y porque el profesor enfermó de gripe, no se pudo hacer lo esperado, solo la parte más teórica que era completar la elaboración de pruebas según eldiseño físico.</w:t>
      </w:r>
    </w:p>
    <w:sectPr w:rsidR="00507761"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8192E"/>
    <w:rsid w:val="00386DDD"/>
    <w:rsid w:val="00391087"/>
    <w:rsid w:val="0039394A"/>
    <w:rsid w:val="003B26A8"/>
    <w:rsid w:val="003B483A"/>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07761"/>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0AB8"/>
    <w:rsid w:val="007819B9"/>
    <w:rsid w:val="0078220C"/>
    <w:rsid w:val="00787872"/>
    <w:rsid w:val="007956C7"/>
    <w:rsid w:val="007A5CB9"/>
    <w:rsid w:val="007B4236"/>
    <w:rsid w:val="007D000C"/>
    <w:rsid w:val="007D063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00B"/>
    <w:rsid w:val="008B6729"/>
    <w:rsid w:val="008C4CBC"/>
    <w:rsid w:val="008D66FC"/>
    <w:rsid w:val="008E0B4A"/>
    <w:rsid w:val="0090397D"/>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910E1"/>
    <w:rsid w:val="00B9637E"/>
    <w:rsid w:val="00BA10F7"/>
    <w:rsid w:val="00BA2B7E"/>
    <w:rsid w:val="00BC0976"/>
    <w:rsid w:val="00BD0C4C"/>
    <w:rsid w:val="00BD5D9D"/>
    <w:rsid w:val="00BE1A64"/>
    <w:rsid w:val="00BF0306"/>
    <w:rsid w:val="00BF5664"/>
    <w:rsid w:val="00BF6027"/>
    <w:rsid w:val="00C0004E"/>
    <w:rsid w:val="00C0025E"/>
    <w:rsid w:val="00C26529"/>
    <w:rsid w:val="00C26B98"/>
    <w:rsid w:val="00C6057C"/>
    <w:rsid w:val="00C7162F"/>
    <w:rsid w:val="00C727D0"/>
    <w:rsid w:val="00C80185"/>
    <w:rsid w:val="00C80A91"/>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764C2"/>
    <w:rsid w:val="00D87E2D"/>
    <w:rsid w:val="00DA1AEC"/>
    <w:rsid w:val="00DA7B59"/>
    <w:rsid w:val="00DC3918"/>
    <w:rsid w:val="00DC7DF5"/>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6</Pages>
  <Words>2107</Words>
  <Characters>11590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303</cp:revision>
  <dcterms:created xsi:type="dcterms:W3CDTF">2022-10-23T09:12:00Z</dcterms:created>
  <dcterms:modified xsi:type="dcterms:W3CDTF">2022-11-24T10:58:00Z</dcterms:modified>
</cp:coreProperties>
</file>