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066796"/>
      <w:r w:rsidRPr="002A0312">
        <w:lastRenderedPageBreak/>
        <w:t>ÍNDICE</w:t>
      </w:r>
      <w:bookmarkEnd w:id="0"/>
    </w:p>
    <w:p w14:paraId="1F80D368" w14:textId="1E357090" w:rsidR="001D4135"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066796" w:history="1">
        <w:r w:rsidR="001D4135" w:rsidRPr="00CD3486">
          <w:rPr>
            <w:rStyle w:val="Hipervnculo"/>
            <w:noProof/>
          </w:rPr>
          <w:t>ÍNDICE</w:t>
        </w:r>
        <w:r w:rsidR="001D4135">
          <w:rPr>
            <w:noProof/>
            <w:webHidden/>
          </w:rPr>
          <w:tab/>
        </w:r>
        <w:r w:rsidR="001D4135">
          <w:rPr>
            <w:noProof/>
            <w:webHidden/>
          </w:rPr>
          <w:fldChar w:fldCharType="begin"/>
        </w:r>
        <w:r w:rsidR="001D4135">
          <w:rPr>
            <w:noProof/>
            <w:webHidden/>
          </w:rPr>
          <w:instrText xml:space="preserve"> PAGEREF _Toc105066796 \h </w:instrText>
        </w:r>
        <w:r w:rsidR="001D4135">
          <w:rPr>
            <w:noProof/>
            <w:webHidden/>
          </w:rPr>
        </w:r>
        <w:r w:rsidR="001D4135">
          <w:rPr>
            <w:noProof/>
            <w:webHidden/>
          </w:rPr>
          <w:fldChar w:fldCharType="separate"/>
        </w:r>
        <w:r w:rsidR="001D4135">
          <w:rPr>
            <w:noProof/>
            <w:webHidden/>
          </w:rPr>
          <w:t>2</w:t>
        </w:r>
        <w:r w:rsidR="001D4135">
          <w:rPr>
            <w:noProof/>
            <w:webHidden/>
          </w:rPr>
          <w:fldChar w:fldCharType="end"/>
        </w:r>
      </w:hyperlink>
    </w:p>
    <w:p w14:paraId="2C3B0ED4" w14:textId="51A0E6FE" w:rsidR="001D4135" w:rsidRDefault="001D4135">
      <w:pPr>
        <w:pStyle w:val="TDC1"/>
        <w:tabs>
          <w:tab w:val="right" w:leader="underscore" w:pos="8494"/>
        </w:tabs>
        <w:rPr>
          <w:rFonts w:asciiTheme="minorHAnsi" w:eastAsiaTheme="minorEastAsia" w:hAnsiTheme="minorHAnsi" w:cstheme="minorBidi"/>
          <w:noProof/>
          <w:szCs w:val="22"/>
          <w:lang w:val="es-ES"/>
        </w:rPr>
      </w:pPr>
      <w:hyperlink w:anchor="_Toc105066797" w:history="1">
        <w:r w:rsidRPr="00CD3486">
          <w:rPr>
            <w:rStyle w:val="Hipervnculo"/>
            <w:noProof/>
          </w:rPr>
          <w:t>ÍNDICE DE FIGURAS</w:t>
        </w:r>
        <w:r>
          <w:rPr>
            <w:noProof/>
            <w:webHidden/>
          </w:rPr>
          <w:tab/>
        </w:r>
        <w:r>
          <w:rPr>
            <w:noProof/>
            <w:webHidden/>
          </w:rPr>
          <w:fldChar w:fldCharType="begin"/>
        </w:r>
        <w:r>
          <w:rPr>
            <w:noProof/>
            <w:webHidden/>
          </w:rPr>
          <w:instrText xml:space="preserve"> PAGEREF _Toc105066797 \h </w:instrText>
        </w:r>
        <w:r>
          <w:rPr>
            <w:noProof/>
            <w:webHidden/>
          </w:rPr>
        </w:r>
        <w:r>
          <w:rPr>
            <w:noProof/>
            <w:webHidden/>
          </w:rPr>
          <w:fldChar w:fldCharType="separate"/>
        </w:r>
        <w:r>
          <w:rPr>
            <w:noProof/>
            <w:webHidden/>
          </w:rPr>
          <w:t>3</w:t>
        </w:r>
        <w:r>
          <w:rPr>
            <w:noProof/>
            <w:webHidden/>
          </w:rPr>
          <w:fldChar w:fldCharType="end"/>
        </w:r>
      </w:hyperlink>
    </w:p>
    <w:p w14:paraId="70B4B0E1" w14:textId="065A9476" w:rsidR="001D4135" w:rsidRDefault="001D4135">
      <w:pPr>
        <w:pStyle w:val="TDC1"/>
        <w:tabs>
          <w:tab w:val="right" w:leader="underscore" w:pos="8494"/>
        </w:tabs>
        <w:rPr>
          <w:rFonts w:asciiTheme="minorHAnsi" w:eastAsiaTheme="minorEastAsia" w:hAnsiTheme="minorHAnsi" w:cstheme="minorBidi"/>
          <w:noProof/>
          <w:szCs w:val="22"/>
          <w:lang w:val="es-ES"/>
        </w:rPr>
      </w:pPr>
      <w:hyperlink w:anchor="_Toc105066798" w:history="1">
        <w:r w:rsidRPr="00CD3486">
          <w:rPr>
            <w:rStyle w:val="Hipervnculo"/>
            <w:noProof/>
          </w:rPr>
          <w:t>ENUNCIADO</w:t>
        </w:r>
        <w:r>
          <w:rPr>
            <w:noProof/>
            <w:webHidden/>
          </w:rPr>
          <w:tab/>
        </w:r>
        <w:r>
          <w:rPr>
            <w:noProof/>
            <w:webHidden/>
          </w:rPr>
          <w:fldChar w:fldCharType="begin"/>
        </w:r>
        <w:r>
          <w:rPr>
            <w:noProof/>
            <w:webHidden/>
          </w:rPr>
          <w:instrText xml:space="preserve"> PAGEREF _Toc105066798 \h </w:instrText>
        </w:r>
        <w:r>
          <w:rPr>
            <w:noProof/>
            <w:webHidden/>
          </w:rPr>
        </w:r>
        <w:r>
          <w:rPr>
            <w:noProof/>
            <w:webHidden/>
          </w:rPr>
          <w:fldChar w:fldCharType="separate"/>
        </w:r>
        <w:r>
          <w:rPr>
            <w:noProof/>
            <w:webHidden/>
          </w:rPr>
          <w:t>4</w:t>
        </w:r>
        <w:r>
          <w:rPr>
            <w:noProof/>
            <w:webHidden/>
          </w:rPr>
          <w:fldChar w:fldCharType="end"/>
        </w:r>
      </w:hyperlink>
    </w:p>
    <w:p w14:paraId="5EF2AE15" w14:textId="1EEBB309" w:rsidR="001D4135" w:rsidRDefault="001D4135">
      <w:pPr>
        <w:pStyle w:val="TDC1"/>
        <w:tabs>
          <w:tab w:val="right" w:leader="underscore" w:pos="8494"/>
        </w:tabs>
        <w:rPr>
          <w:rFonts w:asciiTheme="minorHAnsi" w:eastAsiaTheme="minorEastAsia" w:hAnsiTheme="minorHAnsi" w:cstheme="minorBidi"/>
          <w:noProof/>
          <w:szCs w:val="22"/>
          <w:lang w:val="es-ES"/>
        </w:rPr>
      </w:pPr>
      <w:hyperlink w:anchor="_Toc105066799" w:history="1">
        <w:r w:rsidRPr="00CD3486">
          <w:rPr>
            <w:rStyle w:val="Hipervnculo"/>
            <w:noProof/>
          </w:rPr>
          <w:t>RED PROPUESTA</w:t>
        </w:r>
        <w:r>
          <w:rPr>
            <w:noProof/>
            <w:webHidden/>
          </w:rPr>
          <w:tab/>
        </w:r>
        <w:r>
          <w:rPr>
            <w:noProof/>
            <w:webHidden/>
          </w:rPr>
          <w:fldChar w:fldCharType="begin"/>
        </w:r>
        <w:r>
          <w:rPr>
            <w:noProof/>
            <w:webHidden/>
          </w:rPr>
          <w:instrText xml:space="preserve"> PAGEREF _Toc105066799 \h </w:instrText>
        </w:r>
        <w:r>
          <w:rPr>
            <w:noProof/>
            <w:webHidden/>
          </w:rPr>
        </w:r>
        <w:r>
          <w:rPr>
            <w:noProof/>
            <w:webHidden/>
          </w:rPr>
          <w:fldChar w:fldCharType="separate"/>
        </w:r>
        <w:r>
          <w:rPr>
            <w:noProof/>
            <w:webHidden/>
          </w:rPr>
          <w:t>5</w:t>
        </w:r>
        <w:r>
          <w:rPr>
            <w:noProof/>
            <w:webHidden/>
          </w:rPr>
          <w:fldChar w:fldCharType="end"/>
        </w:r>
      </w:hyperlink>
    </w:p>
    <w:p w14:paraId="1F0D4FB2" w14:textId="746394A4" w:rsidR="001D4135" w:rsidRDefault="001D4135">
      <w:pPr>
        <w:pStyle w:val="TDC1"/>
        <w:tabs>
          <w:tab w:val="right" w:leader="underscore" w:pos="8494"/>
        </w:tabs>
        <w:rPr>
          <w:rFonts w:asciiTheme="minorHAnsi" w:eastAsiaTheme="minorEastAsia" w:hAnsiTheme="minorHAnsi" w:cstheme="minorBidi"/>
          <w:noProof/>
          <w:szCs w:val="22"/>
          <w:lang w:val="es-ES"/>
        </w:rPr>
      </w:pPr>
      <w:hyperlink w:anchor="_Toc105066800" w:history="1">
        <w:r w:rsidRPr="00CD3486">
          <w:rPr>
            <w:rStyle w:val="Hipervnculo"/>
            <w:noProof/>
          </w:rPr>
          <w:t>AUDITORIA</w:t>
        </w:r>
        <w:r>
          <w:rPr>
            <w:noProof/>
            <w:webHidden/>
          </w:rPr>
          <w:tab/>
        </w:r>
        <w:r>
          <w:rPr>
            <w:noProof/>
            <w:webHidden/>
          </w:rPr>
          <w:fldChar w:fldCharType="begin"/>
        </w:r>
        <w:r>
          <w:rPr>
            <w:noProof/>
            <w:webHidden/>
          </w:rPr>
          <w:instrText xml:space="preserve"> PAGEREF _Toc105066800 \h </w:instrText>
        </w:r>
        <w:r>
          <w:rPr>
            <w:noProof/>
            <w:webHidden/>
          </w:rPr>
        </w:r>
        <w:r>
          <w:rPr>
            <w:noProof/>
            <w:webHidden/>
          </w:rPr>
          <w:fldChar w:fldCharType="separate"/>
        </w:r>
        <w:r>
          <w:rPr>
            <w:noProof/>
            <w:webHidden/>
          </w:rPr>
          <w:t>7</w:t>
        </w:r>
        <w:r>
          <w:rPr>
            <w:noProof/>
            <w:webHidden/>
          </w:rPr>
          <w:fldChar w:fldCharType="end"/>
        </w:r>
      </w:hyperlink>
    </w:p>
    <w:p w14:paraId="5CB72100" w14:textId="6A74EADF"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1" w:history="1">
        <w:r w:rsidRPr="00CD3486">
          <w:rPr>
            <w:rStyle w:val="Hipervnculo"/>
            <w:noProof/>
            <w:lang w:bidi="he-IL"/>
          </w:rPr>
          <w:t>1.</w:t>
        </w:r>
        <w:r>
          <w:rPr>
            <w:rFonts w:asciiTheme="minorHAnsi" w:eastAsiaTheme="minorEastAsia" w:hAnsiTheme="minorHAnsi" w:cstheme="minorBidi"/>
            <w:noProof/>
            <w:szCs w:val="22"/>
            <w:lang w:val="es-ES"/>
          </w:rPr>
          <w:tab/>
        </w:r>
        <w:r w:rsidRPr="00CD3486">
          <w:rPr>
            <w:rStyle w:val="Hipervnculo"/>
            <w:rFonts w:cstheme="minorHAnsi"/>
            <w:noProof/>
            <w:lang w:bidi="he-IL"/>
          </w:rPr>
          <w:t>Enumeración de redes, componentes, topologías y protocolos</w:t>
        </w:r>
        <w:r>
          <w:rPr>
            <w:noProof/>
            <w:webHidden/>
          </w:rPr>
          <w:tab/>
        </w:r>
        <w:r>
          <w:rPr>
            <w:noProof/>
            <w:webHidden/>
          </w:rPr>
          <w:fldChar w:fldCharType="begin"/>
        </w:r>
        <w:r>
          <w:rPr>
            <w:noProof/>
            <w:webHidden/>
          </w:rPr>
          <w:instrText xml:space="preserve"> PAGEREF _Toc105066801 \h </w:instrText>
        </w:r>
        <w:r>
          <w:rPr>
            <w:noProof/>
            <w:webHidden/>
          </w:rPr>
        </w:r>
        <w:r>
          <w:rPr>
            <w:noProof/>
            <w:webHidden/>
          </w:rPr>
          <w:fldChar w:fldCharType="separate"/>
        </w:r>
        <w:r>
          <w:rPr>
            <w:noProof/>
            <w:webHidden/>
          </w:rPr>
          <w:t>7</w:t>
        </w:r>
        <w:r>
          <w:rPr>
            <w:noProof/>
            <w:webHidden/>
          </w:rPr>
          <w:fldChar w:fldCharType="end"/>
        </w:r>
      </w:hyperlink>
    </w:p>
    <w:p w14:paraId="7879E5D2" w14:textId="2D8E8BE8"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2" w:history="1">
        <w:r w:rsidRPr="00CD3486">
          <w:rPr>
            <w:rStyle w:val="Hipervnculo"/>
            <w:noProof/>
            <w:lang w:bidi="he-IL"/>
          </w:rPr>
          <w:t>2.</w:t>
        </w:r>
        <w:r>
          <w:rPr>
            <w:rFonts w:asciiTheme="minorHAnsi" w:eastAsiaTheme="minorEastAsia" w:hAnsiTheme="minorHAnsi" w:cstheme="minorBidi"/>
            <w:noProof/>
            <w:szCs w:val="22"/>
            <w:lang w:val="es-ES"/>
          </w:rPr>
          <w:tab/>
        </w:r>
        <w:r w:rsidRPr="00CD3486">
          <w:rPr>
            <w:rStyle w:val="Hipervnculo"/>
            <w:rFonts w:cstheme="minorHAnsi"/>
            <w:noProof/>
            <w:lang w:bidi="he-IL"/>
          </w:rPr>
          <w:t>Identificación de los sistemas operativos instalados</w:t>
        </w:r>
        <w:r>
          <w:rPr>
            <w:noProof/>
            <w:webHidden/>
          </w:rPr>
          <w:tab/>
        </w:r>
        <w:r>
          <w:rPr>
            <w:noProof/>
            <w:webHidden/>
          </w:rPr>
          <w:fldChar w:fldCharType="begin"/>
        </w:r>
        <w:r>
          <w:rPr>
            <w:noProof/>
            <w:webHidden/>
          </w:rPr>
          <w:instrText xml:space="preserve"> PAGEREF _Toc105066802 \h </w:instrText>
        </w:r>
        <w:r>
          <w:rPr>
            <w:noProof/>
            <w:webHidden/>
          </w:rPr>
        </w:r>
        <w:r>
          <w:rPr>
            <w:noProof/>
            <w:webHidden/>
          </w:rPr>
          <w:fldChar w:fldCharType="separate"/>
        </w:r>
        <w:r>
          <w:rPr>
            <w:noProof/>
            <w:webHidden/>
          </w:rPr>
          <w:t>7</w:t>
        </w:r>
        <w:r>
          <w:rPr>
            <w:noProof/>
            <w:webHidden/>
          </w:rPr>
          <w:fldChar w:fldCharType="end"/>
        </w:r>
      </w:hyperlink>
    </w:p>
    <w:p w14:paraId="7772ADE9" w14:textId="116D99FA"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3" w:history="1">
        <w:r w:rsidRPr="00CD3486">
          <w:rPr>
            <w:rStyle w:val="Hipervnculo"/>
            <w:noProof/>
            <w:lang w:bidi="he-IL"/>
          </w:rPr>
          <w:t>3.</w:t>
        </w:r>
        <w:r>
          <w:rPr>
            <w:rFonts w:asciiTheme="minorHAnsi" w:eastAsiaTheme="minorEastAsia" w:hAnsiTheme="minorHAnsi" w:cstheme="minorBidi"/>
            <w:noProof/>
            <w:szCs w:val="22"/>
            <w:lang w:val="es-ES"/>
          </w:rPr>
          <w:tab/>
        </w:r>
        <w:r w:rsidRPr="00CD3486">
          <w:rPr>
            <w:rStyle w:val="Hipervnculo"/>
            <w:rFonts w:cstheme="minorHAnsi"/>
            <w:noProof/>
            <w:lang w:bidi="he-IL"/>
          </w:rPr>
          <w:t>Análisis de servicios y aplicaciones</w:t>
        </w:r>
        <w:r>
          <w:rPr>
            <w:noProof/>
            <w:webHidden/>
          </w:rPr>
          <w:tab/>
        </w:r>
        <w:r>
          <w:rPr>
            <w:noProof/>
            <w:webHidden/>
          </w:rPr>
          <w:fldChar w:fldCharType="begin"/>
        </w:r>
        <w:r>
          <w:rPr>
            <w:noProof/>
            <w:webHidden/>
          </w:rPr>
          <w:instrText xml:space="preserve"> PAGEREF _Toc105066803 \h </w:instrText>
        </w:r>
        <w:r>
          <w:rPr>
            <w:noProof/>
            <w:webHidden/>
          </w:rPr>
        </w:r>
        <w:r>
          <w:rPr>
            <w:noProof/>
            <w:webHidden/>
          </w:rPr>
          <w:fldChar w:fldCharType="separate"/>
        </w:r>
        <w:r>
          <w:rPr>
            <w:noProof/>
            <w:webHidden/>
          </w:rPr>
          <w:t>8</w:t>
        </w:r>
        <w:r>
          <w:rPr>
            <w:noProof/>
            <w:webHidden/>
          </w:rPr>
          <w:fldChar w:fldCharType="end"/>
        </w:r>
      </w:hyperlink>
    </w:p>
    <w:p w14:paraId="0586B0F8" w14:textId="0D4D6DB8"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4" w:history="1">
        <w:r w:rsidRPr="00CD3486">
          <w:rPr>
            <w:rStyle w:val="Hipervnculo"/>
            <w:noProof/>
            <w:lang w:bidi="he-IL"/>
          </w:rPr>
          <w:t>4.</w:t>
        </w:r>
        <w:r>
          <w:rPr>
            <w:rFonts w:asciiTheme="minorHAnsi" w:eastAsiaTheme="minorEastAsia" w:hAnsiTheme="minorHAnsi" w:cstheme="minorBidi"/>
            <w:noProof/>
            <w:szCs w:val="22"/>
            <w:lang w:val="es-ES"/>
          </w:rPr>
          <w:tab/>
        </w:r>
        <w:r w:rsidRPr="00CD3486">
          <w:rPr>
            <w:rStyle w:val="Hipervnculo"/>
            <w:rFonts w:cstheme="minorHAnsi"/>
            <w:noProof/>
            <w:lang w:bidi="he-IL"/>
          </w:rPr>
          <w:t>Detección, comprobación y evaluación de vulnerabilidades</w:t>
        </w:r>
        <w:r>
          <w:rPr>
            <w:noProof/>
            <w:webHidden/>
          </w:rPr>
          <w:tab/>
        </w:r>
        <w:r>
          <w:rPr>
            <w:noProof/>
            <w:webHidden/>
          </w:rPr>
          <w:fldChar w:fldCharType="begin"/>
        </w:r>
        <w:r>
          <w:rPr>
            <w:noProof/>
            <w:webHidden/>
          </w:rPr>
          <w:instrText xml:space="preserve"> PAGEREF _Toc105066804 \h </w:instrText>
        </w:r>
        <w:r>
          <w:rPr>
            <w:noProof/>
            <w:webHidden/>
          </w:rPr>
        </w:r>
        <w:r>
          <w:rPr>
            <w:noProof/>
            <w:webHidden/>
          </w:rPr>
          <w:fldChar w:fldCharType="separate"/>
        </w:r>
        <w:r>
          <w:rPr>
            <w:noProof/>
            <w:webHidden/>
          </w:rPr>
          <w:t>8</w:t>
        </w:r>
        <w:r>
          <w:rPr>
            <w:noProof/>
            <w:webHidden/>
          </w:rPr>
          <w:fldChar w:fldCharType="end"/>
        </w:r>
      </w:hyperlink>
    </w:p>
    <w:p w14:paraId="1B3FCE2C" w14:textId="5F111C7A"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5" w:history="1">
        <w:r w:rsidRPr="00CD3486">
          <w:rPr>
            <w:rStyle w:val="Hipervnculo"/>
            <w:noProof/>
            <w:lang w:bidi="he-IL"/>
          </w:rPr>
          <w:t>5.</w:t>
        </w:r>
        <w:r>
          <w:rPr>
            <w:rFonts w:asciiTheme="minorHAnsi" w:eastAsiaTheme="minorEastAsia" w:hAnsiTheme="minorHAnsi" w:cstheme="minorBidi"/>
            <w:noProof/>
            <w:szCs w:val="22"/>
            <w:lang w:val="es-ES"/>
          </w:rPr>
          <w:tab/>
        </w:r>
        <w:r w:rsidRPr="00CD3486">
          <w:rPr>
            <w:rStyle w:val="Hipervnculo"/>
            <w:rFonts w:cstheme="minorHAnsi"/>
            <w:noProof/>
            <w:lang w:bidi="he-IL"/>
          </w:rPr>
          <w:t>Medidas específicas de corrección</w:t>
        </w:r>
        <w:r>
          <w:rPr>
            <w:noProof/>
            <w:webHidden/>
          </w:rPr>
          <w:tab/>
        </w:r>
        <w:r>
          <w:rPr>
            <w:noProof/>
            <w:webHidden/>
          </w:rPr>
          <w:fldChar w:fldCharType="begin"/>
        </w:r>
        <w:r>
          <w:rPr>
            <w:noProof/>
            <w:webHidden/>
          </w:rPr>
          <w:instrText xml:space="preserve"> PAGEREF _Toc105066805 \h </w:instrText>
        </w:r>
        <w:r>
          <w:rPr>
            <w:noProof/>
            <w:webHidden/>
          </w:rPr>
        </w:r>
        <w:r>
          <w:rPr>
            <w:noProof/>
            <w:webHidden/>
          </w:rPr>
          <w:fldChar w:fldCharType="separate"/>
        </w:r>
        <w:r>
          <w:rPr>
            <w:noProof/>
            <w:webHidden/>
          </w:rPr>
          <w:t>8</w:t>
        </w:r>
        <w:r>
          <w:rPr>
            <w:noProof/>
            <w:webHidden/>
          </w:rPr>
          <w:fldChar w:fldCharType="end"/>
        </w:r>
      </w:hyperlink>
    </w:p>
    <w:p w14:paraId="79D52AAC" w14:textId="0746DB7A" w:rsidR="001D4135" w:rsidRDefault="001D4135">
      <w:pPr>
        <w:pStyle w:val="TDC2"/>
        <w:tabs>
          <w:tab w:val="left" w:pos="880"/>
          <w:tab w:val="right" w:leader="underscore" w:pos="8494"/>
        </w:tabs>
        <w:rPr>
          <w:rFonts w:asciiTheme="minorHAnsi" w:eastAsiaTheme="minorEastAsia" w:hAnsiTheme="minorHAnsi" w:cstheme="minorBidi"/>
          <w:noProof/>
          <w:szCs w:val="22"/>
          <w:lang w:val="es-ES"/>
        </w:rPr>
      </w:pPr>
      <w:hyperlink w:anchor="_Toc105066806" w:history="1">
        <w:r w:rsidRPr="00CD3486">
          <w:rPr>
            <w:rStyle w:val="Hipervnculo"/>
            <w:noProof/>
            <w:lang w:bidi="he-IL"/>
          </w:rPr>
          <w:t>6.</w:t>
        </w:r>
        <w:r>
          <w:rPr>
            <w:rFonts w:asciiTheme="minorHAnsi" w:eastAsiaTheme="minorEastAsia" w:hAnsiTheme="minorHAnsi" w:cstheme="minorBidi"/>
            <w:noProof/>
            <w:szCs w:val="22"/>
            <w:lang w:val="es-ES"/>
          </w:rPr>
          <w:tab/>
        </w:r>
        <w:r w:rsidRPr="00CD3486">
          <w:rPr>
            <w:rStyle w:val="Hipervnculo"/>
            <w:rFonts w:cstheme="minorHAnsi"/>
            <w:noProof/>
            <w:lang w:bidi="he-IL"/>
          </w:rPr>
          <w:t>Recomendaciones sobre implantación de medidas preventivas.</w:t>
        </w:r>
        <w:r>
          <w:rPr>
            <w:noProof/>
            <w:webHidden/>
          </w:rPr>
          <w:tab/>
        </w:r>
        <w:r>
          <w:rPr>
            <w:noProof/>
            <w:webHidden/>
          </w:rPr>
          <w:fldChar w:fldCharType="begin"/>
        </w:r>
        <w:r>
          <w:rPr>
            <w:noProof/>
            <w:webHidden/>
          </w:rPr>
          <w:instrText xml:space="preserve"> PAGEREF _Toc105066806 \h </w:instrText>
        </w:r>
        <w:r>
          <w:rPr>
            <w:noProof/>
            <w:webHidden/>
          </w:rPr>
        </w:r>
        <w:r>
          <w:rPr>
            <w:noProof/>
            <w:webHidden/>
          </w:rPr>
          <w:fldChar w:fldCharType="separate"/>
        </w:r>
        <w:r>
          <w:rPr>
            <w:noProof/>
            <w:webHidden/>
          </w:rPr>
          <w:t>8</w:t>
        </w:r>
        <w:r>
          <w:rPr>
            <w:noProof/>
            <w:webHidden/>
          </w:rPr>
          <w:fldChar w:fldCharType="end"/>
        </w:r>
      </w:hyperlink>
    </w:p>
    <w:p w14:paraId="01D30DA3" w14:textId="4EEF46A8" w:rsidR="001D4135" w:rsidRDefault="001D4135">
      <w:pPr>
        <w:pStyle w:val="TDC1"/>
        <w:tabs>
          <w:tab w:val="right" w:leader="underscore" w:pos="8494"/>
        </w:tabs>
        <w:rPr>
          <w:rFonts w:asciiTheme="minorHAnsi" w:eastAsiaTheme="minorEastAsia" w:hAnsiTheme="minorHAnsi" w:cstheme="minorBidi"/>
          <w:noProof/>
          <w:szCs w:val="22"/>
          <w:lang w:val="es-ES"/>
        </w:rPr>
      </w:pPr>
      <w:hyperlink w:anchor="_Toc105066807" w:history="1">
        <w:r w:rsidRPr="00CD3486">
          <w:rPr>
            <w:rStyle w:val="Hipervnculo"/>
            <w:noProof/>
          </w:rPr>
          <w:t>REFERENCIAS</w:t>
        </w:r>
        <w:r>
          <w:rPr>
            <w:noProof/>
            <w:webHidden/>
          </w:rPr>
          <w:tab/>
        </w:r>
        <w:r>
          <w:rPr>
            <w:noProof/>
            <w:webHidden/>
          </w:rPr>
          <w:fldChar w:fldCharType="begin"/>
        </w:r>
        <w:r>
          <w:rPr>
            <w:noProof/>
            <w:webHidden/>
          </w:rPr>
          <w:instrText xml:space="preserve"> PAGEREF _Toc105066807 \h </w:instrText>
        </w:r>
        <w:r>
          <w:rPr>
            <w:noProof/>
            <w:webHidden/>
          </w:rPr>
        </w:r>
        <w:r>
          <w:rPr>
            <w:noProof/>
            <w:webHidden/>
          </w:rPr>
          <w:fldChar w:fldCharType="separate"/>
        </w:r>
        <w:r>
          <w:rPr>
            <w:noProof/>
            <w:webHidden/>
          </w:rPr>
          <w:t>10</w:t>
        </w:r>
        <w:r>
          <w:rPr>
            <w:noProof/>
            <w:webHidden/>
          </w:rPr>
          <w:fldChar w:fldCharType="end"/>
        </w:r>
      </w:hyperlink>
    </w:p>
    <w:p w14:paraId="6EC0C176" w14:textId="18BED127"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066797"/>
      <w:r w:rsidRPr="002A0312">
        <w:lastRenderedPageBreak/>
        <w:t>ÍNDICE</w:t>
      </w:r>
      <w:r>
        <w:t xml:space="preserve"> DE FIGURAS</w:t>
      </w:r>
      <w:bookmarkEnd w:id="1"/>
    </w:p>
    <w:p w14:paraId="1B3D68C3" w14:textId="7ABDCC33" w:rsidR="0089582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066789" w:history="1">
        <w:r w:rsidR="0089582C" w:rsidRPr="00B9075F">
          <w:rPr>
            <w:rStyle w:val="Hipervnculo"/>
            <w:rFonts w:eastAsiaTheme="majorEastAsia" w:cstheme="minorHAnsi"/>
            <w:noProof/>
          </w:rPr>
          <w:t>Figura 1: Captura de pantalla del número de conexiones de la VPN (Elaboración propia).</w:t>
        </w:r>
        <w:r w:rsidR="0089582C">
          <w:rPr>
            <w:noProof/>
            <w:webHidden/>
          </w:rPr>
          <w:tab/>
        </w:r>
        <w:r w:rsidR="0089582C">
          <w:rPr>
            <w:noProof/>
            <w:webHidden/>
          </w:rPr>
          <w:fldChar w:fldCharType="begin"/>
        </w:r>
        <w:r w:rsidR="0089582C">
          <w:rPr>
            <w:noProof/>
            <w:webHidden/>
          </w:rPr>
          <w:instrText xml:space="preserve"> PAGEREF _Toc105066789 \h </w:instrText>
        </w:r>
        <w:r w:rsidR="0089582C">
          <w:rPr>
            <w:noProof/>
            <w:webHidden/>
          </w:rPr>
        </w:r>
        <w:r w:rsidR="0089582C">
          <w:rPr>
            <w:noProof/>
            <w:webHidden/>
          </w:rPr>
          <w:fldChar w:fldCharType="separate"/>
        </w:r>
        <w:r w:rsidR="0089582C">
          <w:rPr>
            <w:noProof/>
            <w:webHidden/>
          </w:rPr>
          <w:t>5</w:t>
        </w:r>
        <w:r w:rsidR="0089582C">
          <w:rPr>
            <w:noProof/>
            <w:webHidden/>
          </w:rPr>
          <w:fldChar w:fldCharType="end"/>
        </w:r>
      </w:hyperlink>
    </w:p>
    <w:p w14:paraId="1DE8D37D" w14:textId="2576409C" w:rsidR="0089582C" w:rsidRDefault="0089582C">
      <w:pPr>
        <w:pStyle w:val="Tabladeilustraciones"/>
        <w:tabs>
          <w:tab w:val="right" w:leader="underscore" w:pos="8494"/>
        </w:tabs>
        <w:rPr>
          <w:rFonts w:asciiTheme="minorHAnsi" w:eastAsiaTheme="minorEastAsia" w:hAnsiTheme="minorHAnsi" w:cstheme="minorBidi"/>
          <w:noProof/>
          <w:szCs w:val="22"/>
          <w:lang w:val="es-ES"/>
        </w:rPr>
      </w:pPr>
      <w:hyperlink w:anchor="_Toc105066790" w:history="1">
        <w:r w:rsidRPr="00B9075F">
          <w:rPr>
            <w:rStyle w:val="Hipervnculo"/>
            <w:rFonts w:eastAsiaTheme="majorEastAsia" w:cstheme="minorHAnsi"/>
            <w:noProof/>
          </w:rPr>
          <w:t xml:space="preserve">Figura 2: Modelo esquemático de la red propuesta </w:t>
        </w:r>
        <w:r w:rsidRPr="00B9075F">
          <w:rPr>
            <w:rStyle w:val="Hipervnculo"/>
            <w:rFonts w:eastAsiaTheme="majorEastAsia" w:cstheme="minorHAnsi"/>
            <w:noProof/>
            <w:lang w:val="es-ES"/>
          </w:rPr>
          <w:t>(Sánchez, 2022)</w:t>
        </w:r>
        <w:r w:rsidRPr="00B9075F">
          <w:rPr>
            <w:rStyle w:val="Hipervnculo"/>
            <w:rFonts w:eastAsiaTheme="majorEastAsia" w:cstheme="minorHAnsi"/>
            <w:noProof/>
          </w:rPr>
          <w:t>.</w:t>
        </w:r>
        <w:r>
          <w:rPr>
            <w:noProof/>
            <w:webHidden/>
          </w:rPr>
          <w:tab/>
        </w:r>
        <w:r>
          <w:rPr>
            <w:noProof/>
            <w:webHidden/>
          </w:rPr>
          <w:fldChar w:fldCharType="begin"/>
        </w:r>
        <w:r>
          <w:rPr>
            <w:noProof/>
            <w:webHidden/>
          </w:rPr>
          <w:instrText xml:space="preserve"> PAGEREF _Toc105066790 \h </w:instrText>
        </w:r>
        <w:r>
          <w:rPr>
            <w:noProof/>
            <w:webHidden/>
          </w:rPr>
        </w:r>
        <w:r>
          <w:rPr>
            <w:noProof/>
            <w:webHidden/>
          </w:rPr>
          <w:fldChar w:fldCharType="separate"/>
        </w:r>
        <w:r>
          <w:rPr>
            <w:noProof/>
            <w:webHidden/>
          </w:rPr>
          <w:t>6</w:t>
        </w:r>
        <w:r>
          <w:rPr>
            <w:noProof/>
            <w:webHidden/>
          </w:rPr>
          <w:fldChar w:fldCharType="end"/>
        </w:r>
      </w:hyperlink>
    </w:p>
    <w:p w14:paraId="598BD5A5" w14:textId="0806234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06679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066799"/>
      <w:r>
        <w:t>RED PROPUESTA</w:t>
      </w:r>
      <w:bookmarkEnd w:id="3"/>
    </w:p>
    <w:p w14:paraId="01A3507F" w14:textId="50C5331F"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70CCD44" w:rsidR="00E108A1" w:rsidRDefault="00E108A1" w:rsidP="00B721D8">
      <w:pPr>
        <w:pStyle w:val="Default"/>
        <w:jc w:val="both"/>
      </w:pPr>
    </w:p>
    <w:p w14:paraId="612B7A2D" w14:textId="144DA401" w:rsidR="00E108A1" w:rsidRDefault="00E108A1" w:rsidP="00B721D8">
      <w:pPr>
        <w:pStyle w:val="Default"/>
        <w:jc w:val="both"/>
      </w:pPr>
      <w:r>
        <w:t>Inicialmente tratamos de usar la VPN de Windows que tiene pre-instalada, pero por comodidad decidimos emplear el software profesional para SSL VPN Fortinet.</w:t>
      </w:r>
    </w:p>
    <w:p w14:paraId="5FD24B7C" w14:textId="21A6AAE4" w:rsidR="00117DA8" w:rsidRDefault="00117DA8" w:rsidP="00B721D8">
      <w:pPr>
        <w:pStyle w:val="Default"/>
        <w:jc w:val="both"/>
      </w:pPr>
    </w:p>
    <w:p w14:paraId="78FAE9D0" w14:textId="5B2540A8" w:rsidR="00BF30FD" w:rsidRDefault="00117DA8" w:rsidP="00B721D8">
      <w:pPr>
        <w:pStyle w:val="Default"/>
        <w:jc w:val="both"/>
      </w:pPr>
      <w:r>
        <w:t>El usuario VPN es UsuarioExterno y la contraseña (para probar) es laPatata87Pocha</w:t>
      </w:r>
      <w:r w:rsidR="003D1B6A">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48AA13F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066790"/>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89582C">
        <w:rPr>
          <w:rFonts w:asciiTheme="minorHAnsi" w:hAnsiTheme="minorHAnsi" w:cstheme="minorHAnsi"/>
          <w:b w:val="0"/>
          <w:noProof/>
          <w:color w:val="0070C0"/>
        </w:rPr>
        <w:t>2</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06680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06680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69357D58"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 xml:space="preserve">92.168.57.4)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06680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Windows XP 32-bit con parche Service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06680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06680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Además, h</w:t>
            </w:r>
            <w:r w:rsidRPr="0012221E">
              <w:rPr>
                <w:rStyle w:val="markedcontent"/>
                <w:rFonts w:cstheme="minorHAnsi"/>
                <w:color w:val="000000" w:themeColor="text1"/>
              </w:rPr>
              <w:t xml:space="preserve">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06680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06680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5066807"/>
      <w:r>
        <w:lastRenderedPageBreak/>
        <w:t>REFERENCIAS</w:t>
      </w:r>
      <w:bookmarkEnd w:id="13"/>
    </w:p>
    <w:p w14:paraId="423CCD54" w14:textId="77777777" w:rsidR="00C20080" w:rsidRDefault="00C20080" w:rsidP="00C20080"/>
    <w:p w14:paraId="7CEC1EDE" w14:textId="77777777" w:rsidR="004D2841" w:rsidRDefault="002343C2" w:rsidP="004D2841">
      <w:pPr>
        <w:pStyle w:val="Bibliografa"/>
        <w:ind w:left="720" w:hanging="720"/>
        <w:rPr>
          <w:noProof/>
          <w:sz w:val="24"/>
          <w:szCs w:val="24"/>
        </w:rPr>
      </w:pPr>
      <w:r>
        <w:fldChar w:fldCharType="begin"/>
      </w:r>
      <w:r>
        <w:instrText xml:space="preserve"> BIBLIOGRAPHY  \l 3082 </w:instrText>
      </w:r>
      <w:r>
        <w:fldChar w:fldCharType="separate"/>
      </w:r>
      <w:r w:rsidR="004D2841">
        <w:rPr>
          <w:noProof/>
        </w:rPr>
        <w:t xml:space="preserve">Sánchez, B. B. (1 de 5 de 2022). </w:t>
      </w:r>
      <w:r w:rsidR="004D2841">
        <w:rPr>
          <w:i/>
          <w:iCs/>
          <w:noProof/>
        </w:rPr>
        <w:t>moodle.</w:t>
      </w:r>
      <w:r w:rsidR="004D2841">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4D2841">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B339A"/>
    <w:rsid w:val="001C2C62"/>
    <w:rsid w:val="001D4135"/>
    <w:rsid w:val="001E6AA4"/>
    <w:rsid w:val="00203FCD"/>
    <w:rsid w:val="00204D9D"/>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D1B6A"/>
    <w:rsid w:val="003E0EB4"/>
    <w:rsid w:val="00400A44"/>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22E2B"/>
    <w:rsid w:val="0065577A"/>
    <w:rsid w:val="00655A1F"/>
    <w:rsid w:val="00662C58"/>
    <w:rsid w:val="007015D4"/>
    <w:rsid w:val="0070419F"/>
    <w:rsid w:val="007234B3"/>
    <w:rsid w:val="00724DFD"/>
    <w:rsid w:val="00762CF5"/>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E0826"/>
    <w:rsid w:val="00B11F70"/>
    <w:rsid w:val="00B16554"/>
    <w:rsid w:val="00B24911"/>
    <w:rsid w:val="00B31F33"/>
    <w:rsid w:val="00B721D8"/>
    <w:rsid w:val="00BB237C"/>
    <w:rsid w:val="00BB2A90"/>
    <w:rsid w:val="00BC6FDC"/>
    <w:rsid w:val="00BF30FD"/>
    <w:rsid w:val="00C15564"/>
    <w:rsid w:val="00C20080"/>
    <w:rsid w:val="00C3406F"/>
    <w:rsid w:val="00C47C1A"/>
    <w:rsid w:val="00C50F0B"/>
    <w:rsid w:val="00C5295F"/>
    <w:rsid w:val="00C649BF"/>
    <w:rsid w:val="00C73FEF"/>
    <w:rsid w:val="00C929F0"/>
    <w:rsid w:val="00CB7776"/>
    <w:rsid w:val="00CE3514"/>
    <w:rsid w:val="00DD5433"/>
    <w:rsid w:val="00DD60D4"/>
    <w:rsid w:val="00E00E7D"/>
    <w:rsid w:val="00E108A1"/>
    <w:rsid w:val="00E414F1"/>
    <w:rsid w:val="00E83390"/>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11</Pages>
  <Words>1526</Words>
  <Characters>8394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135</cp:revision>
  <dcterms:created xsi:type="dcterms:W3CDTF">2022-05-07T10:39:00Z</dcterms:created>
  <dcterms:modified xsi:type="dcterms:W3CDTF">2022-06-02T13:26:00Z</dcterms:modified>
</cp:coreProperties>
</file>