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D26CFD">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D26CFD">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D26CFD">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D26CFD">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D26CFD">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D26CFD">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17196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35E8BB2" w:rsidR="00E108A1" w:rsidRDefault="00E108A1" w:rsidP="00B721D8">
      <w:pPr>
        <w:pStyle w:val="Default"/>
        <w:jc w:val="both"/>
      </w:pPr>
    </w:p>
    <w:p w14:paraId="2D21F0AD" w14:textId="381AB6E8" w:rsidR="006169D4" w:rsidRPr="00D26CFD" w:rsidRDefault="006169D4" w:rsidP="00B721D8">
      <w:pPr>
        <w:pStyle w:val="Default"/>
        <w:jc w:val="both"/>
        <w:rPr>
          <w:color w:val="FF0000"/>
        </w:rPr>
      </w:pPr>
      <w:r w:rsidRPr="00D26CFD">
        <w:rPr>
          <w:color w:val="FF0000"/>
        </w:rPr>
        <w:t>https://openvpn.net/community-resources/how-to/#openvpn-quickstart</w:t>
      </w:r>
    </w:p>
    <w:p w14:paraId="43631E8E" w14:textId="77777777" w:rsidR="006169D4" w:rsidRDefault="006169D4" w:rsidP="00B721D8">
      <w:pPr>
        <w:pStyle w:val="Default"/>
        <w:jc w:val="both"/>
      </w:pPr>
    </w:p>
    <w:p w14:paraId="21DD8EA8" w14:textId="4DCA5485" w:rsidR="00BC3EE0" w:rsidRDefault="00E108A1" w:rsidP="00B721D8">
      <w:pPr>
        <w:pStyle w:val="Default"/>
        <w:jc w:val="both"/>
      </w:pPr>
      <w:r>
        <w:t xml:space="preserve">Inicialmente tratamos de usar la VPN de Windows que tiene </w:t>
      </w:r>
      <w:proofErr w:type="spellStart"/>
      <w:r>
        <w:t>pre-instalada</w:t>
      </w:r>
      <w:proofErr w:type="spellEnd"/>
      <w:r>
        <w:t>, pero por comodidad decidimos emplear el software profesional para SSL VPN Fortinet.</w:t>
      </w:r>
      <w:r w:rsidR="00DD3E4A">
        <w:t xml:space="preserve"> </w:t>
      </w:r>
      <w:r w:rsidR="00A74E08">
        <w:t xml:space="preserve">Según las instrucciones de instalación </w:t>
      </w:r>
      <w:sdt>
        <w:sdtPr>
          <w:id w:val="185881236"/>
          <w:citation/>
        </w:sdtPr>
        <w:sdtEndPr/>
        <w:sdtContent>
          <w:r w:rsidR="00A74E08">
            <w:fldChar w:fldCharType="begin"/>
          </w:r>
          <w:r w:rsidR="00A74E08">
            <w:instrText xml:space="preserve"> CITATION JCC22 \l 3082 </w:instrText>
          </w:r>
          <w:r w:rsidR="00A74E08">
            <w:fldChar w:fldCharType="separate"/>
          </w:r>
          <w:r w:rsidR="00A74E08">
            <w:rPr>
              <w:noProof/>
            </w:rPr>
            <w:t>(JCCM, 2022)</w:t>
          </w:r>
          <w:r w:rsidR="00A74E08">
            <w:fldChar w:fldCharType="end"/>
          </w:r>
        </w:sdtContent>
      </w:sdt>
      <w:r w:rsidR="00A74E08">
        <w:t xml:space="preserve">, hemos decidido que nuestra </w:t>
      </w:r>
      <w:r w:rsidR="00DD3E4A">
        <w:t xml:space="preserve">VPN se llama VPN </w:t>
      </w:r>
      <w:proofErr w:type="spellStart"/>
      <w:r w:rsidR="00DD3E4A">
        <w:t>SmartCity</w:t>
      </w:r>
      <w:proofErr w:type="spellEnd"/>
      <w:r w:rsidR="00DD3E4A">
        <w:t>, el Gateway Remoto es</w:t>
      </w:r>
      <w:r w:rsidR="00E90154">
        <w:t xml:space="preserve"> </w:t>
      </w:r>
      <w:r w:rsidR="00E90154" w:rsidRPr="00E90154">
        <w:t>100.200.0.1</w:t>
      </w:r>
      <w:r w:rsidR="00DD3E4A">
        <w:t xml:space="preserve">, la Clave </w:t>
      </w:r>
      <w:proofErr w:type="spellStart"/>
      <w:r w:rsidR="00DD3E4A">
        <w:t>Pre-compartida</w:t>
      </w:r>
      <w:proofErr w:type="spellEnd"/>
      <w:r w:rsidR="00DD3E4A">
        <w:t xml:space="preserve"> es “laPatata87Pocha”</w:t>
      </w:r>
      <w:r w:rsidR="00A74E08">
        <w:t xml:space="preserve"> y el resto queda por defecto</w:t>
      </w:r>
      <w:r w:rsidR="006F43BD">
        <w:t>. Estos parámetros los utilizamos para el Firewall de su edificio también.</w:t>
      </w:r>
    </w:p>
    <w:p w14:paraId="5FD24B7C" w14:textId="21A6AAE4" w:rsidR="00117DA8" w:rsidRDefault="00117DA8" w:rsidP="00B721D8">
      <w:pPr>
        <w:pStyle w:val="Default"/>
        <w:jc w:val="both"/>
      </w:pPr>
    </w:p>
    <w:p w14:paraId="78FAE9D0" w14:textId="0BDA96E6" w:rsidR="00BF30FD" w:rsidRDefault="00117DA8" w:rsidP="00B721D8">
      <w:pPr>
        <w:pStyle w:val="Default"/>
        <w:jc w:val="both"/>
      </w:pPr>
      <w:r>
        <w:t xml:space="preserve">El usuario VPN es </w:t>
      </w:r>
      <w:proofErr w:type="spellStart"/>
      <w:r w:rsidR="006E48CC">
        <w:t>ssr</w:t>
      </w:r>
      <w:proofErr w:type="spellEnd"/>
      <w:r>
        <w:t xml:space="preserve"> y la contraseña (para probar) es laPatata87Pocha</w:t>
      </w:r>
      <w:r w:rsidR="003D1B6A">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w:t>
      </w:r>
      <w:proofErr w:type="spellStart"/>
      <w:r w:rsidR="00A60FE0">
        <w:t>router</w:t>
      </w:r>
      <w:proofErr w:type="spellEnd"/>
      <w:r w:rsidR="00A60FE0">
        <w:t xml:space="preserve">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w:t>
      </w:r>
      <w:proofErr w:type="spellStart"/>
      <w:proofErr w:type="gramStart"/>
      <w:r w:rsidR="00CB7776">
        <w:t>mySQL</w:t>
      </w:r>
      <w:proofErr w:type="spellEnd"/>
      <w:proofErr w:type="gramEnd"/>
      <w:r w:rsidR="00CB7776">
        <w:t xml:space="preserve">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17197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w:t>
      </w:r>
      <w:proofErr w:type="gramStart"/>
      <w:r w:rsidR="007B7FCB">
        <w:t>S)</w:t>
      </w:r>
      <w:r w:rsidR="001E6AA4">
        <w:t xml:space="preserve">   </w:t>
      </w:r>
      <w:proofErr w:type="gramEnd"/>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xml:space="preserve">) y el </w:t>
      </w:r>
      <w:proofErr w:type="spellStart"/>
      <w:r>
        <w:rPr>
          <w:rStyle w:val="markedcontent"/>
        </w:rPr>
        <w:t>router</w:t>
      </w:r>
      <w:proofErr w:type="spellEnd"/>
      <w:r>
        <w:rPr>
          <w:rStyle w:val="markedcontent"/>
        </w:rPr>
        <w:t xml:space="preserve">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xml:space="preserve">– La red edificio remoto 192.168.57.0/24. Tiene una máquina </w:t>
      </w:r>
      <w:proofErr w:type="spellStart"/>
      <w:r>
        <w:rPr>
          <w:rStyle w:val="markedcontent"/>
          <w:color w:val="000000" w:themeColor="text1"/>
        </w:rPr>
        <w:t>cliente</w:t>
      </w:r>
      <w:r w:rsidR="000850DE">
        <w:rPr>
          <w:rStyle w:val="markedcontent"/>
          <w:color w:val="000000" w:themeColor="text1"/>
        </w:rPr>
        <w:t>Remoto</w:t>
      </w:r>
      <w:proofErr w:type="spellEnd"/>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w:t>
      </w:r>
      <w:proofErr w:type="spellStart"/>
      <w:r>
        <w:rPr>
          <w:rStyle w:val="markedcontent"/>
          <w:color w:val="000000" w:themeColor="text1"/>
        </w:rPr>
        <w:t>router</w:t>
      </w:r>
      <w:proofErr w:type="spellEnd"/>
      <w:r>
        <w:rPr>
          <w:rStyle w:val="markedcontent"/>
          <w:color w:val="000000" w:themeColor="text1"/>
        </w:rPr>
        <w:t xml:space="preserve">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w:t>
      </w:r>
      <w:proofErr w:type="spellStart"/>
      <w:r>
        <w:rPr>
          <w:rFonts w:cstheme="minorHAnsi"/>
          <w:color w:val="000000" w:themeColor="text1"/>
        </w:rPr>
        <w:t>routers</w:t>
      </w:r>
      <w:proofErr w:type="spellEnd"/>
      <w:r>
        <w:rPr>
          <w:rFonts w:cstheme="minorHAnsi"/>
          <w:color w:val="000000" w:themeColor="text1"/>
        </w:rPr>
        <w:t xml:space="preserve">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proofErr w:type="spellStart"/>
      <w:r w:rsidRPr="00C929F0">
        <w:rPr>
          <w:rFonts w:cstheme="minorHAnsi"/>
          <w:color w:val="000000" w:themeColor="text1"/>
          <w:sz w:val="28"/>
          <w:szCs w:val="28"/>
        </w:rPr>
        <w:t>Routers</w:t>
      </w:r>
      <w:proofErr w:type="spellEnd"/>
      <w:r w:rsidRPr="00C929F0">
        <w:rPr>
          <w:rFonts w:cstheme="minorHAnsi"/>
          <w:color w:val="000000" w:themeColor="text1"/>
          <w:sz w:val="28"/>
          <w:szCs w:val="28"/>
        </w:rPr>
        <w:t xml:space="preserve">: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Windows XP 32-bit con parche </w:t>
      </w:r>
      <w:proofErr w:type="spellStart"/>
      <w:r w:rsidRPr="00267166">
        <w:rPr>
          <w:rStyle w:val="markedcontent"/>
          <w:rFonts w:cstheme="minorHAnsi"/>
          <w:color w:val="000000" w:themeColor="text1"/>
        </w:rPr>
        <w:t>Service</w:t>
      </w:r>
      <w:proofErr w:type="spellEnd"/>
      <w:r w:rsidRPr="00267166">
        <w:rPr>
          <w:rStyle w:val="markedcontent"/>
          <w:rFonts w:cstheme="minorHAnsi"/>
          <w:color w:val="000000" w:themeColor="text1"/>
        </w:rPr>
        <w:t xml:space="preserv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w:t>
      </w:r>
      <w:proofErr w:type="spellStart"/>
      <w:r w:rsidRPr="00267166">
        <w:rPr>
          <w:rStyle w:val="markedcontent"/>
          <w:rFonts w:cstheme="minorHAnsi"/>
          <w:color w:val="000000" w:themeColor="text1"/>
        </w:rPr>
        <w:t>Education</w:t>
      </w:r>
      <w:proofErr w:type="spellEnd"/>
      <w:r w:rsidRPr="00267166">
        <w:rPr>
          <w:rStyle w:val="markedcontent"/>
          <w:rFonts w:cstheme="minorHAnsi"/>
          <w:color w:val="000000" w:themeColor="text1"/>
        </w:rPr>
        <w:t xml:space="preserve">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w:t>
            </w:r>
            <w:proofErr w:type="spellStart"/>
            <w:r w:rsidRPr="0012221E">
              <w:rPr>
                <w:rStyle w:val="markedcontent"/>
                <w:rFonts w:cstheme="minorHAnsi"/>
                <w:color w:val="000000" w:themeColor="text1"/>
              </w:rPr>
              <w:t>router</w:t>
            </w:r>
            <w:proofErr w:type="spellEnd"/>
            <w:r w:rsidRPr="0012221E">
              <w:rPr>
                <w:rStyle w:val="markedcontent"/>
                <w:rFonts w:cstheme="minorHAnsi"/>
                <w:color w:val="000000" w:themeColor="text1"/>
              </w:rPr>
              <w:t xml:space="preserve"> de las por defecto (</w:t>
            </w:r>
            <w:proofErr w:type="spellStart"/>
            <w:r w:rsidRPr="0012221E">
              <w:rPr>
                <w:rStyle w:val="markedcontent"/>
                <w:rFonts w:cstheme="minorHAnsi"/>
                <w:color w:val="000000" w:themeColor="text1"/>
              </w:rPr>
              <w:t>admin</w:t>
            </w:r>
            <w:proofErr w:type="spellEnd"/>
            <w:r w:rsidRPr="0012221E">
              <w:rPr>
                <w:rStyle w:val="markedcontent"/>
                <w:rFonts w:cstheme="minorHAnsi"/>
                <w:color w:val="000000" w:themeColor="text1"/>
              </w:rPr>
              <w:t xml:space="preserve">, </w:t>
            </w:r>
            <w:proofErr w:type="spellStart"/>
            <w:r w:rsidRPr="0012221E">
              <w:rPr>
                <w:rStyle w:val="markedcontent"/>
                <w:rFonts w:cstheme="minorHAnsi"/>
                <w:color w:val="000000" w:themeColor="text1"/>
              </w:rPr>
              <w:t>pfsense</w:t>
            </w:r>
            <w:proofErr w:type="spellEnd"/>
            <w:r w:rsidRPr="0012221E">
              <w:rPr>
                <w:rStyle w:val="markedcontent"/>
                <w:rFonts w:cstheme="minorHAnsi"/>
                <w:color w:val="000000" w:themeColor="text1"/>
              </w:rPr>
              <w:t xml:space="preserv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proofErr w:type="spellStart"/>
            <w:r w:rsidRPr="00267166">
              <w:rPr>
                <w:rStyle w:val="markedcontent"/>
                <w:rFonts w:cstheme="minorHAnsi"/>
                <w:b/>
                <w:bCs/>
                <w:color w:val="000000" w:themeColor="text1"/>
              </w:rPr>
              <w:t>ClienteRemoto</w:t>
            </w:r>
            <w:proofErr w:type="spellEnd"/>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proofErr w:type="gramStart"/>
      <w:r w:rsidR="004B4E9B">
        <w:rPr>
          <w:rFonts w:cstheme="minorHAnsi"/>
          <w:color w:val="000000" w:themeColor="text1"/>
          <w:lang w:val="es-ES_tradnl"/>
        </w:rPr>
        <w:t>p.ej</w:t>
      </w:r>
      <w:proofErr w:type="spellEnd"/>
      <w:proofErr w:type="gram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xml:space="preserve">, y no hablar de los clientes públicamente ni de nada relacionado con </w:t>
      </w:r>
      <w:proofErr w:type="gramStart"/>
      <w:r w:rsidR="00010B1E">
        <w:rPr>
          <w:rFonts w:cstheme="minorHAnsi"/>
          <w:color w:val="000000" w:themeColor="text1"/>
          <w:lang w:val="es-ES_tradnl"/>
        </w:rPr>
        <w:t>las seguridad</w:t>
      </w:r>
      <w:proofErr w:type="gramEnd"/>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w:t>
      </w:r>
      <w:proofErr w:type="gramStart"/>
      <w:r w:rsidR="00B31F33">
        <w:rPr>
          <w:rFonts w:cstheme="minorHAnsi"/>
          <w:color w:val="000000" w:themeColor="text1"/>
          <w:lang w:val="es-ES_tradnl"/>
        </w:rPr>
        <w:t>hecho</w:t>
      </w:r>
      <w:proofErr w:type="gramEnd"/>
      <w:r w:rsidR="00B31F33">
        <w:rPr>
          <w:rFonts w:cstheme="minorHAnsi"/>
          <w:color w:val="000000" w:themeColor="text1"/>
          <w:lang w:val="es-ES_tradnl"/>
        </w:rPr>
        <w:t xml:space="preserve">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proofErr w:type="gramStart"/>
      <w:r>
        <w:rPr>
          <w:rFonts w:cstheme="minorHAnsi"/>
          <w:color w:val="000000" w:themeColor="text1"/>
          <w:lang w:val="es-ES_tradnl"/>
        </w:rPr>
        <w:t>Además</w:t>
      </w:r>
      <w:proofErr w:type="gramEnd"/>
      <w:r>
        <w:rPr>
          <w:rFonts w:cstheme="minorHAnsi"/>
          <w:color w:val="000000" w:themeColor="text1"/>
          <w:lang w:val="es-ES_tradnl"/>
        </w:rPr>
        <w:t xml:space="preserve">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5171977"/>
      <w:r>
        <w:lastRenderedPageBreak/>
        <w:t>REFERENCIAS</w:t>
      </w:r>
      <w:bookmarkEnd w:id="13"/>
    </w:p>
    <w:p w14:paraId="423CCD54" w14:textId="77777777" w:rsidR="00C20080" w:rsidRDefault="00C20080" w:rsidP="00C20080"/>
    <w:p w14:paraId="3E501C5A" w14:textId="77777777" w:rsidR="003C161F" w:rsidRDefault="002343C2" w:rsidP="003C161F">
      <w:pPr>
        <w:pStyle w:val="Bibliografa"/>
        <w:ind w:left="720" w:hanging="720"/>
        <w:rPr>
          <w:noProof/>
          <w:sz w:val="24"/>
          <w:szCs w:val="24"/>
        </w:rPr>
      </w:pPr>
      <w:r>
        <w:fldChar w:fldCharType="begin"/>
      </w:r>
      <w:r>
        <w:instrText xml:space="preserve"> BIBLIOGRAPHY  \l 3082 </w:instrText>
      </w:r>
      <w:r>
        <w:fldChar w:fldCharType="separate"/>
      </w:r>
      <w:r w:rsidR="003C161F">
        <w:rPr>
          <w:noProof/>
        </w:rPr>
        <w:t xml:space="preserve">JCCM. (2 de 6 de 2022). </w:t>
      </w:r>
      <w:r w:rsidR="003C161F">
        <w:rPr>
          <w:i/>
          <w:iCs/>
          <w:noProof/>
        </w:rPr>
        <w:t>Junta de Comunidades de Castilla-La Mancha</w:t>
      </w:r>
      <w:r w:rsidR="003C161F">
        <w:rPr>
          <w:noProof/>
        </w:rPr>
        <w:t>. Obtenido de JCCM: https://sum.jccm.es/node/33</w:t>
      </w:r>
    </w:p>
    <w:p w14:paraId="225C7520" w14:textId="77777777" w:rsidR="003C161F" w:rsidRDefault="003C161F" w:rsidP="003C161F">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3C161F">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B339A"/>
    <w:rsid w:val="001C2C62"/>
    <w:rsid w:val="001D4135"/>
    <w:rsid w:val="001E6AA4"/>
    <w:rsid w:val="00203FCD"/>
    <w:rsid w:val="00204D9D"/>
    <w:rsid w:val="00210B94"/>
    <w:rsid w:val="00225AE3"/>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C161F"/>
    <w:rsid w:val="003D1B6A"/>
    <w:rsid w:val="003E0EB4"/>
    <w:rsid w:val="00400A44"/>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169D4"/>
    <w:rsid w:val="00622E2B"/>
    <w:rsid w:val="0065577A"/>
    <w:rsid w:val="00655A1F"/>
    <w:rsid w:val="00662C58"/>
    <w:rsid w:val="006E48CC"/>
    <w:rsid w:val="006F43BD"/>
    <w:rsid w:val="007015D4"/>
    <w:rsid w:val="0070419F"/>
    <w:rsid w:val="007234B3"/>
    <w:rsid w:val="00724DFD"/>
    <w:rsid w:val="00762CF5"/>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7C1A"/>
    <w:rsid w:val="00C50F0B"/>
    <w:rsid w:val="00C5295F"/>
    <w:rsid w:val="00C649BF"/>
    <w:rsid w:val="00C73FEF"/>
    <w:rsid w:val="00C929F0"/>
    <w:rsid w:val="00CB7776"/>
    <w:rsid w:val="00CE3514"/>
    <w:rsid w:val="00D26CFD"/>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1</b:RefOrder>
  </b:Source>
</b:Sources>
</file>

<file path=customXml/itemProps1.xml><?xml version="1.0" encoding="utf-8"?>
<ds:datastoreItem xmlns:ds="http://schemas.openxmlformats.org/officeDocument/2006/customXml" ds:itemID="{3E64B756-B7F6-4A2A-8278-76DDA5AD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11</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144</cp:revision>
  <dcterms:created xsi:type="dcterms:W3CDTF">2022-05-07T10:39:00Z</dcterms:created>
  <dcterms:modified xsi:type="dcterms:W3CDTF">2022-06-03T18:06:00Z</dcterms:modified>
</cp:coreProperties>
</file>