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4 — Empirical Results</w:t>
      </w:r>
    </w:p>
    <w:p>
      <w:r>
        <w:t>Innovation-Driven Mergers and Acquisitions and Value Creation in the European</w:t>
      </w:r>
    </w:p>
    <w:p>
      <w:r>
        <w:t>Pharmaceutical Industry</w:t>
      </w:r>
    </w:p>
    <w:p>
      <w:pPr>
        <w:pStyle w:val="IntenseQuote"/>
      </w:pPr>
      <w:r>
        <w:t>**Estimand.** Every coefficient below measures the **differential** post-versus-pre</w:t>
      </w:r>
    </w:p>
    <w:p>
      <w:pPr>
        <w:pStyle w:val="IntenseQuote"/>
      </w:pPr>
      <w:r>
        <w:t>change associated with an **innovation-driven** pharmaceutical transaction **relative to</w:t>
      </w:r>
    </w:p>
    <w:p>
      <w:pPr>
        <w:pStyle w:val="IntenseQuote"/>
      </w:pPr>
      <w:r>
        <w:t>an alternative-rationale transaction**. Both groups complete an M&amp;A transaction. No</w:t>
      </w:r>
    </w:p>
    <w:p>
      <w:pPr>
        <w:pStyle w:val="IntenseQuote"/>
      </w:pPr>
      <w:r>
        <w:t>coefficient should be read as the effect of acquiring versus not acquiring.</w:t>
      </w:r>
    </w:p>
    <w:p>
      <w:pPr>
        <w:pStyle w:val="IntenseQuote"/>
      </w:pPr>
      <w:r>
        <w:t>**Status of this chapter.** The results are reported as **adjusted associations from a</w:t>
      </w:r>
    </w:p>
    <w:p>
      <w:pPr>
        <w:pStyle w:val="IntenseQuote"/>
      </w:pPr>
      <w:r>
        <w:t>small, provisional analytical sample**. They satisfy the design's data-cleaning and</w:t>
      </w:r>
    </w:p>
    <w:p>
      <w:pPr>
        <w:pStyle w:val="IntenseQuote"/>
      </w:pPr>
      <w:r>
        <w:t>identification checks (deduplicated events, frozen evidence-based classification,</w:t>
      </w:r>
    </w:p>
    <w:p>
      <w:pPr>
        <w:pStyle w:val="IntenseQuote"/>
      </w:pPr>
      <w:r>
        <w:t>reconstructed panels, examinable pre-trends, both groups represented), but the number of</w:t>
      </w:r>
    </w:p>
    <w:p>
      <w:pPr>
        <w:pStyle w:val="IntenseQuote"/>
      </w:pPr>
      <w:r>
        <w:t>acquirer clusters (12–13) is small and outcome coverage is partial. Estimates are</w:t>
      </w:r>
    </w:p>
    <w:p>
      <w:pPr>
        <w:pStyle w:val="IntenseQuote"/>
      </w:pPr>
      <w:r>
        <w:t>therefore precise enough to *describe direction and rule ranges in/out only weakly*, not</w:t>
      </w:r>
    </w:p>
    <w:p>
      <w:pPr>
        <w:pStyle w:val="IntenseQuote"/>
      </w:pPr>
      <w:r>
        <w:t>to support causal claims.</w:t>
      </w:r>
    </w:p>
    <w:p/>
    <w:p>
      <w:pPr>
        <w:pStyle w:val="Heading1"/>
      </w:pPr>
      <w:r>
        <w:t>4.1 Final sample construction</w:t>
      </w:r>
    </w:p>
    <w:p>
      <w:r>
        <w:t>The two source workbooks contained 351 candidate transactions (45 in the innovation</w:t>
      </w:r>
    </w:p>
    <w:p>
      <w:r>
        <w:t>extract, 306 in the alternative extract). Consolidating on a canonical economic-event key</w:t>
      </w:r>
    </w:p>
    <w:p>
      <w:r>
        <w:t>(normalised acquirer + normalised target + exact completion date) collapsed 42 cross-file</w:t>
      </w:r>
    </w:p>
    <w:p>
      <w:r>
        <w:t>duplicate events — deals GlobalData had placed in both screens — and 3 within-file</w:t>
      </w:r>
    </w:p>
    <w:p>
      <w:r>
        <w:t>duplicate pairs, yielding 306 unique economic events. The treatment workbook's</w:t>
      </w:r>
    </w:p>
    <w:p>
      <w:r>
        <w:t>Panel_DiD sheet was found to contain 315 #REF! formula errors in the interaction</w:t>
      </w:r>
    </w:p>
    <w:p>
      <w:r>
        <w:t>column and was discarded; all panels were rebuilt from source layers (Table 1).</w:t>
      </w:r>
    </w:p>
    <w:p>
      <w:r>
        <w:t>Classification was performed on pre-completion evidence and by evidence rather than by</w:t>
      </w:r>
    </w:p>
    <w:p>
      <w:r>
        <w:t>source workbook. This is consequential: the innovation screen contained clear commercial</w:t>
      </w:r>
    </w:p>
    <w:p>
      <w:r>
        <w:t>false positives (e.g. Nicox/Doliage — an ophthalmic product portfolio; Esteve/Riemser</w:t>
      </w:r>
    </w:p>
    <w:p>
      <w:r>
        <w:t>— a specialty product and manufacturing deal), while the alternative screen contained</w:t>
      </w:r>
    </w:p>
    <w:p>
      <w:r>
        <w:t>clear R&amp;D false negatives (e.g. Roche/Trophos — a Phase I neurodegeneration pipeline;</w:t>
      </w:r>
    </w:p>
    <w:p>
      <w:r>
        <w:t>Ipsen/Syntaxin — a toxin technology platform and IP; UCB/Handl — gene-therapy discovery</w:t>
      </w:r>
    </w:p>
    <w:p>
      <w:r>
        <w:t>capability). Among data-carrying deals, adjudication produced 13 high-confidence</w:t>
      </w:r>
    </w:p>
    <w:p>
      <w:r>
        <w:t>innovation-driven and 12 alternative-rationale events (Table 3); two ineligible deals</w:t>
      </w:r>
    </w:p>
    <w:p>
      <w:r>
        <w:t>(a childcare business and an 8.31% minority stake) and two mixed/borderline deals</w:t>
      </w:r>
    </w:p>
    <w:p>
      <w:r>
        <w:t>(Vectura/Skyepharma; a reverse merger) were excluded from the primary analysis.</w:t>
      </w:r>
    </w:p>
    <w:p>
      <w:r>
        <w:t>Because several acquirers recur (Roche 3×, GSK 2×, Recordati 2×) and same-firm financial</w:t>
      </w:r>
    </w:p>
    <w:p>
      <w:r>
        <w:t>series are identical, the primary sample retains one non-overlapping event per acquirer</w:t>
      </w:r>
    </w:p>
    <w:p>
      <w:r>
        <w:t>group, and all standard errors are clustered by acquirer. Serial-acquirer and balanced</w:t>
      </w:r>
    </w:p>
    <w:p>
      <w:r>
        <w:t>samples are estimated as sensitivities (Table 2, Figure 1).</w:t>
      </w:r>
    </w:p>
    <w:p>
      <w:pPr>
        <w:pStyle w:val="Heading1"/>
      </w:pPr>
      <w:r>
        <w:t>4.2 Outcome-specific coverage</w:t>
      </w:r>
    </w:p>
    <w:p>
      <w:r>
        <w:t>Separate samples were constructed for each hypothesis (they need not contain the same</w:t>
      </w:r>
    </w:p>
    <w:p>
      <w:r>
        <w:t>firms). Applying the preferred rule (≥ 2 non-missing pre and ≥ 2 non-missing post</w:t>
      </w:r>
    </w:p>
    <w:p>
      <w:r>
        <w:t>observations, t0 omitted) and the one-event-per-acquirer restriction gives: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Sample</w:t>
            </w:r>
          </w:p>
        </w:tc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1440"/>
          </w:tcPr>
          <w:p>
            <w:r>
              <w:t>Acquirer clusters</w:t>
            </w:r>
          </w:p>
        </w:tc>
        <w:tc>
          <w:tcPr>
            <w:tcW w:type="dxa" w:w="1440"/>
          </w:tcPr>
          <w:p>
            <w:r>
              <w:t>Innovation</w:t>
            </w:r>
          </w:p>
        </w:tc>
        <w:tc>
          <w:tcPr>
            <w:tcW w:type="dxa" w:w="1440"/>
          </w:tcPr>
          <w:p>
            <w:r>
              <w:t>Alternative</w:t>
            </w:r>
          </w:p>
        </w:tc>
        <w:tc>
          <w:tcPr>
            <w:tcW w:type="dxa" w:w="1440"/>
          </w:tcPr>
          <w:p>
            <w:r>
              <w:t>Obs</w:t>
            </w:r>
          </w:p>
        </w:tc>
      </w:tr>
      <w:tr>
        <w:tc>
          <w:tcPr>
            <w:tcW w:type="dxa" w:w="1440"/>
          </w:tcPr>
          <w:p>
            <w:r>
              <w:t>**H2 — ROA (primary)**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72</w:t>
            </w:r>
          </w:p>
        </w:tc>
      </w:tr>
      <w:tr>
        <w:tc>
          <w:tcPr>
            <w:tcW w:type="dxa" w:w="1440"/>
          </w:tcPr>
          <w:p>
            <w:r>
              <w:t>**H1 — patent families (primary)**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72</w:t>
            </w:r>
          </w:p>
        </w:tc>
      </w:tr>
    </w:tbl>
    <w:p>
      <w:r>
        <w:t>Coverage by relative year is shown in Figure 2. The samples are small and the innovation</w:t>
      </w:r>
    </w:p>
    <w:p>
      <w:r>
        <w:t>side is dominated by small biotech/speciality acquirers.</w:t>
      </w:r>
    </w:p>
    <w:p>
      <w:pPr>
        <w:pStyle w:val="Heading1"/>
      </w:pPr>
      <w:r>
        <w:t>4.3 Descriptive statistics (Tables 4–5)</w:t>
      </w:r>
    </w:p>
    <w:p>
      <w:r>
        <w:t>Return on Assets (pp). The innovation group enters with a lower and far more volatile</w:t>
      </w:r>
    </w:p>
    <w:p>
      <w:r>
        <w:t>pre-period ROA (mean −6.1, s.d. 35.9; driven by loss-making biotechs, minimum ≈ −110) than</w:t>
      </w:r>
    </w:p>
    <w:p>
      <w:r>
        <w:t>the alternative group (mean +3.9, s.d. 13.0). Raw pre→post ROA change is +9.0 pp for</w:t>
      </w:r>
    </w:p>
    <w:p>
      <w:r>
        <w:t>innovation versus +0.3 pp for alternative — directionally consistent with H2.</w:t>
      </w:r>
    </w:p>
    <w:p>
      <w:r>
        <w:t>Patent families. The innovation group is more patent-intensive pre-deal (mean 11.7</w:t>
      </w:r>
    </w:p>
    <w:p>
      <w:r>
        <w:t>families/yr vs 2.5) and its output declines post-completion (raw −3.9) while the</w:t>
      </w:r>
    </w:p>
    <w:p>
      <w:r>
        <w:t>alternative group is roughly flat (raw −0.3) — directionally consistent with H1.</w:t>
      </w:r>
    </w:p>
    <w:p>
      <w:pPr>
        <w:pStyle w:val="Heading1"/>
      </w:pPr>
      <w:r>
        <w:t>4.4 Pre-treatment comparability and common support (Table 6, Figures 7–8)</w:t>
      </w:r>
    </w:p>
    <w:p>
      <w:r>
        <w:t>Standardised mean differences are large: for H2, pre-period ROA SMD ≈ −0.36 with a</w:t>
      </w:r>
    </w:p>
    <w:p>
      <w:r>
        <w:t>variance ratio &gt; 7, and pre-deal log-assets (0.90) and revenue (1.19) show the innovation</w:t>
      </w:r>
    </w:p>
    <w:p>
      <w:r>
        <w:t>acquirers are markedly smaller; for H1, the pre-outcome SMD ≈ 1.12. Common-support overlap</w:t>
      </w:r>
    </w:p>
    <w:p>
      <w:r>
        <w:t>exists but is thin, especially in the lower ROA tail (innovation only) and the upper</w:t>
      </w:r>
    </w:p>
    <w:p>
      <w:r>
        <w:t>patent tail (innovation only). Deal fixed effects absorb these level differences, but</w:t>
      </w:r>
    </w:p>
    <w:p>
      <w:r>
        <w:t>the imbalance means pre-trends carry the identification burden, and a matched/weighted</w:t>
      </w:r>
    </w:p>
    <w:p>
      <w:r>
        <w:t>specification is not credibly supported at this sample size (matching on 12 events would</w:t>
      </w:r>
    </w:p>
    <w:p>
      <w:r>
        <w:t>discard most of the data for cosmetic balance). Unweighted results are therefore the</w:t>
      </w:r>
    </w:p>
    <w:p>
      <w:r>
        <w:t>benchmark, as the protocol requires.</w:t>
      </w:r>
    </w:p>
    <w:p>
      <w:pPr>
        <w:pStyle w:val="Heading1"/>
      </w:pPr>
      <w:r>
        <w:t>4.5 H1 — differential patent output (Tables 7, 9; Figures 4, 6)</w:t>
      </w:r>
    </w:p>
    <w:p>
      <w:r>
        <w:drawing>
          <wp:inline xmlns:a="http://schemas.openxmlformats.org/drawingml/2006/main" xmlns:pic="http://schemas.openxmlformats.org/drawingml/2006/picture">
            <wp:extent cx="5029200" cy="319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tent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92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atent_eventstud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two-way fixed-effects model gives a differential effect of</w:t>
      </w:r>
    </w:p>
    <w:p>
      <w:pPr>
        <w:pStyle w:val="IntenseQuote"/>
      </w:pPr>
      <w:r>
        <w:t>**β(Innovation × Post) = −0.46 patent families** (cluster-robust SE 2.07;</w:t>
      </w:r>
    </w:p>
    <w:p>
      <w:pPr>
        <w:pStyle w:val="IntenseQuote"/>
      </w:pPr>
      <w:r>
        <w:t>95% CI [−4.52, 3.61]; p = 0.83; **wild-bootstrap p = 0.82**), 13 events, 13 clusters.</w:t>
      </w:r>
    </w:p>
    <w:p>
      <w:r>
        <w:t>Decomposition: the alternative group's modelled post change is δ = +5.20 families and the</w:t>
      </w:r>
    </w:p>
    <w:p>
      <w:r>
        <w:t>innovation group's is δ + β = +4.74; the differential is essentially zero. The IHS</w:t>
      </w:r>
    </w:p>
    <w:p>
      <w:r>
        <w:t>specification (β = 0.11, p = 0.85) and Poisson PPML (β = 0.05, p = 0.93) agree. The</w:t>
      </w:r>
    </w:p>
    <w:p>
      <w:r>
        <w:t>event study (Figure 6) shows differential coefficients hovering around zero in every</w:t>
      </w:r>
    </w:p>
    <w:p>
      <w:r>
        <w:t>post-year (+2.6, −1.5, −1.4 for t+1…t+3) with wide intervals, and the joint pre-trend</w:t>
      </w:r>
    </w:p>
    <w:p>
      <w:r>
        <w:t>test does not reject parallel pre-trends (p = 0.96).</w:t>
      </w:r>
    </w:p>
    <w:p>
      <w:r>
        <w:t>Reading. The data do not support H1 at conventional levels: there is no detectable</w:t>
      </w:r>
    </w:p>
    <w:p>
      <w:r>
        <w:t>differential in patent-family output between the two rationales over the three post years.</w:t>
      </w:r>
    </w:p>
    <w:p>
      <w:r>
        <w:t>Given the wide confidence interval, this is an imprecise null, not evidence of exact</w:t>
      </w:r>
    </w:p>
    <w:p>
      <w:r>
        <w:t>equivalence.</w:t>
      </w:r>
    </w:p>
    <w:p>
      <w:pPr>
        <w:pStyle w:val="Heading1"/>
      </w:pPr>
      <w:r>
        <w:t>4.6 H2 — differential ROA (Tables 8, 9; Figures 3, 5)</w:t>
      </w:r>
    </w:p>
    <w:p>
      <w:r>
        <w:drawing>
          <wp:inline xmlns:a="http://schemas.openxmlformats.org/drawingml/2006/main" xmlns:pic="http://schemas.openxmlformats.org/drawingml/2006/picture">
            <wp:extent cx="5029200" cy="3192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a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92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oa_eventstu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**β(Innovation × Post) = +10.78 pp** (cluster-robust SE 12.48; 95% CI [−13.69, 35.24];</w:t>
      </w:r>
    </w:p>
    <w:p>
      <w:pPr>
        <w:pStyle w:val="IntenseQuote"/>
      </w:pPr>
      <w:r>
        <w:t>p = 0.39; **wild-bootstrap p = 0.40**), 12 events, 12 clusters.</w:t>
      </w:r>
    </w:p>
    <w:p>
      <w:r>
        <w:t>Decomposition: alternative post change δ = +2.76 pp; innovation post change δ + β = +13.53</w:t>
      </w:r>
    </w:p>
    <w:p>
      <w:r>
        <w:t>pp. The point estimate is in the hypothesised direction (innovation deals show a more</w:t>
      </w:r>
    </w:p>
    <w:p>
      <w:r>
        <w:t>favourable post-ROA change), but it is not statistically distinguishable from zero and</w:t>
      </w:r>
    </w:p>
    <w:p>
      <w:r>
        <w:t>the interval is very wide. The event study (Figure 5) shows positive but insignificant</w:t>
      </w:r>
    </w:p>
    <w:p>
      <w:r>
        <w:t>post coefficients (+12.0, +9.9, +2.2) and a non-rejected pre-trend test (p = 0.57),</w:t>
      </w:r>
    </w:p>
    <w:p>
      <w:r>
        <w:t>though the pre-period differentials (−2.7, −4.6 pp) are not negligible in magnitude and</w:t>
      </w:r>
    </w:p>
    <w:p>
      <w:r>
        <w:t>counsel caution.</w:t>
      </w:r>
    </w:p>
    <w:p>
      <w:pPr>
        <w:pStyle w:val="Heading1"/>
      </w:pPr>
      <w:r>
        <w:t>4.7 Robustness and sensitivity analyses (Table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Perturbation</w:t>
            </w:r>
          </w:p>
        </w:tc>
        <w:tc>
          <w:tcPr>
            <w:tcW w:type="dxa" w:w="2880"/>
          </w:tcPr>
          <w:p>
            <w:r>
              <w:t>H2 β (ROA)</w:t>
            </w:r>
          </w:p>
        </w:tc>
        <w:tc>
          <w:tcPr>
            <w:tcW w:type="dxa" w:w="2880"/>
          </w:tcPr>
          <w:p>
            <w:r>
              <w:t>H1 β (families)</w:t>
            </w:r>
          </w:p>
        </w:tc>
      </w:tr>
      <w:tr>
        <w:tc>
          <w:tcPr>
            <w:tcW w:type="dxa" w:w="2880"/>
          </w:tcPr>
          <w:p>
            <w:r>
              <w:t>Primary (unique acquirer, ≥2/≥2)</w:t>
            </w:r>
          </w:p>
        </w:tc>
        <w:tc>
          <w:tcPr>
            <w:tcW w:type="dxa" w:w="2880"/>
          </w:tcPr>
          <w:p>
            <w:r>
              <w:t>+10.78</w:t>
            </w:r>
          </w:p>
        </w:tc>
        <w:tc>
          <w:tcPr>
            <w:tcW w:type="dxa" w:w="2880"/>
          </w:tcPr>
          <w:p>
            <w:r>
              <w:t>−0.46</w:t>
            </w:r>
          </w:p>
        </w:tc>
      </w:tr>
      <w:tr>
        <w:tc>
          <w:tcPr>
            <w:tcW w:type="dxa" w:w="2880"/>
          </w:tcPr>
          <w:p>
            <w:r>
              <w:t>Serial acquirers included</w:t>
            </w:r>
          </w:p>
        </w:tc>
        <w:tc>
          <w:tcPr>
            <w:tcW w:type="dxa" w:w="2880"/>
          </w:tcPr>
          <w:p>
            <w:r>
              <w:t>+6.43</w:t>
            </w:r>
          </w:p>
        </w:tc>
        <w:tc>
          <w:tcPr>
            <w:tcW w:type="dxa" w:w="2880"/>
          </w:tcPr>
          <w:p>
            <w:r>
              <w:t>−0.81</w:t>
            </w:r>
          </w:p>
        </w:tc>
      </w:tr>
      <w:tr>
        <w:tc>
          <w:tcPr>
            <w:tcW w:type="dxa" w:w="2880"/>
          </w:tcPr>
          <w:p>
            <w:r>
              <w:t>Balanced 3-pre/3-post</w:t>
            </w:r>
          </w:p>
        </w:tc>
        <w:tc>
          <w:tcPr>
            <w:tcW w:type="dxa" w:w="2880"/>
          </w:tcPr>
          <w:p>
            <w:r>
              <w:t>+10.78</w:t>
            </w:r>
          </w:p>
        </w:tc>
        <w:tc>
          <w:tcPr>
            <w:tcW w:type="dxa" w:w="2880"/>
          </w:tcPr>
          <w:p>
            <w:r>
              <w:t>−1.22</w:t>
            </w:r>
          </w:p>
        </w:tc>
      </w:tr>
      <w:tr>
        <w:tc>
          <w:tcPr>
            <w:tcW w:type="dxa" w:w="2880"/>
          </w:tcPr>
          <w:p>
            <w:r>
              <w:t>Winsorised 1/99 (pre-declared)</w:t>
            </w:r>
          </w:p>
        </w:tc>
        <w:tc>
          <w:tcPr>
            <w:tcW w:type="dxa" w:w="2880"/>
          </w:tcPr>
          <w:p>
            <w:r>
              <w:t>+10.10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Include t0 as post</w:t>
            </w:r>
          </w:p>
        </w:tc>
        <w:tc>
          <w:tcPr>
            <w:tcW w:type="dxa" w:w="2880"/>
          </w:tcPr>
          <w:p>
            <w:r>
              <w:t>+11.29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IHS / PPML (patents)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+0.11 / +0.05</w:t>
            </w:r>
          </w:p>
        </w:tc>
      </w:tr>
      <w:tr>
        <w:tc>
          <w:tcPr>
            <w:tcW w:type="dxa" w:w="2880"/>
          </w:tcPr>
          <w:p>
            <w:r>
              <w:t>Placebo (fake completion t−2, pre-only)</w:t>
            </w:r>
          </w:p>
        </w:tc>
        <w:tc>
          <w:tcPr>
            <w:tcW w:type="dxa" w:w="2880"/>
          </w:tcPr>
          <w:p>
            <w:r>
              <w:t>−3.18 (p 0.77)</w:t>
            </w:r>
          </w:p>
        </w:tc>
        <w:tc>
          <w:tcPr>
            <w:tcW w:type="dxa" w:w="2880"/>
          </w:tcPr>
          <w:p>
            <w:r>
              <w:t>+0.20 (p 0.98)</w:t>
            </w:r>
          </w:p>
        </w:tc>
      </w:tr>
    </w:tbl>
    <w:p>
      <w:r>
        <w:t>All signs are stable; no specification makes either estimate significant. Placebo tests</w:t>
      </w:r>
    </w:p>
    <w:p>
      <w:r>
        <w:t>are correctly near zero. The winsorised and balanced results confirm the H2 point estimate</w:t>
      </w:r>
    </w:p>
    <w:p>
      <w:r>
        <w:t>is not an artefact of a single extreme year, but…</w:t>
      </w:r>
    </w:p>
    <w:p>
      <w:pPr>
        <w:pStyle w:val="Heading1"/>
      </w:pPr>
      <w:r>
        <w:t>4.8 Identification diagnostics and influence (Table 11, Figure 10)</w:t>
      </w:r>
    </w:p>
    <w:p>
      <w:r>
        <w:drawing>
          <wp:inline xmlns:a="http://schemas.openxmlformats.org/drawingml/2006/main" xmlns:pic="http://schemas.openxmlformats.org/drawingml/2006/picture">
            <wp:extent cx="5029200" cy="2030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leave_one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0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Leave-one-acquirer-out analysis reveals that H2 is fragile: dropping Biodexa (a</w:t>
      </w:r>
    </w:p>
    <w:p>
      <w:r>
        <w:t>micro-cap with extreme ROA swings) collapses β from +10.78 to +0.43, while dropping</w:t>
      </w:r>
    </w:p>
    <w:p>
      <w:r>
        <w:t>Roche pushes it to +14.33. The positive H2 signal is therefore driven by a small number</w:t>
      </w:r>
    </w:p>
    <w:p>
      <w:r>
        <w:t>of tiny, volatile acquirers, not a broad-based pattern. H1 is stable across leave-one-out</w:t>
      </w:r>
    </w:p>
    <w:p>
      <w:r>
        <w:t>(β ∈ [−1.59, +1.00]), consistent with its precise-null character. Neither outcome shows a</w:t>
      </w:r>
    </w:p>
    <w:p>
      <w:r>
        <w:t>pre-trend violation, but low power means the pre-trend tests are weak evidence.</w:t>
      </w:r>
    </w:p>
    <w:p>
      <w:pPr>
        <w:pStyle w:val="Heading1"/>
      </w:pPr>
      <w:r>
        <w:t>4.9 Joint interpretation</w:t>
      </w:r>
    </w:p>
    <w:p>
      <w:r>
        <w:t>Taken together, the pattern is H1 ≈ 0 (imprecise null) and H2 &gt; 0 in point estimate but</w:t>
      </w:r>
    </w:p>
    <w:p>
      <w:r>
        <w:t>insignificant and outlier-driven. This is closest to the master framework's "H1 negative</w:t>
      </w:r>
    </w:p>
    <w:p>
      <w:r>
        <w:t>/ null, H2 positive" cell — nominally consistent with an innovation–finance story in which</w:t>
      </w:r>
    </w:p>
    <w:p>
      <w:r>
        <w:t>innovation-driven acquirers realise no additional near-term patent output relative to</w:t>
      </w:r>
    </w:p>
    <w:p>
      <w:r>
        <w:t>other acquirers, while showing a more favourable short-run ROA change — but the evidence</w:t>
      </w:r>
    </w:p>
    <w:p>
      <w:r>
        <w:t>here is far too weak to assert that mechanism. The confidence intervals include zero for</w:t>
      </w:r>
    </w:p>
    <w:p>
      <w:r>
        <w:t>both hypotheses, and the H2 direction hangs on one or two firms.</w:t>
      </w:r>
    </w:p>
    <w:p>
      <w:pPr>
        <w:pStyle w:val="Heading1"/>
      </w:pPr>
      <w:r>
        <w:t>4.10 Summary of findings and readiness status</w:t>
      </w:r>
    </w:p>
    <w:p>
      <w:pPr>
        <w:pStyle w:val="ListBullet"/>
      </w:pPr>
      <w:r>
        <w:t>H1 (patents): Not supported at conventional levels; differential ≈ 0; robust to</w:t>
      </w:r>
    </w:p>
    <w:p>
      <w:r>
        <w:t xml:space="preserve">  PPML/IHS/serial/balanced; pre-trends not rejected. Status: associational, precise-null.</w:t>
      </w:r>
    </w:p>
    <w:p>
      <w:pPr>
        <w:pStyle w:val="ListBullet"/>
      </w:pPr>
      <w:r>
        <w:t>H2 (ROA): Directionally consistent (positive) with the hypothesis but not</w:t>
      </w:r>
    </w:p>
    <w:p>
      <w:r>
        <w:t xml:space="preserve">  statistically significant, wide interval, and driven by influential small acquirers.</w:t>
      </w:r>
    </w:p>
    <w:p>
      <w:r>
        <w:t xml:space="preserve">  Status: associational, not confirmed.</w:t>
      </w:r>
    </w:p>
    <w:p>
      <w:r>
        <w:t>Every number in this chapter is traceable to an exported file in outputs/tables/,</w:t>
      </w:r>
    </w:p>
    <w:p>
      <w:r>
        <w:t>outputs/models/, or outputs/figures/. The models are provisional/associational, not</w:t>
      </w:r>
    </w:p>
    <w:p>
      <w:r>
        <w:t>final causal estimates: the samples are small, coverage is partial, and classification —</w:t>
      </w:r>
    </w:p>
    <w:p>
      <w:r>
        <w:t>though evidence-based — relies on GlobalData-embedded announcement text rather than archived</w:t>
      </w:r>
    </w:p>
    <w:p>
      <w:r>
        <w:t>primary filings (no network access). These constraints, and the classification-error</w:t>
      </w:r>
    </w:p>
    <w:p>
      <w:r>
        <w:t>discussion, are detailed in EMPIRICAL_LIMITATIONS.md.</w:t>
      </w:r>
    </w:p>
    <w:p>
      <w:pPr>
        <w:pStyle w:val="Heading1"/>
      </w:pPr>
      <w:r>
        <w:t>Figure appendix</w:t>
      </w:r>
    </w:p>
    <w:p>
      <w:pPr>
        <w:pStyle w:val="Caption"/>
      </w:pPr>
      <w:r>
        <w:t>fig1_sample_flowchart.png</w:t>
      </w:r>
    </w:p>
    <w:p>
      <w:r>
        <w:drawing>
          <wp:inline xmlns:a="http://schemas.openxmlformats.org/drawingml/2006/main" xmlns:pic="http://schemas.openxmlformats.org/drawingml/2006/picture">
            <wp:extent cx="5029200" cy="5767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ample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fig2_coverage_heatmap.png</w:t>
      </w:r>
    </w:p>
    <w:p>
      <w:r>
        <w:drawing>
          <wp:inline xmlns:a="http://schemas.openxmlformats.org/drawingml/2006/main" xmlns:pic="http://schemas.openxmlformats.org/drawingml/2006/picture">
            <wp:extent cx="5029200" cy="22823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verag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fig7_love_plot.png</w:t>
      </w:r>
    </w:p>
    <w:p>
      <w:r>
        <w:drawing>
          <wp:inline xmlns:a="http://schemas.openxmlformats.org/drawingml/2006/main" xmlns:pic="http://schemas.openxmlformats.org/drawingml/2006/picture">
            <wp:extent cx="5029200" cy="3202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ove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fig8_common_support.png</w:t>
      </w:r>
    </w:p>
    <w:p>
      <w:r>
        <w:drawing>
          <wp:inline xmlns:a="http://schemas.openxmlformats.org/drawingml/2006/main" xmlns:pic="http://schemas.openxmlformats.org/drawingml/2006/picture">
            <wp:extent cx="5029200" cy="20150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ommon_sup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5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fig9_main_coefficients.png</w:t>
      </w:r>
    </w:p>
    <w:p>
      <w:r>
        <w:drawing>
          <wp:inline xmlns:a="http://schemas.openxmlformats.org/drawingml/2006/main" xmlns:pic="http://schemas.openxmlformats.org/drawingml/2006/picture">
            <wp:extent cx="5029200" cy="2259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main_coeffici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94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