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pPr>
      <w:r>
        <w:rPr>
          <w:rFonts w:ascii="Times New Roman" w:hAnsi="Times New Roman" w:cs="Times New Roman"/>
          <w:b/>
          <w:i w:val="0"/>
          <w:sz w:val="32"/>
        </w:rPr>
        <w:t>Summary</w:t>
      </w:r>
    </w:p>
    <w:p>
      <w:pPr>
        <w:spacing w:after="120"/>
        <w:jc w:val="both"/>
      </w:pPr>
      <w:r>
        <w:rPr>
          <w:rFonts w:ascii="Times New Roman" w:hAnsi="Times New Roman" w:cs="Times New Roman"/>
          <w:b w:val="0"/>
          <w:i w:val="0"/>
        </w:rPr>
        <w:t>The pharmaceutical industry depends heavily on external innovation, and mergers and acquisitions have become a principal means by which firms obtain pipelines, technology platforms, and research capabilities. The evidence on whether such transactions create value for acquirers nevertheless remains mixed, and European firm-level studies that separate innovation from financial outcomes are comparatively scarce. This thesis addresses that gap by asking whether innovation-driven acquisitions create value for acquiring firms in the European pharmaceutical industry.</w:t>
      </w:r>
    </w:p>
    <w:p>
      <w:pPr>
        <w:spacing w:after="120"/>
        <w:jc w:val="both"/>
      </w:pPr>
      <w:r>
        <w:rPr>
          <w:rFonts w:ascii="Times New Roman" w:hAnsi="Times New Roman" w:cs="Times New Roman"/>
          <w:b w:val="0"/>
          <w:i w:val="0"/>
        </w:rPr>
        <w:t>The study compares two categories of completed transaction: innovation-driven acquisitions, in which the target contributes a material pre-completion pipeline, platform, or research capability, and alternative-rationale acquisitions, motivated primarily by scale, geography, mature products, or operational efficiency. Because both groups complete an acquisition, the comparison group is not an untreated counterfactual; the estimand is the differential post-versus-pre change associated with an innovation rationale, rather than the effect of acquiring relative to not acquiring. Drawing on transactions completed between 2012 and 2020, and applying a difference-in-differences and event-study framework with inference clustered by acquirer, the analysis examines two outcomes over the three years following completion: annual patent-family output (H1) and Bloomberg standardised return on assets (H2).</w:t>
      </w:r>
    </w:p>
    <w:p>
      <w:pPr>
        <w:spacing w:after="120"/>
        <w:jc w:val="both"/>
      </w:pPr>
      <w:r>
        <w:rPr>
          <w:rFonts w:ascii="Times New Roman" w:hAnsi="Times New Roman" w:cs="Times New Roman"/>
          <w:b w:val="0"/>
          <w:i w:val="0"/>
        </w:rPr>
        <w:t>The results offer only qualified support. H1 is not supported: the analysis does not identify a statistically detectable difference in the patent-family trajectories of the two categories (β = −0.46 families; wild-bootstrap p = 0.82), a finding best characterised as an imprecise null rather than as evidence of equivalence. H2 is directionally consistent with the hypothesis but not statistically significant (β = +10.78 percentage points; wild-bootstrap p = 0.40), and the positive estimate is shown to depend on a small number of influential acquirers. Taken together, the evidence is more consistent with a heterogeneous and conditional account of pharmaceutical-acquisition performance than with a uniform positive or negative effect. The thesis contributes an observable, evidence-based classification of acquisition rationale and a common framework for examining innovation and financial outcomes jointly, while remaining candid about the constraints imposed by small samples and partial data coverage.</w:t>
      </w:r>
    </w:p>
    <w:p>
      <w:pPr>
        <w:spacing w:after="120"/>
        <w:jc w:val="both"/>
      </w:pPr>
      <w:r>
        <w:rPr>
          <w:rFonts w:ascii="Times New Roman" w:hAnsi="Times New Roman" w:cs="Times New Roman"/>
          <w:b w:val="0"/>
          <w:i/>
        </w:rPr>
        <w:t>Keywords: innovation-driven acquisitions; European pharmaceutical industry; difference-in-differences; patent families; return on assets; innovation–finance divergence.</w:t>
      </w:r>
    </w:p>
    <w:p>
      <w:pPr>
        <w:pageBreakBefore/>
        <w:spacing w:after="240"/>
      </w:pPr>
      <w:r>
        <w:rPr>
          <w:rFonts w:ascii="Times New Roman" w:hAnsi="Times New Roman" w:cs="Times New Roman"/>
          <w:b/>
          <w:i w:val="0"/>
          <w:sz w:val="32"/>
        </w:rPr>
        <w:t>Acknowledgements</w:t>
      </w:r>
    </w:p>
    <w:p>
      <w:pPr>
        <w:spacing w:after="120"/>
        <w:jc w:val="both"/>
      </w:pPr>
      <w:r>
        <w:rPr>
          <w:rFonts w:ascii="Times New Roman" w:hAnsi="Times New Roman" w:cs="Times New Roman"/>
          <w:b w:val="0"/>
          <w:i w:val="0"/>
        </w:rPr>
        <w:t>I would like to express my sincere gratitude to my supervisor, Dr. Fazal Muhammad, Professor of Finance, whose guidance, patience, and thoughtful feedback have been invaluable throughout the preparation of this thesis. His encouragement to reason carefully about identification and to interpret the evidence with appropriate caution has shaped both the design and the tone of this work.</w:t>
      </w:r>
    </w:p>
    <w:p>
      <w:pPr>
        <w:spacing w:after="120"/>
        <w:jc w:val="both"/>
      </w:pPr>
      <w:r>
        <w:rPr>
          <w:rFonts w:ascii="Times New Roman" w:hAnsi="Times New Roman" w:cs="Times New Roman"/>
          <w:b w:val="0"/>
          <w:i w:val="0"/>
        </w:rPr>
        <w:t>I am also grateful to the faculty and staff of KEDGE Business School, and in particular to the Master in Management programme in Corporate and Market Finance, for the academic environment and resources that made this research possible.</w:t>
      </w:r>
    </w:p>
    <w:p>
      <w:pPr>
        <w:spacing w:after="120"/>
        <w:jc w:val="both"/>
      </w:pPr>
      <w:r>
        <w:rPr>
          <w:rFonts w:ascii="Times New Roman" w:hAnsi="Times New Roman" w:cs="Times New Roman"/>
          <w:b w:val="0"/>
          <w:i w:val="0"/>
        </w:rPr>
        <w:t>My thanks extend to my fellow students and colleagues, whose discussions and comments helped to refine my thinking at several stages of the project.</w:t>
      </w:r>
    </w:p>
    <w:p>
      <w:pPr>
        <w:spacing w:after="120"/>
        <w:jc w:val="both"/>
      </w:pPr>
      <w:r>
        <w:rPr>
          <w:rFonts w:ascii="Times New Roman" w:hAnsi="Times New Roman" w:cs="Times New Roman"/>
          <w:b w:val="0"/>
          <w:i w:val="0"/>
        </w:rPr>
        <w:t>Finally, I owe a deep debt of gratitude to my family and friends for their unwavering support, patience, and encouragement over the course of my studies. This work would not have been possible without them.</w:t>
      </w:r>
    </w:p>
    <w:p>
      <w:pPr>
        <w:spacing w:after="120"/>
        <w:jc w:val="both"/>
      </w:pPr>
      <w:r>
        <w:rPr>
          <w:rFonts w:ascii="Times New Roman" w:hAnsi="Times New Roman" w:cs="Times New Roman"/>
          <w:b w:val="0"/>
          <w:i w:val="0"/>
        </w:rPr>
        <w:t>Any remaining errors are my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