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4F" w:rsidRPr="00697E4F" w:rsidRDefault="00697E4F" w:rsidP="00697E4F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697E4F">
        <w:rPr>
          <w:rFonts w:ascii="Times New Roman" w:hAnsi="Times New Roman" w:cs="Times New Roman"/>
          <w:b/>
          <w:sz w:val="32"/>
          <w:szCs w:val="28"/>
        </w:rPr>
        <w:t>Summary</w:t>
      </w:r>
    </w:p>
    <w:p w:rsidR="00CE4062" w:rsidRPr="00697E4F" w:rsidRDefault="00697E4F" w:rsidP="00697E4F">
      <w:pPr>
        <w:jc w:val="both"/>
        <w:rPr>
          <w:rFonts w:ascii="Times New Roman" w:hAnsi="Times New Roman" w:cs="Times New Roman"/>
          <w:sz w:val="28"/>
          <w:szCs w:val="28"/>
        </w:rPr>
      </w:pPr>
      <w:r w:rsidRPr="00697E4F">
        <w:rPr>
          <w:rFonts w:ascii="Times New Roman" w:hAnsi="Times New Roman" w:cs="Times New Roman"/>
          <w:sz w:val="28"/>
          <w:szCs w:val="28"/>
        </w:rPr>
        <w:t>The objective of the Project is to promote economic growth by improving the performance of the railway sector. This will be done by (</w:t>
      </w:r>
      <w:proofErr w:type="spellStart"/>
      <w:r w:rsidRPr="00697E4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97E4F">
        <w:rPr>
          <w:rFonts w:ascii="Times New Roman" w:hAnsi="Times New Roman" w:cs="Times New Roman"/>
          <w:sz w:val="28"/>
          <w:szCs w:val="28"/>
        </w:rPr>
        <w:t>) implementing a program of organizational and policy reforms to improve BR's commercial orientation; and (ii) financing priority investments to overcome capacity bottlenecks in sectors where such investments are both economically and financially viable e.g. the Dhaka-Chittagong corridor.</w:t>
      </w:r>
    </w:p>
    <w:sectPr w:rsidR="00CE4062" w:rsidRPr="0069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97E4F"/>
    <w:rsid w:val="00697E4F"/>
    <w:rsid w:val="00CE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2015-08-22T11:55:00Z</dcterms:created>
  <dcterms:modified xsi:type="dcterms:W3CDTF">2015-08-22T11:55:00Z</dcterms:modified>
</cp:coreProperties>
</file>