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48" w:rsidRPr="00E63848" w:rsidRDefault="00E63848" w:rsidP="00E63848">
      <w:pPr>
        <w:rPr>
          <w:rFonts w:ascii="Times New Roman" w:hAnsi="Times New Roman" w:cs="Times New Roman"/>
          <w:b/>
          <w:sz w:val="32"/>
        </w:rPr>
      </w:pPr>
      <w:r w:rsidRPr="00E63848">
        <w:rPr>
          <w:rFonts w:ascii="Times New Roman" w:hAnsi="Times New Roman" w:cs="Times New Roman"/>
          <w:b/>
          <w:sz w:val="32"/>
        </w:rPr>
        <w:t>Summary</w:t>
      </w:r>
    </w:p>
    <w:p w:rsidR="00E63848" w:rsidRPr="00E63848" w:rsidRDefault="00E63848" w:rsidP="00E63848">
      <w:pPr>
        <w:rPr>
          <w:rFonts w:ascii="Times New Roman" w:hAnsi="Times New Roman" w:cs="Times New Roman"/>
          <w:sz w:val="28"/>
        </w:rPr>
      </w:pPr>
      <w:r w:rsidRPr="00E63848">
        <w:rPr>
          <w:rFonts w:ascii="Times New Roman" w:hAnsi="Times New Roman" w:cs="Times New Roman"/>
          <w:sz w:val="28"/>
        </w:rPr>
        <w:t>The Public-Private Infrastructure Development Facility (PPIDF) includes and $82 million loan from ADB's ordinary capital resources (OCR), an $83 million equivalent loan from ADB's special funds resources and a technical assistance grant of $500,000 for capacity building and supporting project implementation.</w:t>
      </w:r>
    </w:p>
    <w:p w:rsidR="00E63848" w:rsidRPr="00E63848" w:rsidRDefault="00E63848" w:rsidP="00E63848">
      <w:pPr>
        <w:rPr>
          <w:rFonts w:ascii="Times New Roman" w:hAnsi="Times New Roman" w:cs="Times New Roman"/>
          <w:sz w:val="28"/>
        </w:rPr>
      </w:pPr>
      <w:r w:rsidRPr="00E63848">
        <w:rPr>
          <w:rFonts w:ascii="Times New Roman" w:hAnsi="Times New Roman" w:cs="Times New Roman"/>
          <w:sz w:val="28"/>
        </w:rPr>
        <w:t>Component A will use ADB's OCR funds of $82 million to provide financing to the Government of Bangladesh for relending to the Infrastructure Development Company Limited (IDCOL) to finance private sector-sponsored large infrastructure subprojects with a subproject size of more than $30 million.</w:t>
      </w:r>
    </w:p>
    <w:p w:rsidR="00CF0B75" w:rsidRPr="00E63848" w:rsidRDefault="00E63848" w:rsidP="00E63848">
      <w:pPr>
        <w:rPr>
          <w:rFonts w:ascii="Times New Roman" w:hAnsi="Times New Roman" w:cs="Times New Roman"/>
          <w:sz w:val="28"/>
        </w:rPr>
      </w:pPr>
      <w:r w:rsidRPr="00E63848">
        <w:rPr>
          <w:rFonts w:ascii="Times New Roman" w:hAnsi="Times New Roman" w:cs="Times New Roman"/>
          <w:sz w:val="28"/>
        </w:rPr>
        <w:t xml:space="preserve">Component B will provide ADF support of $50 million equivalent to the Government for relending in local currency to IDCOL to finance small and medium-sized infrastructure subprojects primarily located in rural and </w:t>
      </w:r>
      <w:proofErr w:type="spellStart"/>
      <w:r w:rsidRPr="00E63848">
        <w:rPr>
          <w:rFonts w:ascii="Times New Roman" w:hAnsi="Times New Roman" w:cs="Times New Roman"/>
          <w:sz w:val="28"/>
        </w:rPr>
        <w:t>semiurban</w:t>
      </w:r>
      <w:proofErr w:type="spellEnd"/>
      <w:r w:rsidRPr="00E63848">
        <w:rPr>
          <w:rFonts w:ascii="Times New Roman" w:hAnsi="Times New Roman" w:cs="Times New Roman"/>
          <w:sz w:val="28"/>
        </w:rPr>
        <w:t xml:space="preserve"> areas, especially in the energy sector.</w:t>
      </w:r>
    </w:p>
    <w:sectPr w:rsidR="00CF0B75" w:rsidRPr="00E6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63848"/>
    <w:rsid w:val="00CF0B75"/>
    <w:rsid w:val="00E63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2015-08-22T11:44:00Z</dcterms:created>
  <dcterms:modified xsi:type="dcterms:W3CDTF">2015-08-22T11:44:00Z</dcterms:modified>
</cp:coreProperties>
</file>