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34C" w:rsidRPr="00C068FE" w:rsidRDefault="00C068FE" w:rsidP="00C068FE">
      <w:pPr>
        <w:jc w:val="both"/>
        <w:rPr>
          <w:rFonts w:ascii="Times New Roman" w:hAnsi="Times New Roman" w:cs="Times New Roman"/>
          <w:sz w:val="24"/>
          <w:szCs w:val="24"/>
        </w:rPr>
      </w:pPr>
      <w:r w:rsidRPr="00C068FE">
        <w:rPr>
          <w:rFonts w:ascii="Times New Roman" w:hAnsi="Times New Roman" w:cs="Times New Roman"/>
          <w:sz w:val="24"/>
          <w:szCs w:val="24"/>
        </w:rPr>
        <w:t xml:space="preserve">The Second Urban Governance and Infrastructure Improvement (Sector) Project (the Project) supports the improvement of urban governance and of infrastructure and service delivery in </w:t>
      </w:r>
      <w:proofErr w:type="spellStart"/>
      <w:r w:rsidRPr="00C068FE">
        <w:rPr>
          <w:rFonts w:ascii="Times New Roman" w:hAnsi="Times New Roman" w:cs="Times New Roman"/>
          <w:sz w:val="24"/>
          <w:szCs w:val="24"/>
        </w:rPr>
        <w:t>pourashavas</w:t>
      </w:r>
      <w:proofErr w:type="spellEnd"/>
      <w:r w:rsidRPr="00C068FE">
        <w:rPr>
          <w:rFonts w:ascii="Times New Roman" w:hAnsi="Times New Roman" w:cs="Times New Roman"/>
          <w:sz w:val="24"/>
          <w:szCs w:val="24"/>
        </w:rPr>
        <w:t xml:space="preserve"> (secondary towns). The Project adopts the performance-based allocation of investment funds as an incentive mechanism for governance reform. Performance criteria are defined in six key areas of urban governance: (</w:t>
      </w:r>
      <w:proofErr w:type="spellStart"/>
      <w:r w:rsidRPr="00C068FE">
        <w:rPr>
          <w:rFonts w:ascii="Times New Roman" w:hAnsi="Times New Roman" w:cs="Times New Roman"/>
          <w:sz w:val="24"/>
          <w:szCs w:val="24"/>
        </w:rPr>
        <w:t>i</w:t>
      </w:r>
      <w:proofErr w:type="spellEnd"/>
      <w:r w:rsidRPr="00C068FE">
        <w:rPr>
          <w:rFonts w:ascii="Times New Roman" w:hAnsi="Times New Roman" w:cs="Times New Roman"/>
          <w:sz w:val="24"/>
          <w:szCs w:val="24"/>
        </w:rPr>
        <w:t xml:space="preserve">) citizen awareness and participation, (ii) urban planning, (iii) </w:t>
      </w:r>
      <w:proofErr w:type="spellStart"/>
      <w:r w:rsidRPr="00C068FE">
        <w:rPr>
          <w:rFonts w:ascii="Times New Roman" w:hAnsi="Times New Roman" w:cs="Times New Roman"/>
          <w:sz w:val="24"/>
          <w:szCs w:val="24"/>
        </w:rPr>
        <w:t>womens</w:t>
      </w:r>
      <w:proofErr w:type="spellEnd"/>
      <w:r w:rsidRPr="00C068FE">
        <w:rPr>
          <w:rFonts w:ascii="Times New Roman" w:hAnsi="Times New Roman" w:cs="Times New Roman"/>
          <w:sz w:val="24"/>
          <w:szCs w:val="24"/>
        </w:rPr>
        <w:t xml:space="preserve"> participation, (iv) integration of the urban poor, (v) financial accountability and sustainability, and (vi) administrative transparency. Investment funds will be utilized to improve municipal transport, drainage, solid waste management, water supply, sanitation, municipal facilities, and basic services in slums. The project design is based on the lessons from the ongoing Urban Governance and Infrastructure Improvement (Sector) Project (UGIIP-1).</w:t>
      </w:r>
    </w:p>
    <w:sectPr w:rsidR="009B234C" w:rsidRPr="00C068FE" w:rsidSect="009B23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068FE"/>
    <w:rsid w:val="009B234C"/>
    <w:rsid w:val="00C06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2015-08-22T15:15:00Z</dcterms:created>
  <dcterms:modified xsi:type="dcterms:W3CDTF">2015-08-22T15:15:00Z</dcterms:modified>
</cp:coreProperties>
</file>