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E1" w:rsidRPr="007877E1" w:rsidRDefault="007877E1" w:rsidP="007877E1">
      <w:pPr>
        <w:jc w:val="both"/>
        <w:rPr>
          <w:rFonts w:ascii="Times New Roman" w:hAnsi="Times New Roman" w:cs="Times New Roman"/>
          <w:b/>
          <w:sz w:val="32"/>
        </w:rPr>
      </w:pPr>
      <w:r w:rsidRPr="007877E1">
        <w:rPr>
          <w:rFonts w:ascii="Times New Roman" w:hAnsi="Times New Roman" w:cs="Times New Roman"/>
          <w:b/>
          <w:sz w:val="32"/>
        </w:rPr>
        <w:t>Summary</w:t>
      </w:r>
    </w:p>
    <w:p w:rsidR="00513A2F" w:rsidRPr="007877E1" w:rsidRDefault="007877E1" w:rsidP="007877E1">
      <w:pPr>
        <w:jc w:val="both"/>
        <w:rPr>
          <w:rFonts w:ascii="Times New Roman" w:hAnsi="Times New Roman" w:cs="Times New Roman"/>
          <w:sz w:val="28"/>
        </w:rPr>
      </w:pPr>
      <w:r w:rsidRPr="007877E1">
        <w:rPr>
          <w:rFonts w:ascii="Times New Roman" w:hAnsi="Times New Roman" w:cs="Times New Roman"/>
          <w:sz w:val="28"/>
        </w:rPr>
        <w:t>The project will contribute to develop a sustainable urban transport system (UTS) in GCC, which forms part of north Greater Dhaka, through the delivery of a 20-kilometer (km) bus rapid transit (BRT) corridor. This pilot project provides a holistic solution for integrated urban mobility, bearing a demonstration effect as no modern mass transit system exists in Bangladesh yet.</w:t>
      </w:r>
    </w:p>
    <w:sectPr w:rsidR="00513A2F" w:rsidRPr="0078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877E1"/>
    <w:rsid w:val="00513A2F"/>
    <w:rsid w:val="0078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2015-08-22T10:45:00Z</dcterms:created>
  <dcterms:modified xsi:type="dcterms:W3CDTF">2015-08-22T10:45:00Z</dcterms:modified>
</cp:coreProperties>
</file>