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05B" w:rsidRPr="00CA305B" w:rsidRDefault="00CA305B" w:rsidP="00CA305B">
      <w:pPr>
        <w:jc w:val="both"/>
        <w:rPr>
          <w:rFonts w:ascii="Times New Roman" w:hAnsi="Times New Roman" w:cs="Times New Roman"/>
          <w:b/>
          <w:sz w:val="28"/>
        </w:rPr>
      </w:pPr>
      <w:r w:rsidRPr="00CA305B">
        <w:rPr>
          <w:rFonts w:ascii="Times New Roman" w:hAnsi="Times New Roman" w:cs="Times New Roman"/>
          <w:b/>
          <w:sz w:val="28"/>
        </w:rPr>
        <w:t>Summary</w:t>
      </w:r>
    </w:p>
    <w:p w:rsidR="006F2D3F" w:rsidRPr="00CA305B" w:rsidRDefault="00CA305B" w:rsidP="00CA305B">
      <w:pPr>
        <w:jc w:val="both"/>
        <w:rPr>
          <w:rFonts w:ascii="Times New Roman" w:hAnsi="Times New Roman" w:cs="Times New Roman"/>
          <w:sz w:val="28"/>
        </w:rPr>
      </w:pPr>
      <w:r w:rsidRPr="00CA305B">
        <w:rPr>
          <w:rFonts w:ascii="Times New Roman" w:hAnsi="Times New Roman" w:cs="Times New Roman"/>
          <w:sz w:val="28"/>
        </w:rPr>
        <w:t>With the approval of the National Education Policy (NEP), the government has embarked on a comprehensive reform process to strengthen access, quality, equity and relevance of education in Bangladesh. In 2011 a new phase of the primary education reform program started, with ADB as one of the key partners. The TQI-I and TQI-II projects are core building blocks to strengthen quality of secondary education in line with the reforms proposed in the NEP.</w:t>
      </w:r>
    </w:p>
    <w:sectPr w:rsidR="006F2D3F" w:rsidRPr="00CA3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CA305B"/>
    <w:rsid w:val="006F2D3F"/>
    <w:rsid w:val="00CA3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1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</dc:creator>
  <cp:lastModifiedBy>rezwan</cp:lastModifiedBy>
  <cp:revision>2</cp:revision>
  <dcterms:created xsi:type="dcterms:W3CDTF">2015-08-22T11:05:00Z</dcterms:created>
  <dcterms:modified xsi:type="dcterms:W3CDTF">2015-08-22T11:05:00Z</dcterms:modified>
</cp:coreProperties>
</file>