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3C7438" w:rsidRDefault="003C7438" w:rsidP="003C7438">
      <w:pPr>
        <w:rPr>
          <w:rFonts w:ascii="Times New Roman" w:hAnsi="Times New Roman" w:cs="Times New Roman"/>
          <w:b/>
          <w:sz w:val="32"/>
        </w:rPr>
      </w:pPr>
      <w:r w:rsidRPr="003C7438">
        <w:rPr>
          <w:rFonts w:ascii="Times New Roman" w:hAnsi="Times New Roman" w:cs="Times New Roman"/>
          <w:b/>
          <w:sz w:val="32"/>
        </w:rPr>
        <w:t>Summary</w:t>
      </w:r>
    </w:p>
    <w:p w:rsidR="00051143" w:rsidRPr="003C7438" w:rsidRDefault="003C7438" w:rsidP="003C7438">
      <w:pPr>
        <w:rPr>
          <w:rFonts w:ascii="Times New Roman" w:hAnsi="Times New Roman" w:cs="Times New Roman"/>
          <w:sz w:val="28"/>
        </w:rPr>
      </w:pPr>
      <w:r w:rsidRPr="003C7438">
        <w:rPr>
          <w:rFonts w:ascii="Times New Roman" w:hAnsi="Times New Roman" w:cs="Times New Roman"/>
          <w:sz w:val="28"/>
        </w:rPr>
        <w:t>The TA will continue earlier support (see below) over a longer period and in a more targeted way primarily (</w:t>
      </w:r>
      <w:proofErr w:type="spellStart"/>
      <w:r w:rsidRPr="003C7438">
        <w:rPr>
          <w:rFonts w:ascii="Times New Roman" w:hAnsi="Times New Roman" w:cs="Times New Roman"/>
          <w:sz w:val="28"/>
        </w:rPr>
        <w:t>i</w:t>
      </w:r>
      <w:proofErr w:type="spellEnd"/>
      <w:r w:rsidRPr="003C7438">
        <w:rPr>
          <w:rFonts w:ascii="Times New Roman" w:hAnsi="Times New Roman" w:cs="Times New Roman"/>
          <w:sz w:val="28"/>
        </w:rPr>
        <w:t>) addressing identified weak capacities of implementing/executing agencies (EA), line ministries, Foreign Aided Projects Audit Directorate, and Planning Ministry in project preparation, approval, monitoring and implementation; (ii) identifying and addressing bottlenecks/gaps; and (iii) support system development. This will lead to timely and early government approval of ADB projects; reduced time for contracting, land acquisition and resettlement; reduced start-up delays; improved governance and raised contract and disbursement ratios.</w:t>
      </w:r>
    </w:p>
    <w:sectPr w:rsidR="00051143" w:rsidRPr="003C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C7438"/>
    <w:rsid w:val="00051143"/>
    <w:rsid w:val="003C7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2015-08-22T09:29:00Z</dcterms:created>
  <dcterms:modified xsi:type="dcterms:W3CDTF">2015-08-22T09:29:00Z</dcterms:modified>
</cp:coreProperties>
</file>