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Roboto Mono" w:cs="Roboto Mono" w:eastAsia="Roboto Mono" w:hAnsi="Roboto Mono"/>
          <w:color w:val="666666"/>
          <w:sz w:val="18"/>
          <w:szCs w:val="18"/>
        </w:rPr>
        <w:t xml:space="preserve">OPTIMIZELY — CMS &amp; DAM DEMO PROJECT PLAN</w:t>
      </w:r>
    </w:p>
    <w:p>
      <w:pPr>
        <w:pStyle w:val="Title"/>
        <w:spacing w:after="100"/>
      </w:pPr>
      <w:r>
        <w:rPr>
          <w:rFonts w:ascii="Roboto Condensed" w:cs="Roboto Condensed" w:eastAsia="Roboto Condensed" w:hAnsi="Roboto Condensed"/>
          <w:b/>
          <w:bCs/>
          <w:color w:val="08251A"/>
          <w:sz w:val="44"/>
          <w:szCs w:val="44"/>
        </w:rPr>
        <w:t xml:space="preserve">Länsförsäkringar Demo Environment</w:t>
      </w:r>
    </w:p>
    <w:p>
      <w:pPr>
        <w:spacing w:after="200"/>
      </w:pPr>
      <w:r>
        <w:rPr>
          <w:rFonts w:ascii="Roboto Mono" w:cs="Roboto Mono" w:eastAsia="Roboto Mono" w:hAnsi="Roboto Mono"/>
          <w:color w:val="666666"/>
          <w:sz w:val="18"/>
          <w:szCs w:val="18"/>
        </w:rPr>
        <w:t xml:space="preserve">Kick-off held — build sprint: Week 35–36  |  Owner: Md Tarek Rahman</w:t>
      </w:r>
    </w:p>
    <w:p>
      <w:pPr>
        <w:pStyle w:val="Heading1"/>
        <w:spacing w:after="150" w:before="300"/>
      </w:pPr>
      <w:r>
        <w:rPr>
          <w:rFonts w:ascii="Roboto Condensed" w:cs="Roboto Condensed" w:eastAsia="Roboto Condensed" w:hAnsi="Roboto Condensed"/>
          <w:b/>
          <w:bCs/>
          <w:color w:val="08251A"/>
        </w:rPr>
        <w:t xml:space="preserve">1. Context</w:t>
      </w:r>
    </w:p>
    <w:p>
      <w:pPr>
        <w:spacing w:after="120"/>
      </w:pPr>
      <w:r>
        <w:rPr>
          <w:rFonts w:ascii="Roboto" w:cs="Roboto" w:eastAsia="Roboto" w:hAnsi="Roboto"/>
          <w:color w:val="3C3C3C"/>
        </w:rPr>
        <w:t xml:space="preserve">Länsförsäkringar (LF) is defining its target architecture for the next 5–10 years across CMS, CRM, CDP, CSM and DAM. LF selected other vendors for CRM/CDP but has shortlisted Optimizely (and likely one other vendor) for CMS and DAM. They currently run CMS 12 on-prem; the goal is to move them to SaaS CMS 13.</w:t>
      </w:r>
    </w:p>
    <w:p>
      <w:pPr>
        <w:spacing w:after="120"/>
      </w:pPr>
      <w:r>
        <w:rPr>
          <w:rFonts w:ascii="Roboto" w:cs="Roboto" w:eastAsia="Roboto" w:hAnsi="Roboto"/>
          <w:color w:val="3C3C3C"/>
        </w:rPr>
        <w:t xml:space="preserve">A dedicated demo tenant will be built by re-skinning the existing bank demo (bank.optimizely-demos.com) toward LF's brand, with a self-service sandbox LF stakeholders can explore after a series of workshops.</w:t>
      </w:r>
    </w:p>
    <w:p>
      <w:pPr>
        <w:pStyle w:val="Heading1"/>
        <w:spacing w:after="150" w:before="300"/>
      </w:pPr>
      <w:r>
        <w:rPr>
          <w:rFonts w:ascii="Roboto Condensed" w:cs="Roboto Condensed" w:eastAsia="Roboto Condensed" w:hAnsi="Roboto Condensed"/>
          <w:b/>
          <w:bCs/>
          <w:color w:val="08251A"/>
        </w:rPr>
        <w:t xml:space="preserve">2.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ABFF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/>
                <w:bCs/>
                <w:color w:val="08251A"/>
                <w:sz w:val="20"/>
                <w:szCs w:val="20"/>
              </w:rPr>
              <w:t xml:space="preserve">Week</w:t>
            </w:r>
          </w:p>
        </w:tc>
        <w:tc>
          <w:tcPr>
            <w:tcW w:type="dxa" w:w="6800"/>
            <w:shd w:fill="ABFF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/>
                <w:bCs/>
                <w:color w:val="08251A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Wk 34 (this week)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Kick-off held. Tenant provisioning request raised. Repo forked.</w:t>
            </w:r>
          </w:p>
        </w:tc>
      </w:tr>
      <w:tr>
        <w:tc>
          <w:tcPr>
            <w:tcW w:type="dxa" w:w="22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Wk 35</w:t>
            </w:r>
          </w:p>
        </w:tc>
        <w:tc>
          <w:tcPr>
            <w:tcW w:type="dxa" w:w="68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Product enablement complete (CMS 13, CMP, DAM, Forms, EXP, Opal, Graph). Branding tokens + IA applied. DAM populated. Multi-site skeleton (global + Stockholm + Skåne) live.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Wk 36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Calculators built and wired to Graph. Forms, Translations, Personalization, Experimentation showcases complete. Integration wiring (CMS↔Graph↔DAM↔CMP↔EXP↔Forms↔Opal) finished. Customer invite + sandbox doc sent.</w:t>
            </w:r>
          </w:p>
        </w:tc>
      </w:tr>
      <w:tr>
        <w:tc>
          <w:tcPr>
            <w:tcW w:type="dxa" w:w="22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Wk 37+</w:t>
            </w:r>
          </w:p>
        </w:tc>
        <w:tc>
          <w:tcPr>
            <w:tcW w:type="dxa" w:w="68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Workshops with LF stakeholders. LF self-service scenarios. Iterate on feedback.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Roboto Condensed" w:cs="Roboto Condensed" w:eastAsia="Roboto Condensed" w:hAnsi="Roboto Condensed"/>
          <w:b/>
          <w:bCs/>
          <w:color w:val="08251A"/>
        </w:rPr>
        <w:t xml:space="preserve">3. Workstream tracker</w:t>
      </w:r>
    </w:p>
    <w:p>
      <w:pPr>
        <w:spacing w:after="120"/>
      </w:pPr>
      <w:r>
        <w:rPr>
          <w:rFonts w:ascii="Roboto" w:cs="Roboto" w:eastAsia="Roboto" w:hAnsi="Roboto"/>
          <w:color w:val="3C3C3C"/>
        </w:rPr>
        <w:t xml:space="preserve">Repo-buildable work can proceed in this codebase now. Non-repo items require an internal Optimizely provisioning/ops request and are outside what can be done directly in the repository.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400"/>
        <w:gridCol w:w="2300"/>
      </w:tblGrid>
      <w:tr>
        <w:tc>
          <w:tcPr>
            <w:tcW w:type="dxa" w:w="700"/>
            <w:shd w:fill="ABFF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/>
                <w:bCs/>
                <w:color w:val="08251A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ABFF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/>
                <w:bCs/>
                <w:color w:val="08251A"/>
                <w:sz w:val="20"/>
                <w:szCs w:val="20"/>
              </w:rPr>
              <w:t xml:space="preserve">Workstream</w:t>
            </w:r>
          </w:p>
        </w:tc>
        <w:tc>
          <w:tcPr>
            <w:tcW w:type="dxa" w:w="2400"/>
            <w:shd w:fill="ABFF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/>
                <w:bCs/>
                <w:color w:val="08251A"/>
                <w:sz w:val="20"/>
                <w:szCs w:val="20"/>
              </w:rPr>
              <w:t xml:space="preserve">Repo / Non-repo</w:t>
            </w:r>
          </w:p>
        </w:tc>
        <w:tc>
          <w:tcPr>
            <w:tcW w:type="dxa" w:w="2300"/>
            <w:shd w:fill="ABFF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/>
                <w:bCs/>
                <w:color w:val="08251A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Tenant &amp; provisioning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Non-repo (ops)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Customer access &amp; sandbox onboarding</w:t>
            </w:r>
          </w:p>
        </w:tc>
        <w:tc>
          <w:tcPr>
            <w:tcW w:type="dxa" w:w="24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Non-repo (ops)</w:t>
            </w:r>
          </w:p>
        </w:tc>
        <w:tc>
          <w:tcPr>
            <w:tcW w:type="dxa" w:w="23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Repo &amp; environment access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Repo/ops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Branding &amp; visual alignment to LF</w:t>
            </w:r>
          </w:p>
        </w:tc>
        <w:tc>
          <w:tcPr>
            <w:tcW w:type="dxa" w:w="24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Repo</w:t>
            </w:r>
          </w:p>
        </w:tc>
        <w:tc>
          <w:tcPr>
            <w:tcW w:type="dxa" w:w="23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#3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DAM showcase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Repo + tenant config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#1, #12</w:t>
            </w:r>
          </w:p>
        </w:tc>
      </w:tr>
      <w:tr>
        <w:tc>
          <w:tcPr>
            <w:tcW w:type="dxa" w:w="7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Forms showcase</w:t>
            </w:r>
          </w:p>
        </w:tc>
        <w:tc>
          <w:tcPr>
            <w:tcW w:type="dxa" w:w="24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Repo + tenant config</w:t>
            </w:r>
          </w:p>
        </w:tc>
        <w:tc>
          <w:tcPr>
            <w:tcW w:type="dxa" w:w="23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#1, #12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Translations showcase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Repo + tenant config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#1, #12</w:t>
            </w:r>
          </w:p>
        </w:tc>
      </w:tr>
      <w:tr>
        <w:tc>
          <w:tcPr>
            <w:tcW w:type="dxa" w:w="7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Multi-site / global-local components</w:t>
            </w:r>
          </w:p>
        </w:tc>
        <w:tc>
          <w:tcPr>
            <w:tcW w:type="dxa" w:w="24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Repo + tenant config</w:t>
            </w:r>
          </w:p>
        </w:tc>
        <w:tc>
          <w:tcPr>
            <w:tcW w:type="dxa" w:w="23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#1, #12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Personalization showcase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Repo + tenant config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#1, #12</w:t>
            </w:r>
          </w:p>
        </w:tc>
      </w:tr>
      <w:tr>
        <w:tc>
          <w:tcPr>
            <w:tcW w:type="dxa" w:w="7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Experimentation showcase</w:t>
            </w:r>
          </w:p>
        </w:tc>
        <w:tc>
          <w:tcPr>
            <w:tcW w:type="dxa" w:w="24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Repo + tenant config</w:t>
            </w:r>
          </w:p>
        </w:tc>
        <w:tc>
          <w:tcPr>
            <w:tcW w:type="dxa" w:w="23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#1, #12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Calculators (1-2)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Repo</w:t>
            </w:r>
          </w:p>
        </w:tc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#1, #3, #12</w:t>
            </w:r>
          </w:p>
        </w:tc>
      </w:tr>
      <w:tr>
        <w:tc>
          <w:tcPr>
            <w:tcW w:type="dxa" w:w="7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Product integration &amp; architecture wiring</w:t>
            </w:r>
          </w:p>
        </w:tc>
        <w:tc>
          <w:tcPr>
            <w:tcW w:type="dxa" w:w="24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Repo + tenant config</w:t>
            </w:r>
          </w:p>
        </w:tc>
        <w:tc>
          <w:tcPr>
            <w:tcW w:type="dxa" w:w="2300"/>
            <w:shd w:fill="E4F0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08251A"/>
                <w:sz w:val="20"/>
                <w:szCs w:val="20"/>
              </w:rPr>
              <w:t xml:space="preserve">#1  (sequence early — blocks 5-11)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Roboto Condensed" w:cs="Roboto Condensed" w:eastAsia="Roboto Condensed" w:hAnsi="Roboto Condensed"/>
          <w:b/>
          <w:bCs/>
          <w:color w:val="08251A"/>
        </w:rPr>
        <w:t xml:space="preserve">4. Tenant &amp; provisioning (non-repo)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Raise request for a dedicated Opti ID tenant (e.g. lansforsakringar-demo).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Enable and verify: SaaS CMS (v13), CMP, DAM, Forms, Experimentation (Web + Feature), Opal, 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Confirm data retention / teardown plan for the tenant after the evaluation.</w:t>
      </w:r>
    </w:p>
    <w:p>
      <w:pPr>
        <w:pStyle w:val="Heading2"/>
        <w:spacing w:after="150" w:before="300"/>
      </w:pPr>
      <w:r>
        <w:rPr>
          <w:rFonts w:ascii="Roboto Condensed" w:cs="Roboto Condensed" w:eastAsia="Roboto Condensed" w:hAnsi="Roboto Condensed"/>
          <w:b/>
          <w:bCs/>
          <w:color w:val="08251A"/>
        </w:rPr>
        <w:t xml:space="preserve">5. Customer access (non-repo)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Get the list of LF stakeholders to invite (ask William/David for names + roles).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Test the invite flow end-to-end with an external email address before sending to 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Confirm the SSO story: LF requires Entra/M365 SSO with Entra-group-based provisioning; be ready to explain this even if the demo tenant uses plain Opti ID logins.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Write a one-page "getting started in the sandbox" doc (URLs, logins, what to try, who to contact).</w:t>
      </w:r>
    </w:p>
    <w:p>
      <w:pPr>
        <w:pStyle w:val="Heading2"/>
        <w:spacing w:after="150" w:before="300"/>
      </w:pPr>
      <w:r>
        <w:rPr>
          <w:rFonts w:ascii="Roboto Condensed" w:cs="Roboto Condensed" w:eastAsia="Roboto Condensed" w:hAnsi="Roboto Condensed"/>
          <w:b/>
          <w:bCs/>
          <w:color w:val="08251A"/>
        </w:rPr>
        <w:t xml:space="preserve">6. Repo &amp; environment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Get git access for yourself and anyone helping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Fork/branch the bank demo repo rather than editing it in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Confirm the CI/CD path from repo to demo environment, with no single-person bottleneck.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Document the local dev setup so a second person can pick up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Confirm who owns the environment during LF's self-service period.</w:t>
      </w:r>
    </w:p>
    <w:p>
      <w:pPr>
        <w:pStyle w:val="Heading2"/>
        <w:spacing w:after="150" w:before="300"/>
      </w:pPr>
      <w:r>
        <w:rPr>
          <w:rFonts w:ascii="Roboto Condensed" w:cs="Roboto Condensed" w:eastAsia="Roboto Condensed" w:hAnsi="Roboto Condensed"/>
          <w:b/>
          <w:bCs/>
          <w:color w:val="08251A"/>
        </w:rPr>
        <w:t xml:space="preserve">7. Branding &amp; visual alignment</w:t>
      </w:r>
    </w:p>
    <w:p>
      <w:pPr>
        <w:spacing w:after="120"/>
      </w:pPr>
      <w:r>
        <w:rPr>
          <w:rFonts w:ascii="Roboto" w:cs="Roboto" w:eastAsia="Roboto" w:hAnsi="Roboto"/>
          <w:color w:val="3C3C3C"/>
        </w:rPr>
        <w:t xml:space="preserve">Target: recognizably LF, not a pixel-perfect clone. Set expectations that this is directional.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Pull LF brand basics from the live site: primary blue, accent colors, typography, logo treatment, button/card styling, corner radii, spacing rhythm.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Apply as design tokens, not hard-coded CSS — LF's own roadmap is design tokens + Web Components + Lit, so tokenized theming speaks directly 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Swap imagery for insurance/banking-appropriate assets, sourced through DAM so the DAM story is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Replace copy with Swedish where visible in the main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Header, footer, navigation loosely matching LF's IA (Privat / Företag, regional selector).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Check accessibility basics — contrast, focus states. LF is a regulated financial institution.</w:t>
      </w:r>
    </w:p>
    <w:p>
      <w:pPr>
        <w:pStyle w:val="Heading2"/>
        <w:spacing w:after="150" w:before="300"/>
      </w:pPr>
      <w:r>
        <w:rPr>
          <w:rFonts w:ascii="Roboto Condensed" w:cs="Roboto Condensed" w:eastAsia="Roboto Condensed" w:hAnsi="Roboto Condensed"/>
          <w:b/>
          <w:bCs/>
          <w:color w:val="08251A"/>
        </w:rPr>
        <w:t xml:space="preserve">8. Feature showcases</w:t>
      </w:r>
    </w:p>
    <w:p>
      <w:pPr>
        <w:spacing w:after="120"/>
      </w:pPr>
      <w:r>
        <w:rPr>
          <w:rFonts w:ascii="Roboto" w:cs="Roboto" w:eastAsia="Roboto" w:hAnsi="Roboto"/>
          <w:b/>
          <w:bCs/>
          <w:color w:val="3C3C3C"/>
        </w:rPr>
        <w:t xml:space="preserve">DAM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Populate a realistic asset library: images, logos, video, brand fonts, document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Show metadata, tagging and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Show asset reuse across CMS pages, CMP campaigns and multi-site.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Show rights/expiry or approval workflow if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Position DAM as an independently consumable service with an API, not a CMS feature — LF's current DAM (Media Bank + Quick Channel) is what they want to consolidate away from.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Bonus: show DAM serving design-system assets.</w:t>
      </w:r>
    </w:p>
    <w:p>
      <w:pPr>
        <w:spacing w:after="120"/>
      </w:pPr>
      <w:r>
        <w:rPr>
          <w:rFonts w:ascii="Roboto" w:cs="Roboto" w:eastAsia="Roboto" w:hAnsi="Roboto"/>
          <w:b/>
          <w:bCs/>
          <w:color w:val="3C3C3C"/>
        </w:rPr>
        <w:t xml:space="preserve">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Build 1–2 realistic forms (contact request, callback booking, claim start).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Show conditional logic, validation, multi-step.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Show submission handling and where data goes.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Show a form embedded inside a headless/decoupled front end, not just a CMS page.</w:t>
      </w:r>
    </w:p>
    <w:p>
      <w:pPr>
        <w:spacing w:after="120"/>
      </w:pPr>
      <w:r>
        <w:rPr>
          <w:rFonts w:ascii="Roboto" w:cs="Roboto" w:eastAsia="Roboto" w:hAnsi="Roboto"/>
          <w:b/>
          <w:bCs/>
          <w:color w:val="3C3C3C"/>
        </w:rPr>
        <w:t xml:space="preserve">Translations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Swedish as secondary, English primary, Danish as third.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Show the editor translation workflow and fallback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Test Opal translation.</w:t>
      </w:r>
    </w:p>
    <w:p>
      <w:pPr>
        <w:spacing w:after="120"/>
      </w:pPr>
      <w:r>
        <w:rPr>
          <w:rFonts w:ascii="Roboto" w:cs="Roboto" w:eastAsia="Roboto" w:hAnsi="Roboto"/>
          <w:b/>
          <w:bCs/>
          <w:color w:val="3C3C3C"/>
        </w:rPr>
        <w:t xml:space="preserve">Multi-site / global vs. local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Single most important structural demo — LF's 23 mutual companies want local control, the centre wants brand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Set up a global site + at least 2 regional sites (e.g. Stockholm, Skåne).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Show globally-governed components regions cannot alter, and locally-editable components/content.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Show shared DAM assets and shared component library across 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Show what a regional editor sees vs. a central editor (permissions in action).</w:t>
      </w:r>
    </w:p>
    <w:p>
      <w:pPr>
        <w:spacing w:after="120"/>
      </w:pPr>
      <w:r>
        <w:rPr>
          <w:rFonts w:ascii="Roboto" w:cs="Roboto" w:eastAsia="Roboto" w:hAnsi="Roboto"/>
          <w:b/>
          <w:bCs/>
          <w:color w:val="3C3C3C"/>
        </w:rPr>
        <w:t xml:space="preserve">Personalization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Anonymous → known visitor journey.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Regional personalization (mutual/association-based) — their current real-world use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Offer/product personalization layered on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Show the CMS-side vs. Experimentation-side personalization boundary.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Be ready to talk latency: personalization within 200ms out of the box, edge delivery below that, feature flags evaluating in 2–5ms via SDK datafile.</w:t>
      </w:r>
    </w:p>
    <w:p>
      <w:pPr>
        <w:spacing w:after="120"/>
      </w:pPr>
      <w:r>
        <w:rPr>
          <w:rFonts w:ascii="Roboto" w:cs="Roboto" w:eastAsia="Roboto" w:hAnsi="Roboto"/>
          <w:b/>
          <w:bCs/>
          <w:color w:val="3C3C3C"/>
        </w:rPr>
        <w:t xml:space="preserve">Experimentation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At least one live web experiment on the demo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One feature experiment/flag to show the developer-side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Show roles and permissions governing who can launch what.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Have a point of view on canary releases.</w:t>
      </w:r>
    </w:p>
    <w:p>
      <w:pPr>
        <w:pStyle w:val="Heading2"/>
        <w:spacing w:after="150" w:before="300"/>
      </w:pPr>
      <w:r>
        <w:rPr>
          <w:rFonts w:ascii="Roboto Condensed" w:cs="Roboto Condensed" w:eastAsia="Roboto Condensed" w:hAnsi="Roboto Condensed"/>
          <w:b/>
          <w:bCs/>
          <w:color w:val="08251A"/>
        </w:rPr>
        <w:t xml:space="preserve">9. Calculators (1–2)</w:t>
      </w:r>
    </w:p>
    <w:p>
      <w:pPr>
        <w:spacing w:after="120"/>
      </w:pPr>
      <w:r>
        <w:rPr>
          <w:rFonts w:ascii="Roboto" w:cs="Roboto" w:eastAsia="Roboto" w:hAnsi="Roboto"/>
          <w:color w:val="3C3C3C"/>
        </w:rPr>
        <w:t xml:space="preserve">Reference: lansforsakringar.se mortgage / lånelöfte guide.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Suggested pair: mortgage/lånelöfte guide (high value, multi-step) + a simpler insurance premium estimator (shows the pattern is repeatable cheaply).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Build as a standalone component/micro frontend, consumable by web and mobile hosts.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Content, labels and legal copy sourced from CMS via Graph — proves content decoupling.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Calculation logic lives in the front end or a small service, not the CMS.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Demo an editor changing a label/disclaimer/interest assumption and it appearing without a redeploy — answers LF's #1 friction point (hard-coded content requiring code deploys).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Instrument with an experiment or event so it feeds the analytics 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Keep the maths plausible but clearly marked as illustrative.</w:t>
      </w:r>
    </w:p>
    <w:p>
      <w:pPr>
        <w:pStyle w:val="Heading2"/>
        <w:spacing w:after="150" w:before="300"/>
      </w:pPr>
      <w:r>
        <w:rPr>
          <w:rFonts w:ascii="Roboto Condensed" w:cs="Roboto Condensed" w:eastAsia="Roboto Condensed" w:hAnsi="Roboto Condensed"/>
          <w:b/>
          <w:bCs/>
          <w:color w:val="08251A"/>
        </w:rPr>
        <w:t xml:space="preserve">10. Product integration &amp; architecture wiring</w:t>
      </w:r>
    </w:p>
    <w:p>
      <w:pPr>
        <w:spacing w:after="120"/>
      </w:pPr>
      <w:r>
        <w:rPr>
          <w:rFonts w:ascii="Roboto" w:cs="Roboto" w:eastAsia="Roboto" w:hAnsi="Roboto"/>
          <w:i/>
          <w:iCs/>
          <w:color w:val="3C3C3C"/>
        </w:rPr>
        <w:t xml:space="preserve">Flagged as the biggest lift — sequence it early; it blocks the feature demos.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CMS ↔ Graph — content served headlessly to the front end (answers the channel-agnostic delivery question).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CMS ↔ DAM — assets referenced from CMS, single source of truth.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CMP ↔ CMS/DAM — campaign planning through to published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CMS ↔ Experimentation — content variants and personalization.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Forms ↔ CMS — and where submissions 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Opal — wired into at least one editorial workflow, not a bolt-on slide.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Micro frontend proof point — at least one part of the site rendered as an independently deployed component consuming CMS content via Graph (LF is moving to per-bounded-context micro frontends with native iOS/Android hosts).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Analytics — show or credibly mock the Databricks-native pattern; cohorts usable in both CMS and Experimentation is the differentiator vs. the CDP-connector 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Azure Front Door — have a clear, resolved answer on high-performance edge personalization behind AFD (Jim's open objection).</w:t>
      </w:r>
    </w:p>
    <w:p>
      <w:pPr>
        <w:pStyle w:val="Heading1"/>
        <w:spacing w:after="150" w:before="300"/>
      </w:pPr>
      <w:r>
        <w:rPr>
          <w:rFonts w:ascii="Roboto Condensed" w:cs="Roboto Condensed" w:eastAsia="Roboto Condensed" w:hAnsi="Roboto Condensed"/>
          <w:b/>
          <w:bCs/>
          <w:color w:val="08251A"/>
        </w:rPr>
        <w:t xml:space="preserve">11. Open risks &amp; talking points to prepare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Databricks / Confluent cost sensitivity (Tobias) — governance story around cohorts staying in LF's own Databricks.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Azure Front Door + edge personalization (Jim) — resolve properly rather than leaving the assumption standing.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Canary releases positioning (Jim) — have a considered point of view ready.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DAM as a swappable, independent component (Risto already set this expectation with LF).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Roboto" w:cs="Roboto" w:eastAsia="Roboto" w:hAnsi="Roboto"/>
          <w:color w:val="3C3C3C"/>
        </w:rPr>
        <w:t xml:space="preserve">WCAG / accessibility gaps — LF is a regulated financial institution; keep this tight.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2026-08-28T11:26:43.680Z</dcterms:created>
  <dcterms:modified xsi:type="dcterms:W3CDTF">2026-08-28T11:26:43.680Z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