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left"/>
      </w:pPr>
      <w:r>
        <w:rPr>
          <w:rFonts w:ascii="Arial" w:hAnsi="Arial"/>
          <w:b/>
          <w:color w:val="2F75B5"/>
          <w:sz w:val="32"/>
        </w:rPr>
        <w:t>banqcraft</w:t>
      </w:r>
    </w:p>
    <w:p>
      <w:pPr>
        <w:pStyle w:val="Title"/>
        <w:spacing w:before="240"/>
      </w:pPr>
      <w:r>
        <w:t>Initial Partnership Proposal</w:t>
      </w:r>
    </w:p>
    <w:p>
      <w:r>
        <w:rPr>
          <w:rFonts w:ascii="Arial" w:hAnsi="Arial"/>
          <w:color w:val="666666"/>
          <w:sz w:val="28"/>
        </w:rPr>
        <w:t>Finastra Partner Discussion</w:t>
      </w:r>
    </w:p>
    <w:p>
      <w:pPr>
        <w:spacing w:before="480"/>
      </w:pPr>
      <w:r>
        <w:rPr>
          <w:rFonts w:ascii="Arial" w:hAnsi="Arial"/>
          <w:b/>
          <w:color w:val="17365D"/>
          <w:sz w:val="26"/>
        </w:rPr>
        <w:t>Banking • Technology • People</w:t>
      </w:r>
    </w:p>
    <w:p>
      <w:pPr>
        <w:spacing w:before="720"/>
      </w:pPr>
      <w:r>
        <w:rPr>
          <w:rFonts w:ascii="Arial" w:hAnsi="Arial"/>
          <w:color w:val="666666"/>
          <w:sz w:val="19"/>
        </w:rPr>
        <w:t>Egypt-based | Initial focus: Finastra-aligned resource and professional-services capability | Confidential</w:t>
      </w:r>
    </w:p>
    <w:p>
      <w:r>
        <w:br w:type="page"/>
      </w:r>
    </w:p>
    <w:p>
      <w:pPr>
        <w:pStyle w:val="Heading1"/>
        <w:keepNext/>
        <w:spacing w:before="240" w:after="120"/>
      </w:pPr>
      <w:r>
        <w:t>1. Executive Summary</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The proposition in one sentence</w:t>
            </w:r>
          </w:p>
          <w:p>
            <w:pPr>
              <w:spacing w:after="60"/>
            </w:pPr>
            <w:r>
              <w:rPr>
                <w:rFonts w:ascii="Arial" w:hAnsi="Arial"/>
                <w:color w:val="2F2F2F"/>
                <w:sz w:val="19"/>
              </w:rPr>
              <w:t>banqcraft is an Egypt-based specialist professional-services company being built around experienced banking and technology talent, initially focused on providing qualified, Arabic/English bilingual resources to support Finastra-related delivery, while progressively building certified implementation capability.</w:t>
            </w:r>
          </w:p>
        </w:tc>
      </w:tr>
    </w:tbl>
    <w:p>
      <w:pPr>
        <w:spacing w:after="40"/>
      </w:pP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024"/>
            <w:shd w:fill="17365D"/>
            <w:vAlign w:val="center"/>
          </w:tcPr>
          <w:p>
            <w:pPr>
              <w:spacing w:after="40"/>
            </w:pPr>
            <w:r/>
            <w:r>
              <w:rPr>
                <w:rFonts w:ascii="Arial" w:hAnsi="Arial"/>
                <w:b/>
                <w:color w:val="FFFFFF"/>
                <w:sz w:val="18"/>
              </w:rPr>
              <w:t>Dimension</w:t>
            </w:r>
          </w:p>
        </w:tc>
        <w:tc>
          <w:tcPr>
            <w:tcW w:type="dxa" w:w="6912"/>
            <w:shd w:fill="17365D"/>
            <w:vAlign w:val="center"/>
          </w:tcPr>
          <w:p>
            <w:pPr>
              <w:spacing w:after="40"/>
            </w:pPr>
            <w:r/>
            <w:r>
              <w:rPr>
                <w:rFonts w:ascii="Arial" w:hAnsi="Arial"/>
                <w:b/>
                <w:color w:val="FFFFFF"/>
                <w:sz w:val="18"/>
              </w:rPr>
              <w:t>Current position</w:t>
            </w:r>
          </w:p>
        </w:tc>
      </w:tr>
      <w:tr>
        <w:trPr>
          <w:cantSplit/>
        </w:trPr>
        <w:tc>
          <w:tcPr>
            <w:tcW w:type="dxa" w:w="3024"/>
            <w:shd w:fill="FFFFFF"/>
            <w:vAlign w:val="center"/>
          </w:tcPr>
          <w:p>
            <w:pPr>
              <w:spacing w:after="40"/>
            </w:pPr>
            <w:r/>
            <w:r>
              <w:rPr>
                <w:rFonts w:ascii="Arial" w:hAnsi="Arial"/>
                <w:b w:val="0"/>
                <w:color w:val="2F2F2F"/>
                <w:sz w:val="18"/>
              </w:rPr>
              <w:t>Initial Finastra proposition</w:t>
            </w:r>
          </w:p>
        </w:tc>
        <w:tc>
          <w:tcPr>
            <w:tcW w:type="dxa" w:w="6912"/>
            <w:shd w:fill="FFFFFF"/>
            <w:vAlign w:val="center"/>
          </w:tcPr>
          <w:p>
            <w:pPr>
              <w:spacing w:after="40"/>
            </w:pPr>
            <w:r/>
            <w:r>
              <w:rPr>
                <w:rFonts w:ascii="Arial" w:hAnsi="Arial"/>
                <w:b w:val="0"/>
                <w:color w:val="2F2F2F"/>
                <w:sz w:val="18"/>
              </w:rPr>
              <w:t>Resource augmentation and professional-services support; partnership route to be mutually determined with Finastra.</w:t>
            </w:r>
          </w:p>
        </w:tc>
      </w:tr>
      <w:tr>
        <w:trPr>
          <w:cantSplit/>
        </w:trPr>
        <w:tc>
          <w:tcPr>
            <w:tcW w:type="dxa" w:w="3024"/>
            <w:shd w:fill="F5F8FB"/>
            <w:vAlign w:val="center"/>
          </w:tcPr>
          <w:p>
            <w:pPr>
              <w:spacing w:after="40"/>
            </w:pPr>
            <w:r/>
            <w:r>
              <w:rPr>
                <w:rFonts w:ascii="Arial" w:hAnsi="Arial"/>
                <w:b w:val="0"/>
                <w:color w:val="2F2F2F"/>
                <w:sz w:val="18"/>
              </w:rPr>
              <w:t>Primary product focus</w:t>
            </w:r>
          </w:p>
        </w:tc>
        <w:tc>
          <w:tcPr>
            <w:tcW w:type="dxa" w:w="6912"/>
            <w:shd w:fill="F5F8FB"/>
            <w:vAlign w:val="center"/>
          </w:tcPr>
          <w:p>
            <w:pPr>
              <w:spacing w:after="40"/>
            </w:pPr>
            <w:r/>
            <w:r>
              <w:rPr>
                <w:rFonts w:ascii="Arial" w:hAnsi="Arial"/>
                <w:b w:val="0"/>
                <w:color w:val="2F2F2F"/>
                <w:sz w:val="18"/>
              </w:rPr>
              <w:t>Fusion Trade Innovation (FTI) and Fusion Corporate Channels (FCC).</w:t>
            </w:r>
          </w:p>
        </w:tc>
      </w:tr>
      <w:tr>
        <w:trPr>
          <w:cantSplit/>
        </w:trPr>
        <w:tc>
          <w:tcPr>
            <w:tcW w:type="dxa" w:w="3024"/>
            <w:shd w:fill="FFFFFF"/>
            <w:vAlign w:val="center"/>
          </w:tcPr>
          <w:p>
            <w:pPr>
              <w:spacing w:after="40"/>
            </w:pPr>
            <w:r/>
            <w:r>
              <w:rPr>
                <w:rFonts w:ascii="Arial" w:hAnsi="Arial"/>
                <w:b w:val="0"/>
                <w:color w:val="2F2F2F"/>
                <w:sz w:val="18"/>
              </w:rPr>
              <w:t>Initial geography</w:t>
            </w:r>
          </w:p>
        </w:tc>
        <w:tc>
          <w:tcPr>
            <w:tcW w:type="dxa" w:w="6912"/>
            <w:shd w:fill="FFFFFF"/>
            <w:vAlign w:val="center"/>
          </w:tcPr>
          <w:p>
            <w:pPr>
              <w:spacing w:after="40"/>
            </w:pPr>
            <w:r/>
            <w:r>
              <w:rPr>
                <w:rFonts w:ascii="Arial" w:hAnsi="Arial"/>
                <w:b w:val="0"/>
                <w:color w:val="2F2F2F"/>
                <w:sz w:val="18"/>
              </w:rPr>
              <w:t>Egypt, with potential expansion into the Middle East and wider MEA.</w:t>
            </w:r>
          </w:p>
        </w:tc>
      </w:tr>
      <w:tr>
        <w:trPr>
          <w:cantSplit/>
        </w:trPr>
        <w:tc>
          <w:tcPr>
            <w:tcW w:type="dxa" w:w="3024"/>
            <w:shd w:fill="F5F8FB"/>
            <w:vAlign w:val="center"/>
          </w:tcPr>
          <w:p>
            <w:pPr>
              <w:spacing w:after="40"/>
            </w:pPr>
            <w:r/>
            <w:r>
              <w:rPr>
                <w:rFonts w:ascii="Arial" w:hAnsi="Arial"/>
                <w:b w:val="0"/>
                <w:color w:val="2F2F2F"/>
                <w:sz w:val="18"/>
              </w:rPr>
              <w:t>Founder profile</w:t>
            </w:r>
          </w:p>
        </w:tc>
        <w:tc>
          <w:tcPr>
            <w:tcW w:type="dxa" w:w="6912"/>
            <w:shd w:fill="F5F8FB"/>
            <w:vAlign w:val="center"/>
          </w:tcPr>
          <w:p>
            <w:pPr>
              <w:spacing w:after="40"/>
            </w:pPr>
            <w:r/>
            <w:r>
              <w:rPr>
                <w:rFonts w:ascii="Arial" w:hAnsi="Arial"/>
                <w:b w:val="0"/>
                <w:color w:val="2F2F2F"/>
                <w:sz w:val="18"/>
              </w:rPr>
              <w:t>~19 years professional experience since 2007; ~15 years in banking; ~5 years in consulting/professional services; FCA certified.</w:t>
            </w:r>
          </w:p>
        </w:tc>
      </w:tr>
      <w:tr>
        <w:trPr>
          <w:cantSplit/>
        </w:trPr>
        <w:tc>
          <w:tcPr>
            <w:tcW w:type="dxa" w:w="3024"/>
            <w:shd w:fill="FFFFFF"/>
            <w:vAlign w:val="center"/>
          </w:tcPr>
          <w:p>
            <w:pPr>
              <w:spacing w:after="40"/>
            </w:pPr>
            <w:r/>
            <w:r>
              <w:rPr>
                <w:rFonts w:ascii="Arial" w:hAnsi="Arial"/>
                <w:b w:val="0"/>
                <w:color w:val="2F2F2F"/>
                <w:sz w:val="18"/>
              </w:rPr>
              <w:t>Current project</w:t>
            </w:r>
          </w:p>
        </w:tc>
        <w:tc>
          <w:tcPr>
            <w:tcW w:type="dxa" w:w="6912"/>
            <w:shd w:fill="FFFFFF"/>
            <w:vAlign w:val="center"/>
          </w:tcPr>
          <w:p>
            <w:pPr>
              <w:spacing w:after="40"/>
            </w:pPr>
            <w:r/>
            <w:r>
              <w:rPr>
                <w:rFonts w:ascii="Arial" w:hAnsi="Arial"/>
                <w:b w:val="0"/>
                <w:color w:val="2F2F2F"/>
                <w:sz w:val="18"/>
              </w:rPr>
              <w:t>Major Egyptian bank; onboarded June 2025; expected completion March 2027; 12-person project; ~20 bank stakeholders; weekly Finastra interaction.</w:t>
            </w:r>
          </w:p>
        </w:tc>
      </w:tr>
      <w:tr>
        <w:trPr>
          <w:cantSplit/>
        </w:trPr>
        <w:tc>
          <w:tcPr>
            <w:tcW w:type="dxa" w:w="3024"/>
            <w:shd w:fill="F5F8FB"/>
            <w:vAlign w:val="center"/>
          </w:tcPr>
          <w:p>
            <w:pPr>
              <w:spacing w:after="40"/>
            </w:pPr>
            <w:r/>
            <w:r>
              <w:rPr>
                <w:rFonts w:ascii="Arial" w:hAnsi="Arial"/>
                <w:b w:val="0"/>
                <w:color w:val="2F2F2F"/>
                <w:sz w:val="18"/>
              </w:rPr>
              <w:t>Initial delivery pool</w:t>
            </w:r>
          </w:p>
        </w:tc>
        <w:tc>
          <w:tcPr>
            <w:tcW w:type="dxa" w:w="6912"/>
            <w:shd w:fill="F5F8FB"/>
            <w:vAlign w:val="center"/>
          </w:tcPr>
          <w:p>
            <w:pPr>
              <w:spacing w:after="40"/>
            </w:pPr>
            <w:r/>
            <w:r>
              <w:rPr>
                <w:rFonts w:ascii="Arial" w:hAnsi="Arial"/>
                <w:b w:val="0"/>
                <w:color w:val="2F2F2F"/>
                <w:sz w:val="18"/>
              </w:rPr>
              <w:t>3 identified professionals: senior technical, senior business/techno-functional, and senior technical/integration.</w:t>
            </w:r>
          </w:p>
        </w:tc>
      </w:tr>
      <w:tr>
        <w:trPr>
          <w:cantSplit/>
        </w:trPr>
        <w:tc>
          <w:tcPr>
            <w:tcW w:type="dxa" w:w="3024"/>
            <w:shd w:fill="FFFFFF"/>
            <w:vAlign w:val="center"/>
          </w:tcPr>
          <w:p>
            <w:pPr>
              <w:spacing w:after="40"/>
            </w:pPr>
            <w:r/>
            <w:r>
              <w:rPr>
                <w:rFonts w:ascii="Arial" w:hAnsi="Arial"/>
                <w:b w:val="0"/>
                <w:color w:val="2F2F2F"/>
                <w:sz w:val="18"/>
              </w:rPr>
              <w:t>Talent differentiator</w:t>
            </w:r>
          </w:p>
        </w:tc>
        <w:tc>
          <w:tcPr>
            <w:tcW w:type="dxa" w:w="6912"/>
            <w:shd w:fill="FFFFFF"/>
            <w:vAlign w:val="center"/>
          </w:tcPr>
          <w:p>
            <w:pPr>
              <w:spacing w:after="40"/>
            </w:pPr>
            <w:r/>
            <w:r>
              <w:rPr>
                <w:rFonts w:ascii="Arial" w:hAnsi="Arial"/>
                <w:b w:val="0"/>
                <w:color w:val="2F2F2F"/>
                <w:sz w:val="18"/>
              </w:rPr>
              <w:t>Strategic recruitment focus on Arabic-fluent banking/technology professionals, with English capability; non-Arabic resources may also be hired where appropriate.</w:t>
            </w:r>
          </w:p>
        </w:tc>
      </w:tr>
      <w:tr>
        <w:trPr>
          <w:cantSplit/>
        </w:trPr>
        <w:tc>
          <w:tcPr>
            <w:tcW w:type="dxa" w:w="3024"/>
            <w:shd w:fill="F5F8FB"/>
            <w:vAlign w:val="center"/>
          </w:tcPr>
          <w:p>
            <w:pPr>
              <w:spacing w:after="40"/>
            </w:pPr>
            <w:r/>
            <w:r>
              <w:rPr>
                <w:rFonts w:ascii="Arial" w:hAnsi="Arial"/>
                <w:b w:val="0"/>
                <w:color w:val="2F2F2F"/>
                <w:sz w:val="18"/>
              </w:rPr>
              <w:t>Founding team</w:t>
            </w:r>
          </w:p>
        </w:tc>
        <w:tc>
          <w:tcPr>
            <w:tcW w:type="dxa" w:w="6912"/>
            <w:shd w:fill="F5F8FB"/>
            <w:vAlign w:val="center"/>
          </w:tcPr>
          <w:p>
            <w:pPr>
              <w:spacing w:after="40"/>
            </w:pPr>
            <w:r/>
            <w:r>
              <w:rPr>
                <w:rFonts w:ascii="Arial" w:hAnsi="Arial"/>
                <w:b w:val="0"/>
                <w:color w:val="2F2F2F"/>
                <w:sz w:val="18"/>
              </w:rPr>
              <w:t>Founder / Banking &amp; Technology lead + Co-Founder &amp; People/HR Lead.</w:t>
            </w:r>
          </w:p>
        </w:tc>
      </w:tr>
    </w:tbl>
    <w:p>
      <w:pPr>
        <w:spacing w:after="40"/>
      </w:pPr>
    </w:p>
    <w:p>
      <w:pPr>
        <w:spacing w:after="120" w:line="259" w:lineRule="auto"/>
      </w:pPr>
      <w:r>
        <w:rPr>
          <w:rFonts w:ascii="Arial" w:hAnsi="Arial"/>
          <w:color w:val="2F2F2F"/>
          <w:sz w:val="21"/>
        </w:rPr>
        <w:t>banqcraft is being established in Egypt by a banking professional with approximately 20 years of professional experience and longstanding exposure to Finastra solutions, beginning in 2009 within the banking sector and continuing through consulting and implementation work.</w:t>
      </w:r>
    </w:p>
    <w:p>
      <w:pPr>
        <w:spacing w:after="120" w:line="259" w:lineRule="auto"/>
      </w:pPr>
      <w:r>
        <w:rPr>
          <w:rFonts w:ascii="Arial" w:hAnsi="Arial"/>
          <w:color w:val="2F2F2F"/>
          <w:sz w:val="21"/>
        </w:rPr>
        <w:t>The company proposes to begin with a deliberately focused model: provide qualified banking and technology professionals who can support Finastra-related engagements, with particular attention to Arabic-fluent resources capable of working effectively with banks, international delivery teams and product stakeholders.</w:t>
      </w:r>
    </w:p>
    <w:p>
      <w:pPr>
        <w:spacing w:after="120" w:line="259" w:lineRule="auto"/>
      </w:pPr>
      <w:r>
        <w:rPr>
          <w:rFonts w:ascii="Arial" w:hAnsi="Arial"/>
          <w:color w:val="2F2F2F"/>
          <w:sz w:val="21"/>
        </w:rPr>
        <w:t>The founder is currently supporting a live implementation of Fusion Trade Innovation and Fusion Corporate Channels for a major Egyptian bank. The engagement provides direct, practical exposure to implementation, migration, issue resolution, product-team collaboration and customer enablement, creating a grounded basis for the proposed company model.</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The initial ask</w:t>
            </w:r>
          </w:p>
          <w:p>
            <w:pPr>
              <w:spacing w:after="60"/>
            </w:pPr>
            <w:r>
              <w:rPr>
                <w:rFonts w:ascii="Arial" w:hAnsi="Arial"/>
                <w:color w:val="2F2F2F"/>
                <w:sz w:val="19"/>
              </w:rPr>
              <w:t>banqcraft would like to discuss the most appropriate Finastra partner route for its initial resource-augmentation and professional-services model, together with the requirements for enablement, certification, engagement and progressive capability development.</w:t>
            </w:r>
          </w:p>
        </w:tc>
      </w:tr>
    </w:tbl>
    <w:p>
      <w:pPr>
        <w:spacing w:after="40"/>
      </w:pPr>
    </w:p>
    <w:p>
      <w:pPr>
        <w:pStyle w:val="Heading1"/>
        <w:keepNext/>
        <w:spacing w:before="240" w:after="120"/>
      </w:pPr>
      <w:r>
        <w:t>2. banqcraft and the Founding Team</w:t>
      </w:r>
    </w:p>
    <w:p>
      <w:pPr>
        <w:pStyle w:val="Heading2"/>
        <w:keepNext/>
        <w:spacing w:before="160" w:after="120"/>
      </w:pPr>
      <w:r>
        <w:t>2.1 Founder – Banking &amp; Technology</w:t>
      </w:r>
    </w:p>
    <w:p>
      <w:pPr>
        <w:spacing w:after="120" w:line="259" w:lineRule="auto"/>
      </w:pPr>
      <w:r>
        <w:rPr>
          <w:rFonts w:ascii="Arial" w:hAnsi="Arial"/>
          <w:color w:val="2F2F2F"/>
          <w:sz w:val="21"/>
        </w:rPr>
        <w:t>The founder started his professional career in 2007 and has worked within the banking sector since 2007, followed by approximately five years in consulting/professional-services environments. His banking experience includes Bank Audi and First Abu Dhabi Bank, with responsibilities spanning Trade Finance, process improvement and software implementation.</w:t>
      </w:r>
    </w:p>
    <w:p>
      <w:pPr>
        <w:spacing w:after="120" w:line="259" w:lineRule="auto"/>
      </w:pPr>
      <w:r>
        <w:rPr>
          <w:rFonts w:ascii="Arial" w:hAnsi="Arial"/>
          <w:color w:val="2F2F2F"/>
          <w:sz w:val="21"/>
        </w:rPr>
        <w:t>He has used Finastra applications since 2009 and has participated in Finastra-related solutions delivered across eight banks in the MENA region. He currently holds the Finastra Certified Associate (FCA) credential and the Certified Specialist in Demand Guarantees (CSDG) credential from the London Institute of Banking &amp; Finance.</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592"/>
            <w:shd w:fill="17365D"/>
            <w:vAlign w:val="center"/>
          </w:tcPr>
          <w:p>
            <w:pPr>
              <w:spacing w:after="40"/>
            </w:pPr>
            <w:r/>
            <w:r>
              <w:rPr>
                <w:rFonts w:ascii="Arial" w:hAnsi="Arial"/>
                <w:b/>
                <w:color w:val="FFFFFF"/>
                <w:sz w:val="18"/>
              </w:rPr>
              <w:t>Profile</w:t>
            </w:r>
          </w:p>
        </w:tc>
        <w:tc>
          <w:tcPr>
            <w:tcW w:type="dxa" w:w="7344"/>
            <w:shd w:fill="17365D"/>
            <w:vAlign w:val="center"/>
          </w:tcPr>
          <w:p>
            <w:pPr>
              <w:spacing w:after="40"/>
            </w:pPr>
            <w:r/>
            <w:r>
              <w:rPr>
                <w:rFonts w:ascii="Arial" w:hAnsi="Arial"/>
                <w:b/>
                <w:color w:val="FFFFFF"/>
                <w:sz w:val="18"/>
              </w:rPr>
              <w:t>Detail</w:t>
            </w:r>
          </w:p>
        </w:tc>
      </w:tr>
      <w:tr>
        <w:trPr>
          <w:cantSplit/>
        </w:trPr>
        <w:tc>
          <w:tcPr>
            <w:tcW w:type="dxa" w:w="2592"/>
            <w:shd w:fill="FFFFFF"/>
            <w:vAlign w:val="center"/>
          </w:tcPr>
          <w:p>
            <w:pPr>
              <w:spacing w:after="40"/>
            </w:pPr>
            <w:r/>
            <w:r>
              <w:rPr>
                <w:rFonts w:ascii="Arial" w:hAnsi="Arial"/>
                <w:b w:val="0"/>
                <w:color w:val="2F2F2F"/>
                <w:sz w:val="18"/>
              </w:rPr>
              <w:t>Experience</w:t>
            </w:r>
          </w:p>
        </w:tc>
        <w:tc>
          <w:tcPr>
            <w:tcW w:type="dxa" w:w="7344"/>
            <w:shd w:fill="FFFFFF"/>
            <w:vAlign w:val="center"/>
          </w:tcPr>
          <w:p>
            <w:pPr>
              <w:spacing w:after="40"/>
            </w:pPr>
            <w:r/>
            <w:r>
              <w:rPr>
                <w:rFonts w:ascii="Arial" w:hAnsi="Arial"/>
                <w:b w:val="0"/>
                <w:color w:val="2F2F2F"/>
                <w:sz w:val="18"/>
              </w:rPr>
              <w:t>Approximately 20 years professional experience since 2007; approximately 15 years within banking.</w:t>
            </w:r>
          </w:p>
        </w:tc>
      </w:tr>
      <w:tr>
        <w:trPr>
          <w:cantSplit/>
        </w:trPr>
        <w:tc>
          <w:tcPr>
            <w:tcW w:type="dxa" w:w="2592"/>
            <w:shd w:fill="F5F8FB"/>
            <w:vAlign w:val="center"/>
          </w:tcPr>
          <w:p>
            <w:pPr>
              <w:spacing w:after="40"/>
            </w:pPr>
            <w:r/>
            <w:r>
              <w:rPr>
                <w:rFonts w:ascii="Arial" w:hAnsi="Arial"/>
                <w:b w:val="0"/>
                <w:color w:val="2F2F2F"/>
                <w:sz w:val="18"/>
              </w:rPr>
              <w:t>Banking roles</w:t>
            </w:r>
          </w:p>
        </w:tc>
        <w:tc>
          <w:tcPr>
            <w:tcW w:type="dxa" w:w="7344"/>
            <w:shd w:fill="F5F8FB"/>
            <w:vAlign w:val="center"/>
          </w:tcPr>
          <w:p>
            <w:pPr>
              <w:spacing w:after="40"/>
            </w:pPr>
            <w:r/>
            <w:r>
              <w:rPr>
                <w:rFonts w:ascii="Arial" w:hAnsi="Arial"/>
                <w:b w:val="0"/>
                <w:color w:val="2F2F2F"/>
                <w:sz w:val="18"/>
              </w:rPr>
              <w:t>Trade Finance Senior Manager; Process Improvement Manager; Trade Finance Software Implementation Lead.</w:t>
            </w:r>
          </w:p>
        </w:tc>
      </w:tr>
      <w:tr>
        <w:trPr>
          <w:cantSplit/>
        </w:trPr>
        <w:tc>
          <w:tcPr>
            <w:tcW w:type="dxa" w:w="2592"/>
            <w:shd w:fill="FFFFFF"/>
            <w:vAlign w:val="center"/>
          </w:tcPr>
          <w:p>
            <w:pPr>
              <w:spacing w:after="40"/>
            </w:pPr>
            <w:r/>
            <w:r>
              <w:rPr>
                <w:rFonts w:ascii="Arial" w:hAnsi="Arial"/>
                <w:b w:val="0"/>
                <w:color w:val="2F2F2F"/>
                <w:sz w:val="18"/>
              </w:rPr>
              <w:t>Functional exposure</w:t>
            </w:r>
          </w:p>
        </w:tc>
        <w:tc>
          <w:tcPr>
            <w:tcW w:type="dxa" w:w="7344"/>
            <w:shd w:fill="FFFFFF"/>
            <w:vAlign w:val="center"/>
          </w:tcPr>
          <w:p>
            <w:pPr>
              <w:spacing w:after="40"/>
            </w:pPr>
            <w:r/>
            <w:r>
              <w:rPr>
                <w:rFonts w:ascii="Arial" w:hAnsi="Arial"/>
                <w:b w:val="0"/>
                <w:color w:val="2F2F2F"/>
                <w:sz w:val="18"/>
              </w:rPr>
              <w:t>Operations, branch-network support, process improvement, trade finance and banking technology delivery.</w:t>
            </w:r>
          </w:p>
        </w:tc>
      </w:tr>
      <w:tr>
        <w:trPr>
          <w:cantSplit/>
        </w:trPr>
        <w:tc>
          <w:tcPr>
            <w:tcW w:type="dxa" w:w="2592"/>
            <w:shd w:fill="F5F8FB"/>
            <w:vAlign w:val="center"/>
          </w:tcPr>
          <w:p>
            <w:pPr>
              <w:spacing w:after="40"/>
            </w:pPr>
            <w:r/>
            <w:r>
              <w:rPr>
                <w:rFonts w:ascii="Arial" w:hAnsi="Arial"/>
                <w:b w:val="0"/>
                <w:color w:val="2F2F2F"/>
                <w:sz w:val="18"/>
              </w:rPr>
              <w:t>Current role</w:t>
            </w:r>
          </w:p>
        </w:tc>
        <w:tc>
          <w:tcPr>
            <w:tcW w:type="dxa" w:w="7344"/>
            <w:shd w:fill="F5F8FB"/>
            <w:vAlign w:val="center"/>
          </w:tcPr>
          <w:p>
            <w:pPr>
              <w:spacing w:after="40"/>
            </w:pPr>
            <w:r/>
            <w:r>
              <w:rPr>
                <w:rFonts w:ascii="Arial" w:hAnsi="Arial"/>
                <w:b w:val="0"/>
                <w:color w:val="2F2F2F"/>
                <w:sz w:val="18"/>
              </w:rPr>
              <w:t>Senior Business Consultant supporting FTI and FCC implementation.</w:t>
            </w:r>
          </w:p>
        </w:tc>
      </w:tr>
      <w:tr>
        <w:trPr>
          <w:cantSplit/>
        </w:trPr>
        <w:tc>
          <w:tcPr>
            <w:tcW w:type="dxa" w:w="2592"/>
            <w:shd w:fill="FFFFFF"/>
            <w:vAlign w:val="center"/>
          </w:tcPr>
          <w:p>
            <w:pPr>
              <w:spacing w:after="40"/>
            </w:pPr>
            <w:r/>
            <w:r>
              <w:rPr>
                <w:rFonts w:ascii="Arial" w:hAnsi="Arial"/>
                <w:b w:val="0"/>
                <w:color w:val="2F2F2F"/>
                <w:sz w:val="18"/>
              </w:rPr>
              <w:t>Credentials</w:t>
            </w:r>
          </w:p>
        </w:tc>
        <w:tc>
          <w:tcPr>
            <w:tcW w:type="dxa" w:w="7344"/>
            <w:shd w:fill="FFFFFF"/>
            <w:vAlign w:val="center"/>
          </w:tcPr>
          <w:p>
            <w:pPr>
              <w:spacing w:after="40"/>
            </w:pPr>
            <w:r/>
            <w:r>
              <w:rPr>
                <w:rFonts w:ascii="Arial" w:hAnsi="Arial"/>
                <w:b w:val="0"/>
                <w:color w:val="2F2F2F"/>
                <w:sz w:val="18"/>
              </w:rPr>
              <w:t>Finastra Certified Associate (FCA); Certified Specialist in Demand Guarantees (CSDG).</w:t>
            </w:r>
          </w:p>
        </w:tc>
      </w:tr>
      <w:tr>
        <w:trPr>
          <w:cantSplit/>
        </w:trPr>
        <w:tc>
          <w:tcPr>
            <w:tcW w:type="dxa" w:w="2592"/>
            <w:shd w:fill="F5F8FB"/>
            <w:vAlign w:val="center"/>
          </w:tcPr>
          <w:p>
            <w:pPr>
              <w:spacing w:after="40"/>
            </w:pPr>
            <w:r/>
            <w:r>
              <w:rPr>
                <w:rFonts w:ascii="Arial" w:hAnsi="Arial"/>
                <w:b w:val="0"/>
                <w:color w:val="2F2F2F"/>
                <w:sz w:val="18"/>
              </w:rPr>
              <w:t>Languages</w:t>
            </w:r>
          </w:p>
        </w:tc>
        <w:tc>
          <w:tcPr>
            <w:tcW w:type="dxa" w:w="7344"/>
            <w:shd w:fill="F5F8FB"/>
            <w:vAlign w:val="center"/>
          </w:tcPr>
          <w:p>
            <w:pPr>
              <w:spacing w:after="40"/>
            </w:pPr>
            <w:r/>
            <w:r>
              <w:rPr>
                <w:rFonts w:ascii="Arial" w:hAnsi="Arial"/>
                <w:b w:val="0"/>
                <w:color w:val="2F2F2F"/>
                <w:sz w:val="18"/>
              </w:rPr>
              <w:t>Arabic and English.</w:t>
            </w:r>
          </w:p>
        </w:tc>
      </w:tr>
      <w:tr>
        <w:trPr>
          <w:cantSplit/>
        </w:trPr>
        <w:tc>
          <w:tcPr>
            <w:tcW w:type="dxa" w:w="2592"/>
            <w:shd w:fill="FFFFFF"/>
            <w:vAlign w:val="center"/>
          </w:tcPr>
          <w:p>
            <w:pPr>
              <w:spacing w:after="40"/>
            </w:pPr>
            <w:r/>
            <w:r>
              <w:rPr>
                <w:rFonts w:ascii="Arial" w:hAnsi="Arial"/>
                <w:b w:val="0"/>
                <w:color w:val="2F2F2F"/>
                <w:sz w:val="18"/>
              </w:rPr>
              <w:t>Education</w:t>
            </w:r>
          </w:p>
        </w:tc>
        <w:tc>
          <w:tcPr>
            <w:tcW w:type="dxa" w:w="7344"/>
            <w:shd w:fill="FFFFFF"/>
            <w:vAlign w:val="center"/>
          </w:tcPr>
          <w:p>
            <w:pPr>
              <w:spacing w:after="40"/>
            </w:pPr>
            <w:r/>
            <w:r>
              <w:rPr>
                <w:rFonts w:ascii="Arial" w:hAnsi="Arial"/>
                <w:b w:val="0"/>
                <w:color w:val="2F2F2F"/>
                <w:sz w:val="18"/>
              </w:rPr>
              <w:t>Bachelor of Commerce, Accounting, Cairo University.</w:t>
            </w:r>
          </w:p>
        </w:tc>
      </w:tr>
    </w:tbl>
    <w:p>
      <w:pPr>
        <w:spacing w:after="40"/>
      </w:pPr>
    </w:p>
    <w:p>
      <w:pPr>
        <w:pStyle w:val="Heading2"/>
        <w:keepNext/>
        <w:spacing w:before="160" w:after="120"/>
      </w:pPr>
      <w:r>
        <w:t>2.2 Co-Founder – People &amp; HR</w:t>
      </w:r>
    </w:p>
    <w:p>
      <w:pPr>
        <w:spacing w:after="120" w:line="259" w:lineRule="auto"/>
      </w:pPr>
      <w:r>
        <w:rPr>
          <w:rFonts w:ascii="Arial" w:hAnsi="Arial"/>
          <w:color w:val="2F2F2F"/>
          <w:sz w:val="21"/>
        </w:rPr>
        <w:t>The co-founder brings approximately 15 years of HR experience across HR operations, recruitment and talent acquisition, compensation and benefits, HR process/SOP development, onboarding, performance frameworks, employee relations and retention. Her experience spans education, BPO/customer experience, recruitment consultancy, real estate, e-commerce, manufacturing and other service environments.</w:t>
      </w:r>
    </w:p>
    <w:p>
      <w:pPr>
        <w:spacing w:after="120" w:line="259" w:lineRule="auto"/>
      </w:pPr>
      <w:r>
        <w:rPr>
          <w:rFonts w:ascii="Arial" w:hAnsi="Arial"/>
          <w:color w:val="2F2F2F"/>
          <w:sz w:val="21"/>
        </w:rPr>
        <w:t>Within banqcraft, she is positioned as Co-Founder &amp; People/HR Lead. This capability is particularly relevant to the initial talent proposition because the company is intended to build a disciplined recruitment, onboarding and workforce-management engine rather than simply maintain an informal consultant network.</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Why this matters for the Finastra proposition</w:t>
            </w:r>
          </w:p>
          <w:p>
            <w:pPr>
              <w:spacing w:after="60"/>
            </w:pPr>
            <w:r>
              <w:rPr>
                <w:rFonts w:ascii="Arial" w:hAnsi="Arial"/>
                <w:color w:val="2F2F2F"/>
                <w:sz w:val="19"/>
              </w:rPr>
              <w:t>The founding team combines Banking &amp; Technology delivery leadership with People &amp; HR capability. The latter provides the organizational foundation for recruiting, onboarding, retaining and administering the specialist talent required to scale the initial resource model.</w:t>
            </w:r>
          </w:p>
        </w:tc>
      </w:tr>
    </w:tbl>
    <w:p>
      <w:pPr>
        <w:spacing w:after="40"/>
      </w:pPr>
    </w:p>
    <w:p>
      <w:pPr>
        <w:pStyle w:val="Heading1"/>
        <w:keepNext/>
        <w:spacing w:before="240" w:after="120"/>
      </w:pPr>
      <w:r>
        <w:t>3. Market Need and Differentiation</w:t>
      </w:r>
    </w:p>
    <w:p>
      <w:pPr>
        <w:spacing w:after="120" w:line="259" w:lineRule="auto"/>
      </w:pPr>
      <w:r>
        <w:rPr>
          <w:rFonts w:ascii="Arial" w:hAnsi="Arial"/>
          <w:color w:val="2F2F2F"/>
          <w:sz w:val="21"/>
        </w:rPr>
        <w:t>Through the current engagement, the founder has observed a recurring practical requirement for highly qualified banking-technology professionals who can communicate fluently in Arabic while operating effectively within international delivery environments. The founder’s own onboarding into the current project reflected the value of this combination of domain, delivery and language capability.</w:t>
      </w:r>
    </w:p>
    <w:p>
      <w:pPr>
        <w:spacing w:after="120" w:line="259" w:lineRule="auto"/>
      </w:pPr>
      <w:r>
        <w:rPr>
          <w:rFonts w:ascii="Arial" w:hAnsi="Arial"/>
          <w:color w:val="2F2F2F"/>
          <w:sz w:val="21"/>
        </w:rPr>
        <w:t>banqcraft will therefore make Arabic-language capability a strategic recruitment focus during its initial build. This is not intended as an exclusive hiring rule: non-Arabic-speaking specialists may also be recruited where their expertise is relevant to the required delivery role.</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592"/>
            <w:shd w:fill="17365D"/>
            <w:vAlign w:val="center"/>
          </w:tcPr>
          <w:p>
            <w:pPr>
              <w:spacing w:after="40"/>
            </w:pPr>
            <w:r/>
            <w:r>
              <w:rPr>
                <w:rFonts w:ascii="Arial" w:hAnsi="Arial"/>
                <w:b/>
                <w:color w:val="FFFFFF"/>
                <w:sz w:val="18"/>
              </w:rPr>
              <w:t>Capability</w:t>
            </w:r>
          </w:p>
        </w:tc>
        <w:tc>
          <w:tcPr>
            <w:tcW w:type="dxa" w:w="7344"/>
            <w:shd w:fill="17365D"/>
            <w:vAlign w:val="center"/>
          </w:tcPr>
          <w:p>
            <w:pPr>
              <w:spacing w:after="40"/>
            </w:pPr>
            <w:r/>
            <w:r>
              <w:rPr>
                <w:rFonts w:ascii="Arial" w:hAnsi="Arial"/>
                <w:b/>
                <w:color w:val="FFFFFF"/>
                <w:sz w:val="18"/>
              </w:rPr>
              <w:t>banqcraft approach</w:t>
            </w:r>
          </w:p>
        </w:tc>
      </w:tr>
      <w:tr>
        <w:trPr>
          <w:cantSplit/>
        </w:trPr>
        <w:tc>
          <w:tcPr>
            <w:tcW w:type="dxa" w:w="2592"/>
            <w:shd w:fill="FFFFFF"/>
            <w:vAlign w:val="center"/>
          </w:tcPr>
          <w:p>
            <w:pPr>
              <w:spacing w:after="40"/>
            </w:pPr>
            <w:r/>
            <w:r>
              <w:rPr>
                <w:rFonts w:ascii="Arial" w:hAnsi="Arial"/>
                <w:b w:val="0"/>
                <w:color w:val="2F2F2F"/>
                <w:sz w:val="18"/>
              </w:rPr>
              <w:t>Banking domain</w:t>
            </w:r>
          </w:p>
        </w:tc>
        <w:tc>
          <w:tcPr>
            <w:tcW w:type="dxa" w:w="7344"/>
            <w:shd w:fill="FFFFFF"/>
            <w:vAlign w:val="center"/>
          </w:tcPr>
          <w:p>
            <w:pPr>
              <w:spacing w:after="40"/>
            </w:pPr>
            <w:r/>
            <w:r>
              <w:rPr>
                <w:rFonts w:ascii="Arial" w:hAnsi="Arial"/>
                <w:b w:val="0"/>
                <w:color w:val="2F2F2F"/>
                <w:sz w:val="18"/>
              </w:rPr>
              <w:t>Prioritize professionals with genuine banking-process understanding, not technology-only profiles.</w:t>
            </w:r>
          </w:p>
        </w:tc>
      </w:tr>
      <w:tr>
        <w:trPr>
          <w:cantSplit/>
        </w:trPr>
        <w:tc>
          <w:tcPr>
            <w:tcW w:type="dxa" w:w="2592"/>
            <w:shd w:fill="F5F8FB"/>
            <w:vAlign w:val="center"/>
          </w:tcPr>
          <w:p>
            <w:pPr>
              <w:spacing w:after="40"/>
            </w:pPr>
            <w:r/>
            <w:r>
              <w:rPr>
                <w:rFonts w:ascii="Arial" w:hAnsi="Arial"/>
                <w:b w:val="0"/>
                <w:color w:val="2F2F2F"/>
                <w:sz w:val="18"/>
              </w:rPr>
              <w:t>Finastra alignment</w:t>
            </w:r>
          </w:p>
        </w:tc>
        <w:tc>
          <w:tcPr>
            <w:tcW w:type="dxa" w:w="7344"/>
            <w:shd w:fill="F5F8FB"/>
            <w:vAlign w:val="center"/>
          </w:tcPr>
          <w:p>
            <w:pPr>
              <w:spacing w:after="40"/>
            </w:pPr>
            <w:r/>
            <w:r>
              <w:rPr>
                <w:rFonts w:ascii="Arial" w:hAnsi="Arial"/>
                <w:b w:val="0"/>
                <w:color w:val="2F2F2F"/>
                <w:sz w:val="18"/>
              </w:rPr>
              <w:t>Build product knowledge and certification progressively around relevant Finastra solutions.</w:t>
            </w:r>
          </w:p>
        </w:tc>
      </w:tr>
      <w:tr>
        <w:trPr>
          <w:cantSplit/>
        </w:trPr>
        <w:tc>
          <w:tcPr>
            <w:tcW w:type="dxa" w:w="2592"/>
            <w:shd w:fill="FFFFFF"/>
            <w:vAlign w:val="center"/>
          </w:tcPr>
          <w:p>
            <w:pPr>
              <w:spacing w:after="40"/>
            </w:pPr>
            <w:r/>
            <w:r>
              <w:rPr>
                <w:rFonts w:ascii="Arial" w:hAnsi="Arial"/>
                <w:b w:val="0"/>
                <w:color w:val="2F2F2F"/>
                <w:sz w:val="18"/>
              </w:rPr>
              <w:t>Arabic delivery</w:t>
            </w:r>
          </w:p>
        </w:tc>
        <w:tc>
          <w:tcPr>
            <w:tcW w:type="dxa" w:w="7344"/>
            <w:shd w:fill="FFFFFF"/>
            <w:vAlign w:val="center"/>
          </w:tcPr>
          <w:p>
            <w:pPr>
              <w:spacing w:after="40"/>
            </w:pPr>
            <w:r/>
            <w:r>
              <w:rPr>
                <w:rFonts w:ascii="Arial" w:hAnsi="Arial"/>
                <w:b w:val="0"/>
                <w:color w:val="2F2F2F"/>
                <w:sz w:val="18"/>
              </w:rPr>
              <w:t>Prioritize fluent Arabic capability for roles requiring close engagement with Arabic-speaking bank stakeholders.</w:t>
            </w:r>
          </w:p>
        </w:tc>
      </w:tr>
      <w:tr>
        <w:trPr>
          <w:cantSplit/>
        </w:trPr>
        <w:tc>
          <w:tcPr>
            <w:tcW w:type="dxa" w:w="2592"/>
            <w:shd w:fill="F5F8FB"/>
            <w:vAlign w:val="center"/>
          </w:tcPr>
          <w:p>
            <w:pPr>
              <w:spacing w:after="40"/>
            </w:pPr>
            <w:r/>
            <w:r>
              <w:rPr>
                <w:rFonts w:ascii="Arial" w:hAnsi="Arial"/>
                <w:b w:val="0"/>
                <w:color w:val="2F2F2F"/>
                <w:sz w:val="18"/>
              </w:rPr>
              <w:t>English delivery</w:t>
            </w:r>
          </w:p>
        </w:tc>
        <w:tc>
          <w:tcPr>
            <w:tcW w:type="dxa" w:w="7344"/>
            <w:shd w:fill="F5F8FB"/>
            <w:vAlign w:val="center"/>
          </w:tcPr>
          <w:p>
            <w:pPr>
              <w:spacing w:after="40"/>
            </w:pPr>
            <w:r/>
            <w:r>
              <w:rPr>
                <w:rFonts w:ascii="Arial" w:hAnsi="Arial"/>
                <w:b w:val="0"/>
                <w:color w:val="2F2F2F"/>
                <w:sz w:val="18"/>
              </w:rPr>
              <w:t>Maintain English capability for international teams, product discussions, documentation and professional communication.</w:t>
            </w:r>
          </w:p>
        </w:tc>
      </w:tr>
      <w:tr>
        <w:trPr>
          <w:cantSplit/>
        </w:trPr>
        <w:tc>
          <w:tcPr>
            <w:tcW w:type="dxa" w:w="2592"/>
            <w:shd w:fill="FFFFFF"/>
            <w:vAlign w:val="center"/>
          </w:tcPr>
          <w:p>
            <w:pPr>
              <w:spacing w:after="40"/>
            </w:pPr>
            <w:r/>
            <w:r>
              <w:rPr>
                <w:rFonts w:ascii="Arial" w:hAnsi="Arial"/>
                <w:b w:val="0"/>
                <w:color w:val="2F2F2F"/>
                <w:sz w:val="18"/>
              </w:rPr>
              <w:t>Scalability</w:t>
            </w:r>
          </w:p>
        </w:tc>
        <w:tc>
          <w:tcPr>
            <w:tcW w:type="dxa" w:w="7344"/>
            <w:shd w:fill="FFFFFF"/>
            <w:vAlign w:val="center"/>
          </w:tcPr>
          <w:p>
            <w:pPr>
              <w:spacing w:after="40"/>
            </w:pPr>
            <w:r/>
            <w:r>
              <w:rPr>
                <w:rFonts w:ascii="Arial" w:hAnsi="Arial"/>
                <w:b w:val="0"/>
                <w:color w:val="2F2F2F"/>
                <w:sz w:val="18"/>
              </w:rPr>
              <w:t>Use a controlled talent engine and recruit additional professionals after partnership approval and confirmed demand.</w:t>
            </w:r>
          </w:p>
        </w:tc>
      </w:tr>
    </w:tbl>
    <w:p>
      <w:pPr>
        <w:spacing w:after="40"/>
      </w:pPr>
    </w:p>
    <w:p>
      <w:pPr>
        <w:pStyle w:val="Heading1"/>
        <w:keepNext/>
        <w:spacing w:before="240" w:after="120"/>
      </w:pPr>
      <w:r>
        <w:t>4. Relevant Current Project Experience</w:t>
      </w:r>
    </w:p>
    <w:p>
      <w:pPr>
        <w:spacing w:after="120" w:line="259" w:lineRule="auto"/>
      </w:pPr>
      <w:r>
        <w:rPr>
          <w:rFonts w:ascii="Arial" w:hAnsi="Arial"/>
          <w:color w:val="2F2F2F"/>
          <w:sz w:val="21"/>
        </w:rPr>
        <w:t>The founder is currently supporting a major Egyptian bank on a confidential implementation involving Finastra Fusion Trade Innovation (FTI) and Fusion Corporate Channels (FCC). He was onboarded in June 2025 and the engagement is expected to continue through March 2027.</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592"/>
            <w:shd w:fill="17365D"/>
            <w:vAlign w:val="center"/>
          </w:tcPr>
          <w:p>
            <w:pPr>
              <w:spacing w:after="40"/>
            </w:pPr>
            <w:r/>
            <w:r>
              <w:rPr>
                <w:rFonts w:ascii="Arial" w:hAnsi="Arial"/>
                <w:b/>
                <w:color w:val="FFFFFF"/>
                <w:sz w:val="18"/>
              </w:rPr>
              <w:t>Project dimension</w:t>
            </w:r>
          </w:p>
        </w:tc>
        <w:tc>
          <w:tcPr>
            <w:tcW w:type="dxa" w:w="7344"/>
            <w:shd w:fill="17365D"/>
            <w:vAlign w:val="center"/>
          </w:tcPr>
          <w:p>
            <w:pPr>
              <w:spacing w:after="40"/>
            </w:pPr>
            <w:r/>
            <w:r>
              <w:rPr>
                <w:rFonts w:ascii="Arial" w:hAnsi="Arial"/>
                <w:b/>
                <w:color w:val="FFFFFF"/>
                <w:sz w:val="18"/>
              </w:rPr>
              <w:t>Current experience</w:t>
            </w:r>
          </w:p>
        </w:tc>
      </w:tr>
      <w:tr>
        <w:trPr>
          <w:cantSplit/>
        </w:trPr>
        <w:tc>
          <w:tcPr>
            <w:tcW w:type="dxa" w:w="2592"/>
            <w:shd w:fill="FFFFFF"/>
            <w:vAlign w:val="center"/>
          </w:tcPr>
          <w:p>
            <w:pPr>
              <w:spacing w:after="40"/>
            </w:pPr>
            <w:r/>
            <w:r>
              <w:rPr>
                <w:rFonts w:ascii="Arial" w:hAnsi="Arial"/>
                <w:b w:val="0"/>
                <w:color w:val="2F2F2F"/>
                <w:sz w:val="18"/>
              </w:rPr>
              <w:t>Project team</w:t>
            </w:r>
          </w:p>
        </w:tc>
        <w:tc>
          <w:tcPr>
            <w:tcW w:type="dxa" w:w="7344"/>
            <w:shd w:fill="FFFFFF"/>
            <w:vAlign w:val="center"/>
          </w:tcPr>
          <w:p>
            <w:pPr>
              <w:spacing w:after="40"/>
            </w:pPr>
            <w:r/>
            <w:r>
              <w:rPr>
                <w:rFonts w:ascii="Arial" w:hAnsi="Arial"/>
                <w:b w:val="0"/>
                <w:color w:val="2F2F2F"/>
                <w:sz w:val="18"/>
              </w:rPr>
              <w:t>Approximately 12 people.</w:t>
            </w:r>
          </w:p>
        </w:tc>
      </w:tr>
      <w:tr>
        <w:trPr>
          <w:cantSplit/>
        </w:trPr>
        <w:tc>
          <w:tcPr>
            <w:tcW w:type="dxa" w:w="2592"/>
            <w:shd w:fill="F5F8FB"/>
            <w:vAlign w:val="center"/>
          </w:tcPr>
          <w:p>
            <w:pPr>
              <w:spacing w:after="40"/>
            </w:pPr>
            <w:r/>
            <w:r>
              <w:rPr>
                <w:rFonts w:ascii="Arial" w:hAnsi="Arial"/>
                <w:b w:val="0"/>
                <w:color w:val="2F2F2F"/>
                <w:sz w:val="18"/>
              </w:rPr>
              <w:t>Bank stakeholders</w:t>
            </w:r>
          </w:p>
        </w:tc>
        <w:tc>
          <w:tcPr>
            <w:tcW w:type="dxa" w:w="7344"/>
            <w:shd w:fill="F5F8FB"/>
            <w:vAlign w:val="center"/>
          </w:tcPr>
          <w:p>
            <w:pPr>
              <w:spacing w:after="40"/>
            </w:pPr>
            <w:r/>
            <w:r>
              <w:rPr>
                <w:rFonts w:ascii="Arial" w:hAnsi="Arial"/>
                <w:b w:val="0"/>
                <w:color w:val="2F2F2F"/>
                <w:sz w:val="18"/>
              </w:rPr>
              <w:t>Approximately 20 bank team members/stakeholders interacted with.</w:t>
            </w:r>
          </w:p>
        </w:tc>
      </w:tr>
      <w:tr>
        <w:trPr>
          <w:cantSplit/>
        </w:trPr>
        <w:tc>
          <w:tcPr>
            <w:tcW w:type="dxa" w:w="2592"/>
            <w:shd w:fill="FFFFFF"/>
            <w:vAlign w:val="center"/>
          </w:tcPr>
          <w:p>
            <w:pPr>
              <w:spacing w:after="40"/>
            </w:pPr>
            <w:r/>
            <w:r>
              <w:rPr>
                <w:rFonts w:ascii="Arial" w:hAnsi="Arial"/>
                <w:b w:val="0"/>
                <w:color w:val="2F2F2F"/>
                <w:sz w:val="18"/>
              </w:rPr>
              <w:t>Finastra engagement</w:t>
            </w:r>
          </w:p>
        </w:tc>
        <w:tc>
          <w:tcPr>
            <w:tcW w:type="dxa" w:w="7344"/>
            <w:shd w:fill="FFFFFF"/>
            <w:vAlign w:val="center"/>
          </w:tcPr>
          <w:p>
            <w:pPr>
              <w:spacing w:after="40"/>
            </w:pPr>
            <w:r/>
            <w:r>
              <w:rPr>
                <w:rFonts w:ascii="Arial" w:hAnsi="Arial"/>
                <w:b w:val="0"/>
                <w:color w:val="2F2F2F"/>
                <w:sz w:val="18"/>
              </w:rPr>
              <w:t>Direct interaction with Finastra product/team members on a weekly basis.</w:t>
            </w:r>
          </w:p>
        </w:tc>
      </w:tr>
      <w:tr>
        <w:trPr>
          <w:cantSplit/>
        </w:trPr>
        <w:tc>
          <w:tcPr>
            <w:tcW w:type="dxa" w:w="2592"/>
            <w:shd w:fill="F5F8FB"/>
            <w:vAlign w:val="center"/>
          </w:tcPr>
          <w:p>
            <w:pPr>
              <w:spacing w:after="40"/>
            </w:pPr>
            <w:r/>
            <w:r>
              <w:rPr>
                <w:rFonts w:ascii="Arial" w:hAnsi="Arial"/>
                <w:b w:val="0"/>
                <w:color w:val="2F2F2F"/>
                <w:sz w:val="18"/>
              </w:rPr>
              <w:t>Lifecycle coverage</w:t>
            </w:r>
          </w:p>
        </w:tc>
        <w:tc>
          <w:tcPr>
            <w:tcW w:type="dxa" w:w="7344"/>
            <w:shd w:fill="F5F8FB"/>
            <w:vAlign w:val="center"/>
          </w:tcPr>
          <w:p>
            <w:pPr>
              <w:spacing w:after="40"/>
            </w:pPr>
            <w:r/>
            <w:r>
              <w:rPr>
                <w:rFonts w:ascii="Arial" w:hAnsi="Arial"/>
                <w:b w:val="0"/>
                <w:color w:val="2F2F2F"/>
                <w:sz w:val="18"/>
              </w:rPr>
              <w:t>Engaged from early implementation through migration, training, go-live and post-production support.</w:t>
            </w:r>
          </w:p>
        </w:tc>
      </w:tr>
      <w:tr>
        <w:trPr>
          <w:cantSplit/>
        </w:trPr>
        <w:tc>
          <w:tcPr>
            <w:tcW w:type="dxa" w:w="2592"/>
            <w:shd w:fill="FFFFFF"/>
            <w:vAlign w:val="center"/>
          </w:tcPr>
          <w:p>
            <w:pPr>
              <w:spacing w:after="40"/>
            </w:pPr>
            <w:r/>
            <w:r>
              <w:rPr>
                <w:rFonts w:ascii="Arial" w:hAnsi="Arial"/>
                <w:b w:val="0"/>
                <w:color w:val="2F2F2F"/>
                <w:sz w:val="18"/>
              </w:rPr>
              <w:t>Milestones</w:t>
            </w:r>
          </w:p>
        </w:tc>
        <w:tc>
          <w:tcPr>
            <w:tcW w:type="dxa" w:w="7344"/>
            <w:shd w:fill="FFFFFF"/>
            <w:vAlign w:val="center"/>
          </w:tcPr>
          <w:p>
            <w:pPr>
              <w:spacing w:after="40"/>
            </w:pPr>
            <w:r/>
            <w:r>
              <w:rPr>
                <w:rFonts w:ascii="Arial" w:hAnsi="Arial"/>
                <w:b w:val="0"/>
                <w:color w:val="2F2F2F"/>
                <w:sz w:val="18"/>
              </w:rPr>
              <w:t>Definition phase, SIT, UAT, go-live and post-production support.</w:t>
            </w:r>
          </w:p>
        </w:tc>
      </w:tr>
      <w:tr>
        <w:trPr>
          <w:cantSplit/>
        </w:trPr>
        <w:tc>
          <w:tcPr>
            <w:tcW w:type="dxa" w:w="2592"/>
            <w:shd w:fill="F5F8FB"/>
            <w:vAlign w:val="center"/>
          </w:tcPr>
          <w:p>
            <w:pPr>
              <w:spacing w:after="40"/>
            </w:pPr>
            <w:r/>
            <w:r>
              <w:rPr>
                <w:rFonts w:ascii="Arial" w:hAnsi="Arial"/>
                <w:b w:val="0"/>
                <w:color w:val="2F2F2F"/>
                <w:sz w:val="18"/>
              </w:rPr>
              <w:t>Client</w:t>
            </w:r>
          </w:p>
        </w:tc>
        <w:tc>
          <w:tcPr>
            <w:tcW w:type="dxa" w:w="7344"/>
            <w:shd w:fill="F5F8FB"/>
            <w:vAlign w:val="center"/>
          </w:tcPr>
          <w:p>
            <w:pPr>
              <w:spacing w:after="40"/>
            </w:pPr>
            <w:r/>
            <w:r>
              <w:rPr>
                <w:rFonts w:ascii="Arial" w:hAnsi="Arial"/>
                <w:b w:val="0"/>
                <w:color w:val="2F2F2F"/>
                <w:sz w:val="18"/>
              </w:rPr>
              <w:t>Major Egyptian bank; name withheld at this stage for confidentiality.</w:t>
            </w:r>
          </w:p>
        </w:tc>
      </w:tr>
    </w:tbl>
    <w:p>
      <w:pPr>
        <w:spacing w:after="40"/>
      </w:pPr>
    </w:p>
    <w:p>
      <w:pPr>
        <w:pStyle w:val="Heading2"/>
        <w:keepNext/>
        <w:spacing w:before="160" w:after="120"/>
      </w:pPr>
      <w:r>
        <w:t>4.1 Functional and Delivery Scope</w:t>
      </w:r>
    </w:p>
    <w:p>
      <w:pPr>
        <w:pStyle w:val="ListBullet"/>
        <w:spacing w:after="40"/>
        <w:ind w:left="360"/>
      </w:pPr>
      <w:r>
        <w:rPr>
          <w:rFonts w:ascii="Arial" w:hAnsi="Arial"/>
          <w:color w:val="2F2F2F"/>
          <w:sz w:val="20"/>
        </w:rPr>
        <w:t>Business solution demonstrations and solution/scoping discussions.</w:t>
      </w:r>
    </w:p>
    <w:p>
      <w:pPr>
        <w:pStyle w:val="ListBullet"/>
        <w:spacing w:after="40"/>
        <w:ind w:left="360"/>
      </w:pPr>
      <w:r>
        <w:rPr>
          <w:rFonts w:ascii="Arial" w:hAnsi="Arial"/>
          <w:color w:val="2F2F2F"/>
          <w:sz w:val="20"/>
        </w:rPr>
        <w:t>Business scope definition, business requirements and functional design/configuration.</w:t>
      </w:r>
    </w:p>
    <w:p>
      <w:pPr>
        <w:pStyle w:val="ListBullet"/>
        <w:spacing w:after="40"/>
        <w:ind w:left="360"/>
      </w:pPr>
      <w:r>
        <w:rPr>
          <w:rFonts w:ascii="Arial" w:hAnsi="Arial"/>
          <w:color w:val="2F2F2F"/>
          <w:sz w:val="20"/>
        </w:rPr>
        <w:t>Functional environment build and functional validation of technical deliveries.</w:t>
      </w:r>
    </w:p>
    <w:p>
      <w:pPr>
        <w:pStyle w:val="ListBullet"/>
        <w:spacing w:after="40"/>
        <w:ind w:left="360"/>
      </w:pPr>
      <w:r>
        <w:rPr>
          <w:rFonts w:ascii="Arial" w:hAnsi="Arial"/>
          <w:color w:val="2F2F2F"/>
          <w:sz w:val="20"/>
        </w:rPr>
        <w:t>Migration activities and implementation coordination.</w:t>
      </w:r>
    </w:p>
    <w:p>
      <w:pPr>
        <w:pStyle w:val="ListBullet"/>
        <w:spacing w:after="40"/>
        <w:ind w:left="360"/>
      </w:pPr>
      <w:r>
        <w:rPr>
          <w:rFonts w:ascii="Arial" w:hAnsi="Arial"/>
          <w:color w:val="2F2F2F"/>
          <w:sz w:val="20"/>
        </w:rPr>
        <w:t>Management and investigation of Finastra product cases through Jira, including direct discussion with Finastra product teams.</w:t>
      </w:r>
    </w:p>
    <w:p>
      <w:pPr>
        <w:pStyle w:val="ListBullet"/>
        <w:spacing w:after="40"/>
        <w:ind w:left="360"/>
      </w:pPr>
      <w:r>
        <w:rPr>
          <w:rFonts w:ascii="Arial" w:hAnsi="Arial"/>
          <w:color w:val="2F2F2F"/>
          <w:sz w:val="20"/>
        </w:rPr>
        <w:t>Analysis of potential defects and distinction between product behaviour, configuration and implementation issues.</w:t>
      </w:r>
    </w:p>
    <w:p>
      <w:pPr>
        <w:pStyle w:val="ListBullet"/>
        <w:spacing w:after="40"/>
        <w:ind w:left="360"/>
      </w:pPr>
      <w:r>
        <w:rPr>
          <w:rFonts w:ascii="Arial" w:hAnsi="Arial"/>
          <w:color w:val="2F2F2F"/>
          <w:sz w:val="20"/>
        </w:rPr>
        <w:t>Client Jira overview and guidance on issue classification and escalation routes.</w:t>
      </w:r>
    </w:p>
    <w:p>
      <w:pPr>
        <w:pStyle w:val="ListBullet"/>
        <w:spacing w:after="40"/>
        <w:ind w:left="360"/>
      </w:pPr>
      <w:r>
        <w:rPr>
          <w:rFonts w:ascii="Arial" w:hAnsi="Arial"/>
          <w:color w:val="2F2F2F"/>
          <w:sz w:val="20"/>
        </w:rPr>
        <w:t>Training and enablement for bank application-support teams, including system tailoring and static data, and enablement for business users.</w:t>
      </w:r>
    </w:p>
    <w:p>
      <w:pPr>
        <w:pStyle w:val="Heading1"/>
        <w:keepNext/>
        <w:spacing w:before="240" w:after="120"/>
      </w:pPr>
      <w:r>
        <w:t>5. Initial Delivery Capability</w:t>
      </w:r>
    </w:p>
    <w:p>
      <w:pPr>
        <w:spacing w:after="120" w:line="259" w:lineRule="auto"/>
      </w:pPr>
      <w:r>
        <w:rPr>
          <w:rFonts w:ascii="Arial" w:hAnsi="Arial"/>
          <w:color w:val="2F2F2F"/>
          <w:sz w:val="21"/>
        </w:rPr>
        <w:t>banqcraft has identified an initial three-person delivery capability that can be activated following partnership approval and applicable contractual/notice arrangements. The planned deployment window is approximately two to three months after approval.</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98"/>
        <w:gridCol w:w="2498"/>
        <w:gridCol w:w="2498"/>
        <w:gridCol w:w="2498"/>
      </w:tblGrid>
      <w:tr>
        <w:trPr>
          <w:cantSplit/>
        </w:trPr>
        <w:tc>
          <w:tcPr>
            <w:tcW w:type="dxa" w:w="1584"/>
            <w:shd w:fill="17365D"/>
            <w:vAlign w:val="center"/>
          </w:tcPr>
          <w:p>
            <w:pPr>
              <w:spacing w:after="40"/>
            </w:pPr>
            <w:r/>
            <w:r>
              <w:rPr>
                <w:rFonts w:ascii="Arial" w:hAnsi="Arial"/>
                <w:b/>
                <w:color w:val="FFFFFF"/>
                <w:sz w:val="18"/>
              </w:rPr>
              <w:t>Resource</w:t>
            </w:r>
          </w:p>
        </w:tc>
        <w:tc>
          <w:tcPr>
            <w:tcW w:type="dxa" w:w="1440"/>
            <w:shd w:fill="17365D"/>
            <w:vAlign w:val="center"/>
          </w:tcPr>
          <w:p>
            <w:pPr>
              <w:spacing w:after="40"/>
            </w:pPr>
            <w:r/>
            <w:r>
              <w:rPr>
                <w:rFonts w:ascii="Arial" w:hAnsi="Arial"/>
                <w:b/>
                <w:color w:val="FFFFFF"/>
                <w:sz w:val="18"/>
              </w:rPr>
              <w:t>Experience</w:t>
            </w:r>
          </w:p>
        </w:tc>
        <w:tc>
          <w:tcPr>
            <w:tcW w:type="dxa" w:w="3168"/>
            <w:shd w:fill="17365D"/>
            <w:vAlign w:val="center"/>
          </w:tcPr>
          <w:p>
            <w:pPr>
              <w:spacing w:after="40"/>
            </w:pPr>
            <w:r/>
            <w:r>
              <w:rPr>
                <w:rFonts w:ascii="Arial" w:hAnsi="Arial"/>
                <w:b/>
                <w:color w:val="FFFFFF"/>
                <w:sz w:val="18"/>
              </w:rPr>
              <w:t>Primary capability</w:t>
            </w:r>
          </w:p>
        </w:tc>
        <w:tc>
          <w:tcPr>
            <w:tcW w:type="dxa" w:w="3744"/>
            <w:shd w:fill="17365D"/>
            <w:vAlign w:val="center"/>
          </w:tcPr>
          <w:p>
            <w:pPr>
              <w:spacing w:after="40"/>
            </w:pPr>
            <w:r/>
            <w:r>
              <w:rPr>
                <w:rFonts w:ascii="Arial" w:hAnsi="Arial"/>
                <w:b/>
                <w:color w:val="FFFFFF"/>
                <w:sz w:val="18"/>
              </w:rPr>
              <w:t>Current Finastra readiness</w:t>
            </w:r>
          </w:p>
        </w:tc>
      </w:tr>
      <w:tr>
        <w:trPr>
          <w:cantSplit/>
        </w:trPr>
        <w:tc>
          <w:tcPr>
            <w:tcW w:type="dxa" w:w="1584"/>
            <w:shd w:fill="FFFFFF"/>
            <w:vAlign w:val="center"/>
          </w:tcPr>
          <w:p>
            <w:pPr>
              <w:spacing w:after="40"/>
            </w:pPr>
            <w:r/>
            <w:r>
              <w:rPr>
                <w:rFonts w:ascii="Arial" w:hAnsi="Arial"/>
                <w:b w:val="0"/>
                <w:color w:val="2F2F2F"/>
                <w:sz w:val="18"/>
              </w:rPr>
              <w:t>Resource A</w:t>
            </w:r>
          </w:p>
        </w:tc>
        <w:tc>
          <w:tcPr>
            <w:tcW w:type="dxa" w:w="1440"/>
            <w:shd w:fill="FFFFFF"/>
            <w:vAlign w:val="center"/>
          </w:tcPr>
          <w:p>
            <w:pPr>
              <w:spacing w:after="40"/>
            </w:pPr>
            <w:r/>
            <w:r>
              <w:rPr>
                <w:rFonts w:ascii="Arial" w:hAnsi="Arial"/>
                <w:b w:val="0"/>
                <w:color w:val="2F2F2F"/>
                <w:sz w:val="18"/>
              </w:rPr>
              <w:t>7 years</w:t>
            </w:r>
          </w:p>
        </w:tc>
        <w:tc>
          <w:tcPr>
            <w:tcW w:type="dxa" w:w="3168"/>
            <w:shd w:fill="FFFFFF"/>
            <w:vAlign w:val="center"/>
          </w:tcPr>
          <w:p>
            <w:pPr>
              <w:spacing w:after="40"/>
            </w:pPr>
            <w:r/>
            <w:r>
              <w:rPr>
                <w:rFonts w:ascii="Arial" w:hAnsi="Arial"/>
                <w:b w:val="0"/>
                <w:color w:val="2F2F2F"/>
                <w:sz w:val="18"/>
              </w:rPr>
              <w:t>FTI technical</w:t>
            </w:r>
          </w:p>
        </w:tc>
        <w:tc>
          <w:tcPr>
            <w:tcW w:type="dxa" w:w="3744"/>
            <w:shd w:fill="FFFFFF"/>
            <w:vAlign w:val="center"/>
          </w:tcPr>
          <w:p>
            <w:pPr>
              <w:spacing w:after="40"/>
            </w:pPr>
            <w:r/>
            <w:r>
              <w:rPr>
                <w:rFonts w:ascii="Arial" w:hAnsi="Arial"/>
                <w:b w:val="0"/>
                <w:color w:val="2F2F2F"/>
                <w:sz w:val="18"/>
              </w:rPr>
              <w:t>FCA certified; additional certification to be confirmed.</w:t>
            </w:r>
          </w:p>
        </w:tc>
      </w:tr>
      <w:tr>
        <w:trPr>
          <w:cantSplit/>
        </w:trPr>
        <w:tc>
          <w:tcPr>
            <w:tcW w:type="dxa" w:w="1584"/>
            <w:shd w:fill="F5F8FB"/>
            <w:vAlign w:val="center"/>
          </w:tcPr>
          <w:p>
            <w:pPr>
              <w:spacing w:after="40"/>
            </w:pPr>
            <w:r/>
            <w:r>
              <w:rPr>
                <w:rFonts w:ascii="Arial" w:hAnsi="Arial"/>
                <w:b w:val="0"/>
                <w:color w:val="2F2F2F"/>
                <w:sz w:val="18"/>
              </w:rPr>
              <w:t>Resource B</w:t>
            </w:r>
          </w:p>
        </w:tc>
        <w:tc>
          <w:tcPr>
            <w:tcW w:type="dxa" w:w="1440"/>
            <w:shd w:fill="F5F8FB"/>
            <w:vAlign w:val="center"/>
          </w:tcPr>
          <w:p>
            <w:pPr>
              <w:spacing w:after="40"/>
            </w:pPr>
            <w:r/>
            <w:r>
              <w:rPr>
                <w:rFonts w:ascii="Arial" w:hAnsi="Arial"/>
                <w:b w:val="0"/>
                <w:color w:val="2F2F2F"/>
                <w:sz w:val="18"/>
              </w:rPr>
              <w:t>20 years</w:t>
            </w:r>
          </w:p>
        </w:tc>
        <w:tc>
          <w:tcPr>
            <w:tcW w:type="dxa" w:w="3168"/>
            <w:shd w:fill="F5F8FB"/>
            <w:vAlign w:val="center"/>
          </w:tcPr>
          <w:p>
            <w:pPr>
              <w:spacing w:after="40"/>
            </w:pPr>
            <w:r/>
            <w:r>
              <w:rPr>
                <w:rFonts w:ascii="Arial" w:hAnsi="Arial"/>
                <w:b w:val="0"/>
                <w:color w:val="2F2F2F"/>
                <w:sz w:val="18"/>
              </w:rPr>
              <w:t>FTI techno-functional / banking delivery</w:t>
            </w:r>
          </w:p>
        </w:tc>
        <w:tc>
          <w:tcPr>
            <w:tcW w:type="dxa" w:w="3744"/>
            <w:shd w:fill="F5F8FB"/>
            <w:vAlign w:val="center"/>
          </w:tcPr>
          <w:p>
            <w:pPr>
              <w:spacing w:after="40"/>
            </w:pPr>
            <w:r/>
            <w:r>
              <w:rPr>
                <w:rFonts w:ascii="Arial" w:hAnsi="Arial"/>
                <w:b w:val="0"/>
                <w:color w:val="2F2F2F"/>
                <w:sz w:val="18"/>
              </w:rPr>
              <w:t>Approximately 20 years of bank-side Finastra delivery experience; certification requirements to be confirmed.</w:t>
            </w:r>
          </w:p>
        </w:tc>
      </w:tr>
      <w:tr>
        <w:trPr>
          <w:cantSplit/>
        </w:trPr>
        <w:tc>
          <w:tcPr>
            <w:tcW w:type="dxa" w:w="1584"/>
            <w:shd w:fill="FFFFFF"/>
            <w:vAlign w:val="center"/>
          </w:tcPr>
          <w:p>
            <w:pPr>
              <w:spacing w:after="40"/>
            </w:pPr>
            <w:r/>
            <w:r>
              <w:rPr>
                <w:rFonts w:ascii="Arial" w:hAnsi="Arial"/>
                <w:b w:val="0"/>
                <w:color w:val="2F2F2F"/>
                <w:sz w:val="18"/>
              </w:rPr>
              <w:t>Resource C</w:t>
            </w:r>
          </w:p>
        </w:tc>
        <w:tc>
          <w:tcPr>
            <w:tcW w:type="dxa" w:w="1440"/>
            <w:shd w:fill="FFFFFF"/>
            <w:vAlign w:val="center"/>
          </w:tcPr>
          <w:p>
            <w:pPr>
              <w:spacing w:after="40"/>
            </w:pPr>
            <w:r/>
            <w:r>
              <w:rPr>
                <w:rFonts w:ascii="Arial" w:hAnsi="Arial"/>
                <w:b w:val="0"/>
                <w:color w:val="2F2F2F"/>
                <w:sz w:val="18"/>
              </w:rPr>
              <w:t>15 years</w:t>
            </w:r>
          </w:p>
        </w:tc>
        <w:tc>
          <w:tcPr>
            <w:tcW w:type="dxa" w:w="3168"/>
            <w:shd w:fill="FFFFFF"/>
            <w:vAlign w:val="center"/>
          </w:tcPr>
          <w:p>
            <w:pPr>
              <w:spacing w:after="40"/>
            </w:pPr>
            <w:r/>
            <w:r>
              <w:rPr>
                <w:rFonts w:ascii="Arial" w:hAnsi="Arial"/>
                <w:b w:val="0"/>
                <w:color w:val="2F2F2F"/>
                <w:sz w:val="18"/>
              </w:rPr>
              <w:t>Integration / senior technical</w:t>
            </w:r>
          </w:p>
        </w:tc>
        <w:tc>
          <w:tcPr>
            <w:tcW w:type="dxa" w:w="3744"/>
            <w:shd w:fill="FFFFFF"/>
            <w:vAlign w:val="center"/>
          </w:tcPr>
          <w:p>
            <w:pPr>
              <w:spacing w:after="40"/>
            </w:pPr>
            <w:r/>
            <w:r>
              <w:rPr>
                <w:rFonts w:ascii="Arial" w:hAnsi="Arial"/>
                <w:b w:val="0"/>
                <w:color w:val="2F2F2F"/>
                <w:sz w:val="18"/>
              </w:rPr>
              <w:t>Integration specialist; Finastra enablement/certification to be developed as required.</w:t>
            </w:r>
          </w:p>
        </w:tc>
      </w:tr>
    </w:tbl>
    <w:p>
      <w:pPr>
        <w:spacing w:after="40"/>
      </w:pPr>
    </w:p>
    <w:p>
      <w:pPr>
        <w:spacing w:after="120" w:line="259" w:lineRule="auto"/>
      </w:pPr>
      <w:r>
        <w:rPr>
          <w:rFonts w:ascii="Arial" w:hAnsi="Arial"/>
          <w:color w:val="2F2F2F"/>
          <w:sz w:val="21"/>
        </w:rPr>
        <w:t>All three identified professionals are fluent in Arabic and English. The initial pool combines vendor-side technical experience, long-term bank-side Finastra delivery experience and integration capability.</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Controlled capacity build</w:t>
            </w:r>
          </w:p>
          <w:p>
            <w:pPr>
              <w:spacing w:after="60"/>
            </w:pPr>
            <w:r>
              <w:rPr>
                <w:rFonts w:ascii="Arial" w:hAnsi="Arial"/>
                <w:color w:val="2F2F2F"/>
                <w:sz w:val="19"/>
              </w:rPr>
              <w:t>banqcraft will not build a large unutilized bench before the partnership opportunity is validated. Recruitment will be activated following partnership approval and aligned with confirmed project demand, while the founding team maintains responsibility for talent quality and workforce management.</w:t>
            </w:r>
          </w:p>
        </w:tc>
      </w:tr>
    </w:tbl>
    <w:p>
      <w:pPr>
        <w:spacing w:after="40"/>
      </w:pPr>
    </w:p>
    <w:p>
      <w:pPr>
        <w:pStyle w:val="Heading1"/>
        <w:keepNext/>
        <w:spacing w:before="240" w:after="120"/>
      </w:pPr>
      <w:r>
        <w:t>6. Operating and Talent Model</w:t>
      </w:r>
    </w:p>
    <w:p>
      <w:pPr>
        <w:spacing w:after="120" w:line="259" w:lineRule="auto"/>
      </w:pPr>
      <w:r>
        <w:rPr>
          <w:rFonts w:ascii="Arial" w:hAnsi="Arial"/>
          <w:color w:val="2F2F2F"/>
          <w:sz w:val="21"/>
        </w:rPr>
        <w:t>The operating model is designed to provide qualified resources through a professional, controlled company structure rather than an informal freelancer network. Initial employees are intended to be engaged on renewable one-year contracts, subject to applicable Egyptian employment requirements and role needs.</w:t>
      </w:r>
    </w:p>
    <w:p>
      <w:pPr>
        <w:pStyle w:val="ListBullet"/>
        <w:spacing w:after="40"/>
        <w:ind w:left="360"/>
      </w:pPr>
      <w:r>
        <w:rPr>
          <w:rFonts w:ascii="Arial" w:hAnsi="Arial"/>
          <w:color w:val="2F2F2F"/>
          <w:sz w:val="20"/>
        </w:rPr>
        <w:t>Recruitment led by the Co-Founder &amp; People/HR Lead using structured job descriptions, screening, interview and onboarding processes.</w:t>
      </w:r>
    </w:p>
    <w:p>
      <w:pPr>
        <w:pStyle w:val="ListBullet"/>
        <w:spacing w:after="40"/>
        <w:ind w:left="360"/>
      </w:pPr>
      <w:r>
        <w:rPr>
          <w:rFonts w:ascii="Arial" w:hAnsi="Arial"/>
          <w:color w:val="2F2F2F"/>
          <w:sz w:val="20"/>
        </w:rPr>
        <w:t>Technical and functional assessment aligned to the specific Finastra delivery role.</w:t>
      </w:r>
    </w:p>
    <w:p>
      <w:pPr>
        <w:pStyle w:val="ListBullet"/>
        <w:spacing w:after="40"/>
        <w:ind w:left="360"/>
      </w:pPr>
      <w:r>
        <w:rPr>
          <w:rFonts w:ascii="Arial" w:hAnsi="Arial"/>
          <w:color w:val="2F2F2F"/>
          <w:sz w:val="20"/>
        </w:rPr>
        <w:t>Finastra learning and certification progressively integrated into the talent-development plan where required.</w:t>
      </w:r>
    </w:p>
    <w:p>
      <w:pPr>
        <w:pStyle w:val="ListBullet"/>
        <w:spacing w:after="40"/>
        <w:ind w:left="360"/>
      </w:pPr>
      <w:r>
        <w:rPr>
          <w:rFonts w:ascii="Arial" w:hAnsi="Arial"/>
          <w:color w:val="2F2F2F"/>
          <w:sz w:val="20"/>
        </w:rPr>
        <w:t>Documented employment, confidentiality, intellectual-property and workforce-management controls.</w:t>
      </w:r>
    </w:p>
    <w:p>
      <w:pPr>
        <w:pStyle w:val="ListBullet"/>
        <w:spacing w:after="40"/>
        <w:ind w:left="360"/>
      </w:pPr>
      <w:r>
        <w:rPr>
          <w:rFonts w:ascii="Arial" w:hAnsi="Arial"/>
          <w:color w:val="2F2F2F"/>
          <w:sz w:val="20"/>
        </w:rPr>
        <w:t>Capacity expansion from the initial three-person core toward five and then ten professionals as demand and partnership maturity increase.</w:t>
      </w:r>
    </w:p>
    <w:p>
      <w:pPr>
        <w:pStyle w:val="Heading1"/>
        <w:keepNext/>
        <w:spacing w:before="240" w:after="120"/>
      </w:pPr>
      <w:r>
        <w:t>7. Geographic Focus</w:t>
      </w:r>
    </w:p>
    <w:p>
      <w:pPr>
        <w:spacing w:after="120" w:line="259" w:lineRule="auto"/>
      </w:pPr>
      <w:r>
        <w:rPr>
          <w:rFonts w:ascii="Arial" w:hAnsi="Arial"/>
          <w:color w:val="2F2F2F"/>
          <w:sz w:val="21"/>
        </w:rPr>
        <w:t>Egypt will be the initial operating base. The company is designed to serve Egyptian financial institutions and support regional delivery opportunities as capability develops, with Middle East and wider MEA expansion considered as a subsequent growth stage.</w:t>
      </w:r>
    </w:p>
    <w:p>
      <w:pPr>
        <w:spacing w:after="120" w:line="259" w:lineRule="auto"/>
      </w:pPr>
      <w:r>
        <w:rPr>
          <w:rFonts w:ascii="Arial" w:hAnsi="Arial"/>
          <w:color w:val="2F2F2F"/>
          <w:sz w:val="21"/>
        </w:rPr>
        <w:t>The regional proposition is based on an Egypt-based delivery model, bilingual talent and the founder’s experience across Finastra-related solutions delivered in multiple MENA banking environments.</w:t>
      </w:r>
    </w:p>
    <w:p>
      <w:pPr>
        <w:pStyle w:val="Heading1"/>
        <w:keepNext/>
        <w:spacing w:before="240" w:after="120"/>
      </w:pPr>
      <w:br w:type="page"/>
      <w:r>
        <w:t>8. Proposed Partnership Discussion</w:t>
      </w:r>
    </w:p>
    <w:p>
      <w:pPr>
        <w:spacing w:after="120" w:line="259" w:lineRule="auto"/>
      </w:pPr>
      <w:r>
        <w:rPr>
          <w:rFonts w:ascii="Arial" w:hAnsi="Arial"/>
          <w:color w:val="2F2F2F"/>
          <w:sz w:val="21"/>
        </w:rPr>
        <w:t>banqcraft is seeking a formal relationship with Finastra that allows it to build and provide qualified professional-services capability around Finastra engagements. The company would like to discuss the most appropriate route to market rather than assume a particular partner classification in advance.</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880"/>
            <w:shd w:fill="17365D"/>
            <w:vAlign w:val="center"/>
          </w:tcPr>
          <w:p>
            <w:pPr>
              <w:spacing w:after="40"/>
            </w:pPr>
            <w:r/>
            <w:r>
              <w:rPr>
                <w:rFonts w:ascii="Arial" w:hAnsi="Arial"/>
                <w:b/>
                <w:color w:val="FFFFFF"/>
                <w:sz w:val="18"/>
              </w:rPr>
              <w:t>Objective</w:t>
            </w:r>
          </w:p>
        </w:tc>
        <w:tc>
          <w:tcPr>
            <w:tcW w:type="dxa" w:w="7200"/>
            <w:shd w:fill="17365D"/>
            <w:vAlign w:val="center"/>
          </w:tcPr>
          <w:p>
            <w:pPr>
              <w:spacing w:after="40"/>
            </w:pPr>
            <w:r/>
            <w:r>
              <w:rPr>
                <w:rFonts w:ascii="Arial" w:hAnsi="Arial"/>
                <w:b/>
                <w:color w:val="FFFFFF"/>
                <w:sz w:val="18"/>
              </w:rPr>
              <w:t>Proposed outcome</w:t>
            </w:r>
          </w:p>
        </w:tc>
      </w:tr>
      <w:tr>
        <w:trPr>
          <w:cantSplit/>
        </w:trPr>
        <w:tc>
          <w:tcPr>
            <w:tcW w:type="dxa" w:w="2880"/>
            <w:shd w:fill="FFFFFF"/>
            <w:vAlign w:val="center"/>
          </w:tcPr>
          <w:p>
            <w:pPr>
              <w:spacing w:after="40"/>
            </w:pPr>
            <w:r/>
            <w:r>
              <w:rPr>
                <w:rFonts w:ascii="Arial" w:hAnsi="Arial"/>
                <w:b w:val="0"/>
                <w:color w:val="2F2F2F"/>
                <w:sz w:val="18"/>
              </w:rPr>
              <w:t>Partner recognition</w:t>
            </w:r>
          </w:p>
        </w:tc>
        <w:tc>
          <w:tcPr>
            <w:tcW w:type="dxa" w:w="7200"/>
            <w:shd w:fill="FFFFFF"/>
            <w:vAlign w:val="center"/>
          </w:tcPr>
          <w:p>
            <w:pPr>
              <w:spacing w:after="40"/>
            </w:pPr>
            <w:r/>
            <w:r>
              <w:rPr>
                <w:rFonts w:ascii="Arial" w:hAnsi="Arial"/>
                <w:b w:val="0"/>
                <w:color w:val="2F2F2F"/>
                <w:sz w:val="18"/>
              </w:rPr>
              <w:t>Establish banqcraft as an approved Finastra partner under the appropriate route.</w:t>
            </w:r>
          </w:p>
        </w:tc>
      </w:tr>
      <w:tr>
        <w:trPr>
          <w:cantSplit/>
        </w:trPr>
        <w:tc>
          <w:tcPr>
            <w:tcW w:type="dxa" w:w="2880"/>
            <w:shd w:fill="F5F8FB"/>
            <w:vAlign w:val="center"/>
          </w:tcPr>
          <w:p>
            <w:pPr>
              <w:spacing w:after="40"/>
            </w:pPr>
            <w:r/>
            <w:r>
              <w:rPr>
                <w:rFonts w:ascii="Arial" w:hAnsi="Arial"/>
                <w:b w:val="0"/>
                <w:color w:val="2F2F2F"/>
                <w:sz w:val="18"/>
              </w:rPr>
              <w:t>Enablement</w:t>
            </w:r>
          </w:p>
        </w:tc>
        <w:tc>
          <w:tcPr>
            <w:tcW w:type="dxa" w:w="7200"/>
            <w:shd w:fill="F5F8FB"/>
            <w:vAlign w:val="center"/>
          </w:tcPr>
          <w:p>
            <w:pPr>
              <w:spacing w:after="40"/>
            </w:pPr>
            <w:r/>
            <w:r>
              <w:rPr>
                <w:rFonts w:ascii="Arial" w:hAnsi="Arial"/>
                <w:b w:val="0"/>
                <w:color w:val="2F2F2F"/>
                <w:sz w:val="18"/>
              </w:rPr>
              <w:t>Access relevant training, certification and partner enablement.</w:t>
            </w:r>
          </w:p>
        </w:tc>
      </w:tr>
      <w:tr>
        <w:trPr>
          <w:cantSplit/>
        </w:trPr>
        <w:tc>
          <w:tcPr>
            <w:tcW w:type="dxa" w:w="2880"/>
            <w:shd w:fill="FFFFFF"/>
            <w:vAlign w:val="center"/>
          </w:tcPr>
          <w:p>
            <w:pPr>
              <w:spacing w:after="40"/>
            </w:pPr>
            <w:r/>
            <w:r>
              <w:rPr>
                <w:rFonts w:ascii="Arial" w:hAnsi="Arial"/>
                <w:b w:val="0"/>
                <w:color w:val="2F2F2F"/>
                <w:sz w:val="18"/>
              </w:rPr>
              <w:t>Delivery opportunities</w:t>
            </w:r>
          </w:p>
        </w:tc>
        <w:tc>
          <w:tcPr>
            <w:tcW w:type="dxa" w:w="7200"/>
            <w:shd w:fill="FFFFFF"/>
            <w:vAlign w:val="center"/>
          </w:tcPr>
          <w:p>
            <w:pPr>
              <w:spacing w:after="40"/>
            </w:pPr>
            <w:r/>
            <w:r>
              <w:rPr>
                <w:rFonts w:ascii="Arial" w:hAnsi="Arial"/>
                <w:b w:val="0"/>
                <w:color w:val="2F2F2F"/>
                <w:sz w:val="18"/>
              </w:rPr>
              <w:t>Become eligible to support Finastra-related opportunities with qualified resources.</w:t>
            </w:r>
          </w:p>
        </w:tc>
      </w:tr>
      <w:tr>
        <w:trPr>
          <w:cantSplit/>
        </w:trPr>
        <w:tc>
          <w:tcPr>
            <w:tcW w:type="dxa" w:w="2880"/>
            <w:shd w:fill="F5F8FB"/>
            <w:vAlign w:val="center"/>
          </w:tcPr>
          <w:p>
            <w:pPr>
              <w:spacing w:after="40"/>
            </w:pPr>
            <w:r/>
            <w:r>
              <w:rPr>
                <w:rFonts w:ascii="Arial" w:hAnsi="Arial"/>
                <w:b w:val="0"/>
                <w:color w:val="2F2F2F"/>
                <w:sz w:val="18"/>
              </w:rPr>
              <w:t>Resource augmentation</w:t>
            </w:r>
          </w:p>
        </w:tc>
        <w:tc>
          <w:tcPr>
            <w:tcW w:type="dxa" w:w="7200"/>
            <w:shd w:fill="F5F8FB"/>
            <w:vAlign w:val="center"/>
          </w:tcPr>
          <w:p>
            <w:pPr>
              <w:spacing w:after="40"/>
            </w:pPr>
            <w:r/>
            <w:r>
              <w:rPr>
                <w:rFonts w:ascii="Arial" w:hAnsi="Arial"/>
                <w:b w:val="0"/>
                <w:color w:val="2F2F2F"/>
                <w:sz w:val="18"/>
              </w:rPr>
              <w:t>Provide bilingual banking/technology specialists aligned to project demand.</w:t>
            </w:r>
          </w:p>
        </w:tc>
      </w:tr>
      <w:tr>
        <w:trPr>
          <w:cantSplit/>
        </w:trPr>
        <w:tc>
          <w:tcPr>
            <w:tcW w:type="dxa" w:w="2880"/>
            <w:shd w:fill="FFFFFF"/>
            <w:vAlign w:val="center"/>
          </w:tcPr>
          <w:p>
            <w:pPr>
              <w:spacing w:after="40"/>
            </w:pPr>
            <w:r/>
            <w:r>
              <w:rPr>
                <w:rFonts w:ascii="Arial" w:hAnsi="Arial"/>
                <w:b w:val="0"/>
                <w:color w:val="2F2F2F"/>
                <w:sz w:val="18"/>
              </w:rPr>
              <w:t>Capability development</w:t>
            </w:r>
          </w:p>
        </w:tc>
        <w:tc>
          <w:tcPr>
            <w:tcW w:type="dxa" w:w="7200"/>
            <w:shd w:fill="FFFFFF"/>
            <w:vAlign w:val="center"/>
          </w:tcPr>
          <w:p>
            <w:pPr>
              <w:spacing w:after="40"/>
            </w:pPr>
            <w:r/>
            <w:r>
              <w:rPr>
                <w:rFonts w:ascii="Arial" w:hAnsi="Arial"/>
                <w:b w:val="0"/>
                <w:color w:val="2F2F2F"/>
                <w:sz w:val="18"/>
              </w:rPr>
              <w:t>Progressively build implementation capability around relevant solutions.</w:t>
            </w:r>
          </w:p>
        </w:tc>
      </w:tr>
      <w:tr>
        <w:trPr>
          <w:cantSplit/>
        </w:trPr>
        <w:tc>
          <w:tcPr>
            <w:tcW w:type="dxa" w:w="2880"/>
            <w:shd w:fill="F5F8FB"/>
            <w:vAlign w:val="center"/>
          </w:tcPr>
          <w:p>
            <w:pPr>
              <w:spacing w:after="40"/>
            </w:pPr>
            <w:r/>
            <w:r>
              <w:rPr>
                <w:rFonts w:ascii="Arial" w:hAnsi="Arial"/>
                <w:b w:val="0"/>
                <w:color w:val="2F2F2F"/>
                <w:sz w:val="18"/>
              </w:rPr>
              <w:t>Long-term relationship</w:t>
            </w:r>
          </w:p>
        </w:tc>
        <w:tc>
          <w:tcPr>
            <w:tcW w:type="dxa" w:w="7200"/>
            <w:shd w:fill="F5F8FB"/>
            <w:vAlign w:val="center"/>
          </w:tcPr>
          <w:p>
            <w:pPr>
              <w:spacing w:after="40"/>
            </w:pPr>
            <w:r/>
            <w:r>
              <w:rPr>
                <w:rFonts w:ascii="Arial" w:hAnsi="Arial"/>
                <w:b w:val="0"/>
                <w:color w:val="2F2F2F"/>
                <w:sz w:val="18"/>
              </w:rPr>
              <w:t>Develop a formal commercial relationship and jointly agreed development path.</w:t>
            </w:r>
          </w:p>
        </w:tc>
      </w:tr>
    </w:tbl>
    <w:p>
      <w:pPr>
        <w:spacing w:after="40"/>
      </w:pPr>
    </w:p>
    <w:p>
      <w:pPr>
        <w:pStyle w:val="Heading2"/>
        <w:keepNext/>
        <w:spacing w:before="160" w:after="120"/>
      </w:pPr>
      <w:r>
        <w:t>8.1 Proposed Initial Wording to Finastra</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Suggested positioning</w:t>
            </w:r>
          </w:p>
          <w:p>
            <w:pPr>
              <w:spacing w:after="60"/>
            </w:pPr>
            <w:r>
              <w:rPr>
                <w:rFonts w:ascii="Arial" w:hAnsi="Arial"/>
                <w:color w:val="2F2F2F"/>
                <w:sz w:val="19"/>
              </w:rPr>
              <w:t>“Our initial business model is to provide qualified banking and technology professionals to support Finastra-related engagements, with a particular focus on Arabic-fluent talent. We would like to discuss the most appropriate Finastra partner route for this model and the capability-building steps required to develop a broader implementation proposition over time.”</w:t>
            </w:r>
          </w:p>
        </w:tc>
      </w:tr>
    </w:tbl>
    <w:p>
      <w:pPr>
        <w:spacing w:after="40"/>
      </w:pPr>
    </w:p>
    <w:p>
      <w:pPr>
        <w:pStyle w:val="Heading1"/>
        <w:keepNext/>
        <w:spacing w:before="240" w:after="120"/>
      </w:pPr>
      <w:r>
        <w:t>9. Development Roadmap</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331"/>
        <w:gridCol w:w="3331"/>
        <w:gridCol w:w="3331"/>
      </w:tblGrid>
      <w:tr>
        <w:trPr>
          <w:cantSplit/>
        </w:trPr>
        <w:tc>
          <w:tcPr>
            <w:tcW w:type="dxa" w:w="1872"/>
            <w:shd w:fill="17365D"/>
            <w:vAlign w:val="center"/>
          </w:tcPr>
          <w:p>
            <w:pPr>
              <w:spacing w:after="40"/>
            </w:pPr>
            <w:r/>
            <w:r>
              <w:rPr>
                <w:rFonts w:ascii="Arial" w:hAnsi="Arial"/>
                <w:b/>
                <w:color w:val="FFFFFF"/>
                <w:sz w:val="18"/>
              </w:rPr>
              <w:t>Stage</w:t>
            </w:r>
          </w:p>
        </w:tc>
        <w:tc>
          <w:tcPr>
            <w:tcW w:type="dxa" w:w="3600"/>
            <w:shd w:fill="17365D"/>
            <w:vAlign w:val="center"/>
          </w:tcPr>
          <w:p>
            <w:pPr>
              <w:spacing w:after="40"/>
            </w:pPr>
            <w:r/>
            <w:r>
              <w:rPr>
                <w:rFonts w:ascii="Arial" w:hAnsi="Arial"/>
                <w:b/>
                <w:color w:val="FFFFFF"/>
                <w:sz w:val="18"/>
              </w:rPr>
              <w:t>Focus</w:t>
            </w:r>
          </w:p>
        </w:tc>
        <w:tc>
          <w:tcPr>
            <w:tcW w:type="dxa" w:w="4608"/>
            <w:shd w:fill="17365D"/>
            <w:vAlign w:val="center"/>
          </w:tcPr>
          <w:p>
            <w:pPr>
              <w:spacing w:after="40"/>
            </w:pPr>
            <w:r/>
            <w:r>
              <w:rPr>
                <w:rFonts w:ascii="Arial" w:hAnsi="Arial"/>
                <w:b/>
                <w:color w:val="FFFFFF"/>
                <w:sz w:val="18"/>
              </w:rPr>
              <w:t>Indicative outcome</w:t>
            </w:r>
          </w:p>
        </w:tc>
      </w:tr>
      <w:tr>
        <w:trPr>
          <w:cantSplit/>
        </w:trPr>
        <w:tc>
          <w:tcPr>
            <w:tcW w:type="dxa" w:w="1872"/>
            <w:shd w:fill="FFFFFF"/>
            <w:vAlign w:val="center"/>
          </w:tcPr>
          <w:p>
            <w:pPr>
              <w:spacing w:after="40"/>
            </w:pPr>
            <w:r/>
            <w:r>
              <w:rPr>
                <w:rFonts w:ascii="Arial" w:hAnsi="Arial"/>
                <w:b w:val="0"/>
                <w:color w:val="2F2F2F"/>
                <w:sz w:val="18"/>
              </w:rPr>
              <w:t>1. Establish</w:t>
            </w:r>
          </w:p>
        </w:tc>
        <w:tc>
          <w:tcPr>
            <w:tcW w:type="dxa" w:w="3600"/>
            <w:shd w:fill="FFFFFF"/>
            <w:vAlign w:val="center"/>
          </w:tcPr>
          <w:p>
            <w:pPr>
              <w:spacing w:after="40"/>
            </w:pPr>
            <w:r/>
            <w:r>
              <w:rPr>
                <w:rFonts w:ascii="Arial" w:hAnsi="Arial"/>
                <w:b w:val="0"/>
                <w:color w:val="2F2F2F"/>
                <w:sz w:val="18"/>
              </w:rPr>
              <w:t>Partnership approval; corporate readiness; initial resource pool</w:t>
            </w:r>
          </w:p>
        </w:tc>
        <w:tc>
          <w:tcPr>
            <w:tcW w:type="dxa" w:w="4608"/>
            <w:shd w:fill="FFFFFF"/>
            <w:vAlign w:val="center"/>
          </w:tcPr>
          <w:p>
            <w:pPr>
              <w:spacing w:after="40"/>
            </w:pPr>
            <w:r/>
            <w:r>
              <w:rPr>
                <w:rFonts w:ascii="Arial" w:hAnsi="Arial"/>
                <w:b w:val="0"/>
                <w:color w:val="2F2F2F"/>
                <w:sz w:val="18"/>
              </w:rPr>
              <w:t>Approved relationship and activation plan.</w:t>
            </w:r>
          </w:p>
        </w:tc>
      </w:tr>
      <w:tr>
        <w:trPr>
          <w:cantSplit/>
        </w:trPr>
        <w:tc>
          <w:tcPr>
            <w:tcW w:type="dxa" w:w="1872"/>
            <w:shd w:fill="F5F8FB"/>
            <w:vAlign w:val="center"/>
          </w:tcPr>
          <w:p>
            <w:pPr>
              <w:spacing w:after="40"/>
            </w:pPr>
            <w:r/>
            <w:r>
              <w:rPr>
                <w:rFonts w:ascii="Arial" w:hAnsi="Arial"/>
                <w:b w:val="0"/>
                <w:color w:val="2F2F2F"/>
                <w:sz w:val="18"/>
              </w:rPr>
              <w:t>2. Enable</w:t>
            </w:r>
          </w:p>
        </w:tc>
        <w:tc>
          <w:tcPr>
            <w:tcW w:type="dxa" w:w="3600"/>
            <w:shd w:fill="F5F8FB"/>
            <w:vAlign w:val="center"/>
          </w:tcPr>
          <w:p>
            <w:pPr>
              <w:spacing w:after="40"/>
            </w:pPr>
            <w:r/>
            <w:r>
              <w:rPr>
                <w:rFonts w:ascii="Arial" w:hAnsi="Arial"/>
                <w:b w:val="0"/>
                <w:color w:val="2F2F2F"/>
                <w:sz w:val="18"/>
              </w:rPr>
              <w:t>Training, certification and delivery governance</w:t>
            </w:r>
          </w:p>
        </w:tc>
        <w:tc>
          <w:tcPr>
            <w:tcW w:type="dxa" w:w="4608"/>
            <w:shd w:fill="F5F8FB"/>
            <w:vAlign w:val="center"/>
          </w:tcPr>
          <w:p>
            <w:pPr>
              <w:spacing w:after="40"/>
            </w:pPr>
            <w:r/>
            <w:r>
              <w:rPr>
                <w:rFonts w:ascii="Arial" w:hAnsi="Arial"/>
                <w:b w:val="0"/>
                <w:color w:val="2F2F2F"/>
                <w:sz w:val="18"/>
              </w:rPr>
              <w:t>Certified/qualified specialists aligned to demand.</w:t>
            </w:r>
          </w:p>
        </w:tc>
      </w:tr>
      <w:tr>
        <w:trPr>
          <w:cantSplit/>
        </w:trPr>
        <w:tc>
          <w:tcPr>
            <w:tcW w:type="dxa" w:w="1872"/>
            <w:shd w:fill="FFFFFF"/>
            <w:vAlign w:val="center"/>
          </w:tcPr>
          <w:p>
            <w:pPr>
              <w:spacing w:after="40"/>
            </w:pPr>
            <w:r/>
            <w:r>
              <w:rPr>
                <w:rFonts w:ascii="Arial" w:hAnsi="Arial"/>
                <w:b w:val="0"/>
                <w:color w:val="2F2F2F"/>
                <w:sz w:val="18"/>
              </w:rPr>
              <w:t>3. Deliver</w:t>
            </w:r>
          </w:p>
        </w:tc>
        <w:tc>
          <w:tcPr>
            <w:tcW w:type="dxa" w:w="3600"/>
            <w:shd w:fill="FFFFFF"/>
            <w:vAlign w:val="center"/>
          </w:tcPr>
          <w:p>
            <w:pPr>
              <w:spacing w:after="40"/>
            </w:pPr>
            <w:r/>
            <w:r>
              <w:rPr>
                <w:rFonts w:ascii="Arial" w:hAnsi="Arial"/>
                <w:b w:val="0"/>
                <w:color w:val="2F2F2F"/>
                <w:sz w:val="18"/>
              </w:rPr>
              <w:t>Resource augmentation and professional services</w:t>
            </w:r>
          </w:p>
        </w:tc>
        <w:tc>
          <w:tcPr>
            <w:tcW w:type="dxa" w:w="4608"/>
            <w:shd w:fill="FFFFFF"/>
            <w:vAlign w:val="center"/>
          </w:tcPr>
          <w:p>
            <w:pPr>
              <w:spacing w:after="40"/>
            </w:pPr>
            <w:r/>
            <w:r>
              <w:rPr>
                <w:rFonts w:ascii="Arial" w:hAnsi="Arial"/>
                <w:b w:val="0"/>
                <w:color w:val="2F2F2F"/>
                <w:sz w:val="18"/>
              </w:rPr>
              <w:t>Successful project support and repeatable delivery.</w:t>
            </w:r>
          </w:p>
        </w:tc>
      </w:tr>
      <w:tr>
        <w:trPr>
          <w:cantSplit/>
        </w:trPr>
        <w:tc>
          <w:tcPr>
            <w:tcW w:type="dxa" w:w="1872"/>
            <w:shd w:fill="F5F8FB"/>
            <w:vAlign w:val="center"/>
          </w:tcPr>
          <w:p>
            <w:pPr>
              <w:spacing w:after="40"/>
            </w:pPr>
            <w:r/>
            <w:r>
              <w:rPr>
                <w:rFonts w:ascii="Arial" w:hAnsi="Arial"/>
                <w:b w:val="0"/>
                <w:color w:val="2F2F2F"/>
                <w:sz w:val="18"/>
              </w:rPr>
              <w:t>4. Expand</w:t>
            </w:r>
          </w:p>
        </w:tc>
        <w:tc>
          <w:tcPr>
            <w:tcW w:type="dxa" w:w="3600"/>
            <w:shd w:fill="F5F8FB"/>
            <w:vAlign w:val="center"/>
          </w:tcPr>
          <w:p>
            <w:pPr>
              <w:spacing w:after="40"/>
            </w:pPr>
            <w:r/>
            <w:r>
              <w:rPr>
                <w:rFonts w:ascii="Arial" w:hAnsi="Arial"/>
                <w:b w:val="0"/>
                <w:color w:val="2F2F2F"/>
                <w:sz w:val="18"/>
              </w:rPr>
              <w:t>Increase talent pool; take defined workstreams</w:t>
            </w:r>
          </w:p>
        </w:tc>
        <w:tc>
          <w:tcPr>
            <w:tcW w:type="dxa" w:w="4608"/>
            <w:shd w:fill="F5F8FB"/>
            <w:vAlign w:val="center"/>
          </w:tcPr>
          <w:p>
            <w:pPr>
              <w:spacing w:after="40"/>
            </w:pPr>
            <w:r/>
            <w:r>
              <w:rPr>
                <w:rFonts w:ascii="Arial" w:hAnsi="Arial"/>
                <w:b w:val="0"/>
                <w:color w:val="2F2F2F"/>
                <w:sz w:val="18"/>
              </w:rPr>
              <w:t>Broader capability and increased capacity.</w:t>
            </w:r>
          </w:p>
        </w:tc>
      </w:tr>
      <w:tr>
        <w:trPr>
          <w:cantSplit/>
        </w:trPr>
        <w:tc>
          <w:tcPr>
            <w:tcW w:type="dxa" w:w="1872"/>
            <w:shd w:fill="FFFFFF"/>
            <w:vAlign w:val="center"/>
          </w:tcPr>
          <w:p>
            <w:pPr>
              <w:spacing w:after="40"/>
            </w:pPr>
            <w:r/>
            <w:r>
              <w:rPr>
                <w:rFonts w:ascii="Arial" w:hAnsi="Arial"/>
                <w:b w:val="0"/>
                <w:color w:val="2F2F2F"/>
                <w:sz w:val="18"/>
              </w:rPr>
              <w:t>5. Implement</w:t>
            </w:r>
          </w:p>
        </w:tc>
        <w:tc>
          <w:tcPr>
            <w:tcW w:type="dxa" w:w="3600"/>
            <w:shd w:fill="FFFFFF"/>
            <w:vAlign w:val="center"/>
          </w:tcPr>
          <w:p>
            <w:pPr>
              <w:spacing w:after="40"/>
            </w:pPr>
            <w:r/>
            <w:r>
              <w:rPr>
                <w:rFonts w:ascii="Arial" w:hAnsi="Arial"/>
                <w:b w:val="0"/>
                <w:color w:val="2F2F2F"/>
                <w:sz w:val="18"/>
              </w:rPr>
              <w:t>Build toward defined implementation ownership</w:t>
            </w:r>
          </w:p>
        </w:tc>
        <w:tc>
          <w:tcPr>
            <w:tcW w:type="dxa" w:w="4608"/>
            <w:shd w:fill="FFFFFF"/>
            <w:vAlign w:val="center"/>
          </w:tcPr>
          <w:p>
            <w:pPr>
              <w:spacing w:after="40"/>
            </w:pPr>
            <w:r/>
            <w:r>
              <w:rPr>
                <w:rFonts w:ascii="Arial" w:hAnsi="Arial"/>
                <w:b w:val="0"/>
                <w:color w:val="2F2F2F"/>
                <w:sz w:val="18"/>
              </w:rPr>
              <w:t>Potential progression into broader implementation partnership.</w:t>
            </w:r>
          </w:p>
        </w:tc>
      </w:tr>
    </w:tbl>
    <w:p>
      <w:pPr>
        <w:spacing w:after="40"/>
      </w:pPr>
    </w:p>
    <w:p>
      <w:pPr>
        <w:pStyle w:val="Heading1"/>
        <w:keepNext/>
        <w:spacing w:before="240" w:after="120"/>
      </w:pPr>
      <w:r>
        <w:t>10. Conclusion and Requested Next Discussion</w:t>
      </w:r>
    </w:p>
    <w:p>
      <w:pPr>
        <w:spacing w:after="120" w:line="259" w:lineRule="auto"/>
      </w:pPr>
      <w:r>
        <w:rPr>
          <w:rFonts w:ascii="Arial" w:hAnsi="Arial"/>
          <w:color w:val="2F2F2F"/>
          <w:sz w:val="21"/>
        </w:rPr>
        <w:t>banqcraft is being built around a real delivery need identified through current Finastra-related work. The business combines a founder with long-term banking and Finastra experience, an HR-capable co-founder, an identified initial delivery pool and a deliberate strategy to recruit bilingual banking-technology talent.</w:t>
      </w:r>
    </w:p>
    <w:p>
      <w:pPr>
        <w:spacing w:after="120" w:line="259" w:lineRule="auto"/>
      </w:pPr>
      <w:r>
        <w:rPr>
          <w:rFonts w:ascii="Arial" w:hAnsi="Arial"/>
          <w:color w:val="2F2F2F"/>
          <w:sz w:val="21"/>
        </w:rPr>
        <w:t>The company is not seeking to overstate its starting capability. The initial proposition is focused on resource and professional-services support, with the intention to build certified implementation capability progressively and in line with Finastra requirements and actual market demand.</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Requested next step</w:t>
            </w:r>
          </w:p>
          <w:p>
            <w:pPr>
              <w:spacing w:after="60"/>
            </w:pPr>
            <w:r>
              <w:rPr>
                <w:rFonts w:ascii="Arial" w:hAnsi="Arial"/>
                <w:color w:val="2F2F2F"/>
                <w:sz w:val="19"/>
              </w:rPr>
              <w:t>Discuss banqcraft’s proposed operating model with the Finastra partner team, confirm the most appropriate partner route, identify the qualification and certification requirements, and agree the information required for formal business-case evaluation.</w:t>
            </w:r>
          </w:p>
        </w:tc>
      </w:tr>
    </w:tbl>
    <w:p>
      <w:pPr>
        <w:spacing w:after="40"/>
      </w:pPr>
    </w:p>
    <w:p>
      <w:pPr>
        <w:pStyle w:val="Heading1"/>
        <w:keepNext/>
        <w:spacing w:before="240" w:after="120"/>
      </w:pPr>
      <w:r>
        <w:t>Appendix A — Initial Resource Profile</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1428"/>
        <w:gridCol w:w="1428"/>
        <w:gridCol w:w="1428"/>
        <w:gridCol w:w="1428"/>
        <w:gridCol w:w="1428"/>
        <w:gridCol w:w="1428"/>
        <w:gridCol w:w="1428"/>
      </w:tblGrid>
      <w:tr>
        <w:trPr>
          <w:cantSplit/>
        </w:trPr>
        <w:tc>
          <w:tcPr>
            <w:tcW w:type="dxa" w:w="1008"/>
            <w:shd w:fill="17365D"/>
            <w:vAlign w:val="center"/>
          </w:tcPr>
          <w:p>
            <w:pPr>
              <w:spacing w:after="40"/>
            </w:pPr>
            <w:r/>
            <w:r>
              <w:rPr>
                <w:rFonts w:ascii="Arial" w:hAnsi="Arial"/>
                <w:b/>
                <w:color w:val="FFFFFF"/>
                <w:sz w:val="18"/>
              </w:rPr>
              <w:t>Resource</w:t>
            </w:r>
          </w:p>
        </w:tc>
        <w:tc>
          <w:tcPr>
            <w:tcW w:type="dxa" w:w="2160"/>
            <w:shd w:fill="17365D"/>
            <w:vAlign w:val="center"/>
          </w:tcPr>
          <w:p>
            <w:pPr>
              <w:spacing w:after="40"/>
            </w:pPr>
            <w:r/>
            <w:r>
              <w:rPr>
                <w:rFonts w:ascii="Arial" w:hAnsi="Arial"/>
                <w:b/>
                <w:color w:val="FFFFFF"/>
                <w:sz w:val="18"/>
              </w:rPr>
              <w:t>Role</w:t>
            </w:r>
          </w:p>
        </w:tc>
        <w:tc>
          <w:tcPr>
            <w:tcW w:type="dxa" w:w="864"/>
            <w:shd w:fill="17365D"/>
            <w:vAlign w:val="center"/>
          </w:tcPr>
          <w:p>
            <w:pPr>
              <w:spacing w:after="40"/>
            </w:pPr>
            <w:r/>
            <w:r>
              <w:rPr>
                <w:rFonts w:ascii="Arial" w:hAnsi="Arial"/>
                <w:b/>
                <w:color w:val="FFFFFF"/>
                <w:sz w:val="18"/>
              </w:rPr>
              <w:t>Years</w:t>
            </w:r>
          </w:p>
        </w:tc>
        <w:tc>
          <w:tcPr>
            <w:tcW w:type="dxa" w:w="1440"/>
            <w:shd w:fill="17365D"/>
            <w:vAlign w:val="center"/>
          </w:tcPr>
          <w:p>
            <w:pPr>
              <w:spacing w:after="40"/>
            </w:pPr>
            <w:r/>
            <w:r>
              <w:rPr>
                <w:rFonts w:ascii="Arial" w:hAnsi="Arial"/>
                <w:b/>
                <w:color w:val="FFFFFF"/>
                <w:sz w:val="18"/>
              </w:rPr>
              <w:t>Banking</w:t>
            </w:r>
          </w:p>
        </w:tc>
        <w:tc>
          <w:tcPr>
            <w:tcW w:type="dxa" w:w="1584"/>
            <w:shd w:fill="17365D"/>
            <w:vAlign w:val="center"/>
          </w:tcPr>
          <w:p>
            <w:pPr>
              <w:spacing w:after="40"/>
            </w:pPr>
            <w:r/>
            <w:r>
              <w:rPr>
                <w:rFonts w:ascii="Arial" w:hAnsi="Arial"/>
                <w:b/>
                <w:color w:val="FFFFFF"/>
                <w:sz w:val="18"/>
              </w:rPr>
              <w:t>Finastra products</w:t>
            </w:r>
          </w:p>
        </w:tc>
        <w:tc>
          <w:tcPr>
            <w:tcW w:type="dxa" w:w="1872"/>
            <w:shd w:fill="17365D"/>
            <w:vAlign w:val="center"/>
          </w:tcPr>
          <w:p>
            <w:pPr>
              <w:spacing w:after="40"/>
            </w:pPr>
            <w:r/>
            <w:r>
              <w:rPr>
                <w:rFonts w:ascii="Arial" w:hAnsi="Arial"/>
                <w:b/>
                <w:color w:val="FFFFFF"/>
                <w:sz w:val="18"/>
              </w:rPr>
              <w:t>Specialty</w:t>
            </w:r>
          </w:p>
        </w:tc>
        <w:tc>
          <w:tcPr>
            <w:tcW w:type="dxa" w:w="1296"/>
            <w:shd w:fill="17365D"/>
            <w:vAlign w:val="center"/>
          </w:tcPr>
          <w:p>
            <w:pPr>
              <w:spacing w:after="40"/>
            </w:pPr>
            <w:r/>
            <w:r>
              <w:rPr>
                <w:rFonts w:ascii="Arial" w:hAnsi="Arial"/>
                <w:b/>
                <w:color w:val="FFFFFF"/>
                <w:sz w:val="18"/>
              </w:rPr>
              <w:t>Languages</w:t>
            </w:r>
          </w:p>
        </w:tc>
      </w:tr>
      <w:tr>
        <w:trPr>
          <w:cantSplit/>
        </w:trPr>
        <w:tc>
          <w:tcPr>
            <w:tcW w:type="dxa" w:w="1008"/>
            <w:shd w:fill="FFFFFF"/>
            <w:vAlign w:val="center"/>
          </w:tcPr>
          <w:p>
            <w:pPr>
              <w:spacing w:after="40"/>
            </w:pPr>
            <w:r/>
            <w:r>
              <w:rPr>
                <w:rFonts w:ascii="Arial" w:hAnsi="Arial"/>
                <w:b w:val="0"/>
                <w:color w:val="2F2F2F"/>
                <w:sz w:val="18"/>
              </w:rPr>
              <w:t>A</w:t>
            </w:r>
          </w:p>
        </w:tc>
        <w:tc>
          <w:tcPr>
            <w:tcW w:type="dxa" w:w="2160"/>
            <w:shd w:fill="FFFFFF"/>
            <w:vAlign w:val="center"/>
          </w:tcPr>
          <w:p>
            <w:pPr>
              <w:spacing w:after="40"/>
            </w:pPr>
            <w:r/>
            <w:r>
              <w:rPr>
                <w:rFonts w:ascii="Arial" w:hAnsi="Arial"/>
                <w:b w:val="0"/>
                <w:color w:val="2F2F2F"/>
                <w:sz w:val="18"/>
              </w:rPr>
              <w:t>Senior Technical Consultant</w:t>
            </w:r>
          </w:p>
        </w:tc>
        <w:tc>
          <w:tcPr>
            <w:tcW w:type="dxa" w:w="864"/>
            <w:shd w:fill="FFFFFF"/>
            <w:vAlign w:val="center"/>
          </w:tcPr>
          <w:p>
            <w:pPr>
              <w:spacing w:after="40"/>
            </w:pPr>
            <w:r/>
            <w:r>
              <w:rPr>
                <w:rFonts w:ascii="Arial" w:hAnsi="Arial"/>
                <w:b w:val="0"/>
                <w:color w:val="2F2F2F"/>
                <w:sz w:val="18"/>
              </w:rPr>
              <w:t>7</w:t>
            </w:r>
          </w:p>
        </w:tc>
        <w:tc>
          <w:tcPr>
            <w:tcW w:type="dxa" w:w="1440"/>
            <w:shd w:fill="FFFFFF"/>
            <w:vAlign w:val="center"/>
          </w:tcPr>
          <w:p>
            <w:pPr>
              <w:spacing w:after="40"/>
            </w:pPr>
            <w:r/>
            <w:r>
              <w:rPr>
                <w:rFonts w:ascii="Arial" w:hAnsi="Arial"/>
                <w:b w:val="0"/>
                <w:color w:val="2F2F2F"/>
                <w:sz w:val="18"/>
              </w:rPr>
              <w:t>Vendor side</w:t>
            </w:r>
          </w:p>
        </w:tc>
        <w:tc>
          <w:tcPr>
            <w:tcW w:type="dxa" w:w="1584"/>
            <w:shd w:fill="FFFFFF"/>
            <w:vAlign w:val="center"/>
          </w:tcPr>
          <w:p>
            <w:pPr>
              <w:spacing w:after="40"/>
            </w:pPr>
            <w:r/>
            <w:r>
              <w:rPr>
                <w:rFonts w:ascii="Arial" w:hAnsi="Arial"/>
                <w:b w:val="0"/>
                <w:color w:val="2F2F2F"/>
                <w:sz w:val="18"/>
              </w:rPr>
              <w:t>FTI / FCC</w:t>
            </w:r>
          </w:p>
        </w:tc>
        <w:tc>
          <w:tcPr>
            <w:tcW w:type="dxa" w:w="1872"/>
            <w:shd w:fill="FFFFFF"/>
            <w:vAlign w:val="center"/>
          </w:tcPr>
          <w:p>
            <w:pPr>
              <w:spacing w:after="40"/>
            </w:pPr>
            <w:r/>
            <w:r>
              <w:rPr>
                <w:rFonts w:ascii="Arial" w:hAnsi="Arial"/>
                <w:b w:val="0"/>
                <w:color w:val="2F2F2F"/>
                <w:sz w:val="18"/>
              </w:rPr>
              <w:t>FTI technical</w:t>
            </w:r>
          </w:p>
        </w:tc>
        <w:tc>
          <w:tcPr>
            <w:tcW w:type="dxa" w:w="1296"/>
            <w:shd w:fill="FFFFFF"/>
            <w:vAlign w:val="center"/>
          </w:tcPr>
          <w:p>
            <w:pPr>
              <w:spacing w:after="40"/>
            </w:pPr>
            <w:r/>
            <w:r>
              <w:rPr>
                <w:rFonts w:ascii="Arial" w:hAnsi="Arial"/>
                <w:b w:val="0"/>
                <w:color w:val="2F2F2F"/>
                <w:sz w:val="18"/>
              </w:rPr>
              <w:t>Arabic / English</w:t>
            </w:r>
          </w:p>
        </w:tc>
      </w:tr>
      <w:tr>
        <w:trPr>
          <w:cantSplit/>
        </w:trPr>
        <w:tc>
          <w:tcPr>
            <w:tcW w:type="dxa" w:w="1008"/>
            <w:shd w:fill="F5F8FB"/>
            <w:vAlign w:val="center"/>
          </w:tcPr>
          <w:p>
            <w:pPr>
              <w:spacing w:after="40"/>
            </w:pPr>
            <w:r/>
            <w:r>
              <w:rPr>
                <w:rFonts w:ascii="Arial" w:hAnsi="Arial"/>
                <w:b w:val="0"/>
                <w:color w:val="2F2F2F"/>
                <w:sz w:val="18"/>
              </w:rPr>
              <w:t>B</w:t>
            </w:r>
          </w:p>
        </w:tc>
        <w:tc>
          <w:tcPr>
            <w:tcW w:type="dxa" w:w="2160"/>
            <w:shd w:fill="F5F8FB"/>
            <w:vAlign w:val="center"/>
          </w:tcPr>
          <w:p>
            <w:pPr>
              <w:spacing w:after="40"/>
            </w:pPr>
            <w:r/>
            <w:r>
              <w:rPr>
                <w:rFonts w:ascii="Arial" w:hAnsi="Arial"/>
                <w:b w:val="0"/>
                <w:color w:val="2F2F2F"/>
                <w:sz w:val="18"/>
              </w:rPr>
              <w:t>Senior Business Consultant</w:t>
            </w:r>
          </w:p>
        </w:tc>
        <w:tc>
          <w:tcPr>
            <w:tcW w:type="dxa" w:w="864"/>
            <w:shd w:fill="F5F8FB"/>
            <w:vAlign w:val="center"/>
          </w:tcPr>
          <w:p>
            <w:pPr>
              <w:spacing w:after="40"/>
            </w:pPr>
            <w:r/>
            <w:r>
              <w:rPr>
                <w:rFonts w:ascii="Arial" w:hAnsi="Arial"/>
                <w:b w:val="0"/>
                <w:color w:val="2F2F2F"/>
                <w:sz w:val="18"/>
              </w:rPr>
              <w:t>20</w:t>
            </w:r>
          </w:p>
        </w:tc>
        <w:tc>
          <w:tcPr>
            <w:tcW w:type="dxa" w:w="1440"/>
            <w:shd w:fill="F5F8FB"/>
            <w:vAlign w:val="center"/>
          </w:tcPr>
          <w:p>
            <w:pPr>
              <w:spacing w:after="40"/>
            </w:pPr>
            <w:r/>
            <w:r>
              <w:rPr>
                <w:rFonts w:ascii="Arial" w:hAnsi="Arial"/>
                <w:b w:val="0"/>
                <w:color w:val="2F2F2F"/>
                <w:sz w:val="18"/>
              </w:rPr>
              <w:t>20 years</w:t>
            </w:r>
          </w:p>
        </w:tc>
        <w:tc>
          <w:tcPr>
            <w:tcW w:type="dxa" w:w="1584"/>
            <w:shd w:fill="F5F8FB"/>
            <w:vAlign w:val="center"/>
          </w:tcPr>
          <w:p>
            <w:pPr>
              <w:spacing w:after="40"/>
            </w:pPr>
            <w:r/>
            <w:r>
              <w:rPr>
                <w:rFonts w:ascii="Arial" w:hAnsi="Arial"/>
                <w:b w:val="0"/>
                <w:color w:val="2F2F2F"/>
                <w:sz w:val="18"/>
              </w:rPr>
              <w:t>FTI / FCC</w:t>
            </w:r>
          </w:p>
        </w:tc>
        <w:tc>
          <w:tcPr>
            <w:tcW w:type="dxa" w:w="1872"/>
            <w:shd w:fill="F5F8FB"/>
            <w:vAlign w:val="center"/>
          </w:tcPr>
          <w:p>
            <w:pPr>
              <w:spacing w:after="40"/>
            </w:pPr>
            <w:r/>
            <w:r>
              <w:rPr>
                <w:rFonts w:ascii="Arial" w:hAnsi="Arial"/>
                <w:b w:val="0"/>
                <w:color w:val="2F2F2F"/>
                <w:sz w:val="18"/>
              </w:rPr>
              <w:t>FTI techno-functional</w:t>
            </w:r>
          </w:p>
        </w:tc>
        <w:tc>
          <w:tcPr>
            <w:tcW w:type="dxa" w:w="1296"/>
            <w:shd w:fill="F5F8FB"/>
            <w:vAlign w:val="center"/>
          </w:tcPr>
          <w:p>
            <w:pPr>
              <w:spacing w:after="40"/>
            </w:pPr>
            <w:r/>
            <w:r>
              <w:rPr>
                <w:rFonts w:ascii="Arial" w:hAnsi="Arial"/>
                <w:b w:val="0"/>
                <w:color w:val="2F2F2F"/>
                <w:sz w:val="18"/>
              </w:rPr>
              <w:t>Arabic / English</w:t>
            </w:r>
          </w:p>
        </w:tc>
      </w:tr>
      <w:tr>
        <w:trPr>
          <w:cantSplit/>
        </w:trPr>
        <w:tc>
          <w:tcPr>
            <w:tcW w:type="dxa" w:w="1008"/>
            <w:shd w:fill="FFFFFF"/>
            <w:vAlign w:val="center"/>
          </w:tcPr>
          <w:p>
            <w:pPr>
              <w:spacing w:after="40"/>
            </w:pPr>
            <w:r/>
            <w:r>
              <w:rPr>
                <w:rFonts w:ascii="Arial" w:hAnsi="Arial"/>
                <w:b w:val="0"/>
                <w:color w:val="2F2F2F"/>
                <w:sz w:val="18"/>
              </w:rPr>
              <w:t>C</w:t>
            </w:r>
          </w:p>
        </w:tc>
        <w:tc>
          <w:tcPr>
            <w:tcW w:type="dxa" w:w="2160"/>
            <w:shd w:fill="FFFFFF"/>
            <w:vAlign w:val="center"/>
          </w:tcPr>
          <w:p>
            <w:pPr>
              <w:spacing w:after="40"/>
            </w:pPr>
            <w:r/>
            <w:r>
              <w:rPr>
                <w:rFonts w:ascii="Arial" w:hAnsi="Arial"/>
                <w:b w:val="0"/>
                <w:color w:val="2F2F2F"/>
                <w:sz w:val="18"/>
              </w:rPr>
              <w:t>Senior Technical Consultant</w:t>
            </w:r>
          </w:p>
        </w:tc>
        <w:tc>
          <w:tcPr>
            <w:tcW w:type="dxa" w:w="864"/>
            <w:shd w:fill="FFFFFF"/>
            <w:vAlign w:val="center"/>
          </w:tcPr>
          <w:p>
            <w:pPr>
              <w:spacing w:after="40"/>
            </w:pPr>
            <w:r/>
            <w:r>
              <w:rPr>
                <w:rFonts w:ascii="Arial" w:hAnsi="Arial"/>
                <w:b w:val="0"/>
                <w:color w:val="2F2F2F"/>
                <w:sz w:val="18"/>
              </w:rPr>
              <w:t>15</w:t>
            </w:r>
          </w:p>
        </w:tc>
        <w:tc>
          <w:tcPr>
            <w:tcW w:type="dxa" w:w="1440"/>
            <w:shd w:fill="FFFFFF"/>
            <w:vAlign w:val="center"/>
          </w:tcPr>
          <w:p>
            <w:pPr>
              <w:spacing w:after="40"/>
            </w:pPr>
            <w:r/>
            <w:r>
              <w:rPr>
                <w:rFonts w:ascii="Arial" w:hAnsi="Arial"/>
                <w:b w:val="0"/>
                <w:color w:val="2F2F2F"/>
                <w:sz w:val="18"/>
              </w:rPr>
              <w:t>15 years</w:t>
            </w:r>
          </w:p>
        </w:tc>
        <w:tc>
          <w:tcPr>
            <w:tcW w:type="dxa" w:w="1584"/>
            <w:shd w:fill="FFFFFF"/>
            <w:vAlign w:val="center"/>
          </w:tcPr>
          <w:p>
            <w:pPr>
              <w:spacing w:after="40"/>
            </w:pPr>
            <w:r/>
            <w:r>
              <w:rPr>
                <w:rFonts w:ascii="Arial" w:hAnsi="Arial"/>
                <w:b w:val="0"/>
                <w:color w:val="2F2F2F"/>
                <w:sz w:val="18"/>
              </w:rPr>
              <w:t>FTI / FCC</w:t>
            </w:r>
          </w:p>
        </w:tc>
        <w:tc>
          <w:tcPr>
            <w:tcW w:type="dxa" w:w="1872"/>
            <w:shd w:fill="FFFFFF"/>
            <w:vAlign w:val="center"/>
          </w:tcPr>
          <w:p>
            <w:pPr>
              <w:spacing w:after="40"/>
            </w:pPr>
            <w:r/>
            <w:r>
              <w:rPr>
                <w:rFonts w:ascii="Arial" w:hAnsi="Arial"/>
                <w:b w:val="0"/>
                <w:color w:val="2F2F2F"/>
                <w:sz w:val="18"/>
              </w:rPr>
              <w:t>Integrations</w:t>
            </w:r>
          </w:p>
        </w:tc>
        <w:tc>
          <w:tcPr>
            <w:tcW w:type="dxa" w:w="1296"/>
            <w:shd w:fill="FFFFFF"/>
            <w:vAlign w:val="center"/>
          </w:tcPr>
          <w:p>
            <w:pPr>
              <w:spacing w:after="40"/>
            </w:pPr>
            <w:r/>
            <w:r>
              <w:rPr>
                <w:rFonts w:ascii="Arial" w:hAnsi="Arial"/>
                <w:b w:val="0"/>
                <w:color w:val="2F2F2F"/>
                <w:sz w:val="18"/>
              </w:rPr>
              <w:t>Arabic / English</w:t>
            </w:r>
          </w:p>
        </w:tc>
      </w:tr>
    </w:tbl>
    <w:p>
      <w:pPr>
        <w:spacing w:after="40"/>
      </w:pPr>
    </w:p>
    <w:p>
      <w:pPr>
        <w:spacing w:after="120" w:line="259" w:lineRule="auto"/>
      </w:pPr>
      <w:r>
        <w:rPr>
          <w:rFonts w:ascii="Arial" w:hAnsi="Arial"/>
          <w:color w:val="2F2F2F"/>
          <w:sz w:val="21"/>
        </w:rPr>
        <w:t>Availability is targeted within approximately two to three months following partnership approval, subject to applicable employment, notice and contractual arrangements.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CONFIDENTIAL • FOR DISCUSSION WITH FINASTRA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8"/>
      </w:rPr>
      <w:t>banqcraft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F2F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