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left"/>
      </w:pPr>
      <w:r>
        <w:rPr>
          <w:rFonts w:ascii="Arial" w:hAnsi="Arial"/>
          <w:b/>
          <w:color w:val="2F75B5"/>
          <w:sz w:val="32"/>
        </w:rPr>
        <w:t>banqcraft</w:t>
      </w:r>
    </w:p>
    <w:p>
      <w:pPr>
        <w:pStyle w:val="Title"/>
        <w:spacing w:before="240"/>
      </w:pPr>
      <w:r>
        <w:t>Partnership &amp; Readiness Dossier</w:t>
      </w:r>
    </w:p>
    <w:p>
      <w:r>
        <w:rPr>
          <w:rFonts w:ascii="Arial" w:hAnsi="Arial"/>
          <w:color w:val="666666"/>
          <w:sz w:val="28"/>
        </w:rPr>
        <w:t>Detailed Internal Working Document</w:t>
      </w:r>
    </w:p>
    <w:p>
      <w:pPr>
        <w:spacing w:before="480"/>
      </w:pPr>
      <w:r>
        <w:rPr>
          <w:rFonts w:ascii="Arial" w:hAnsi="Arial"/>
          <w:b/>
          <w:color w:val="17365D"/>
          <w:sz w:val="26"/>
        </w:rPr>
        <w:t>Banking • Technology • People</w:t>
      </w:r>
    </w:p>
    <w:p>
      <w:pPr>
        <w:spacing w:before="720"/>
      </w:pPr>
      <w:r>
        <w:rPr>
          <w:rFonts w:ascii="Arial" w:hAnsi="Arial"/>
          <w:color w:val="666666"/>
          <w:sz w:val="19"/>
        </w:rPr>
        <w:t>Egypt-based | Initial focus: Finastra-aligned resource and professional-services capability | Confidential</w:t>
      </w:r>
    </w:p>
    <w:p>
      <w:r>
        <w:br w:type="page"/>
      </w:r>
    </w:p>
    <w:p>
      <w:pPr>
        <w:pStyle w:val="Heading1"/>
        <w:keepNext/>
        <w:spacing w:before="240" w:after="120"/>
      </w:pPr>
      <w:r>
        <w:t>1. Purpose and Use</w:t>
      </w:r>
    </w:p>
    <w:tbl>
      <w:tblPr>
        <w:tblW w:type="auto" w:w="0"/>
        <w:jc w:val="center"/>
        <w:tblLook w:firstColumn="1" w:firstRow="1" w:lastColumn="0" w:lastRow="0" w:noHBand="0" w:noVBand="1" w:val="04A0"/>
      </w:tblPr>
      <w:tblGrid>
        <w:gridCol w:w="9994"/>
      </w:tblGrid>
      <w:tr>
        <w:trPr>
          <w:cantSplit/>
        </w:trPr>
        <w:tc>
          <w:tcPr>
            <w:tcW w:type="dxa" w:w="9994"/>
            <w:shd w:fill="EAF2F8"/>
            <w:tcBorders>
              <w:left w:val="single" w:sz="18" w:color="2F75B5" w:space="0"/>
            </w:tcBorders>
          </w:tcPr>
          <w:p>
            <w:pPr>
              <w:spacing w:after="60"/>
            </w:pPr>
            <w:r/>
            <w:r>
              <w:rPr>
                <w:rFonts w:ascii="Arial" w:hAnsi="Arial"/>
                <w:b/>
                <w:color w:val="17365D"/>
                <w:sz w:val="21"/>
              </w:rPr>
              <w:t>Internal working document</w:t>
            </w:r>
          </w:p>
          <w:p>
            <w:pPr>
              <w:spacing w:after="60"/>
            </w:pPr>
            <w:r>
              <w:rPr>
                <w:rFonts w:ascii="Arial" w:hAnsi="Arial"/>
                <w:color w:val="2F2F2F"/>
                <w:sz w:val="19"/>
              </w:rPr>
              <w:t>This dossier contains the detailed evidence, assumptions, readiness items and working decisions behind the Finastra-facing proposal. It is intended to evolve through the partnership process and should not be shared externally in full.</w:t>
            </w:r>
          </w:p>
        </w:tc>
      </w:tr>
    </w:tbl>
    <w:p>
      <w:pPr>
        <w:spacing w:after="40"/>
      </w:pPr>
    </w:p>
    <w:p>
      <w:pPr>
        <w:spacing w:after="120" w:line="259" w:lineRule="auto"/>
      </w:pPr>
      <w:r>
        <w:rPr>
          <w:rFonts w:ascii="Arial" w:hAnsi="Arial"/>
          <w:color w:val="2F2F2F"/>
          <w:sz w:val="21"/>
        </w:rPr>
        <w:t>The dossier is deliberately deeper than the initial proposal. It captures operational details, talent profiles, commercial assumptions, transition considerations, evidence to collect, reference strategy, readiness gaps and a development roadmap.</w:t>
      </w:r>
    </w:p>
    <w:p>
      <w:pPr>
        <w:pStyle w:val="Heading1"/>
        <w:keepNext/>
        <w:spacing w:before="240" w:after="120"/>
      </w:pPr>
      <w:r>
        <w:t>2. Master Company Positioning</w:t>
      </w:r>
    </w:p>
    <w:tbl>
      <w:tblPr>
        <w:tblW w:type="auto" w:w="0"/>
        <w:jc w:val="center"/>
        <w:tblLook w:firstColumn="1" w:firstRow="1" w:lastColumn="0" w:lastRow="0" w:noHBand="0" w:noVBand="1" w:val="04A0"/>
      </w:tblPr>
      <w:tblGrid>
        <w:gridCol w:w="9994"/>
      </w:tblGrid>
      <w:tr>
        <w:trPr>
          <w:cantSplit/>
        </w:trPr>
        <w:tc>
          <w:tcPr>
            <w:tcW w:type="dxa" w:w="9994"/>
            <w:shd w:fill="EAF2F8"/>
            <w:tcBorders>
              <w:left w:val="single" w:sz="18" w:color="2F75B5" w:space="0"/>
            </w:tcBorders>
          </w:tcPr>
          <w:p>
            <w:pPr>
              <w:spacing w:after="60"/>
            </w:pPr>
            <w:r/>
            <w:r>
              <w:rPr>
                <w:rFonts w:ascii="Arial" w:hAnsi="Arial"/>
                <w:b/>
                <w:color w:val="17365D"/>
                <w:sz w:val="21"/>
              </w:rPr>
              <w:t>The proposition in one sentence</w:t>
            </w:r>
          </w:p>
          <w:p>
            <w:pPr>
              <w:spacing w:after="60"/>
            </w:pPr>
            <w:r>
              <w:rPr>
                <w:rFonts w:ascii="Arial" w:hAnsi="Arial"/>
                <w:color w:val="2F2F2F"/>
                <w:sz w:val="19"/>
              </w:rPr>
              <w:t>banqcraft is an Egypt-based specialist professional-services company being built around experienced banking and technology talent, initially focused on providing qualified, Arabic/English bilingual resources to support Finastra-related delivery, while progressively building certified implementation capability.</w:t>
            </w:r>
          </w:p>
        </w:tc>
      </w:tr>
    </w:tbl>
    <w:p>
      <w:pPr>
        <w:spacing w:after="40"/>
      </w:pPr>
    </w:p>
    <w:tbl>
      <w:tblPr>
        <w:tblW w:type="auto" w:w="0"/>
        <w:jc w:val="center"/>
        <w:tblLayout w:type="autofit"/>
        <w:tblLook w:firstColumn="1" w:firstRow="1" w:lastColumn="0" w:lastRow="0" w:noHBand="0" w:noVBand="1" w:val="04A0"/>
        <w:tblBorders>
          <w:top w:val="single" w:sz="4" w:space="0" w:color="C9D3DD"/>
          <w:left w:val="single" w:sz="4" w:space="0" w:color="C9D3DD"/>
          <w:bottom w:val="single" w:sz="4" w:space="0" w:color="C9D3DD"/>
          <w:right w:val="single" w:sz="4" w:space="0" w:color="C9D3DD"/>
          <w:insideH w:val="single" w:sz="4" w:space="0" w:color="C9D3DD"/>
          <w:insideV w:val="single" w:sz="4" w:space="0" w:color="C9D3DD"/>
        </w:tblBorders>
      </w:tblPr>
      <w:tblGrid>
        <w:gridCol w:w="4997"/>
        <w:gridCol w:w="4997"/>
      </w:tblGrid>
      <w:tr>
        <w:trPr>
          <w:cantSplit/>
        </w:trPr>
        <w:tc>
          <w:tcPr>
            <w:tcW w:type="dxa" w:w="3024"/>
            <w:shd w:fill="17365D"/>
            <w:vAlign w:val="center"/>
          </w:tcPr>
          <w:p>
            <w:pPr>
              <w:spacing w:after="40"/>
            </w:pPr>
            <w:r/>
            <w:r>
              <w:rPr>
                <w:rFonts w:ascii="Arial" w:hAnsi="Arial"/>
                <w:b/>
                <w:color w:val="FFFFFF"/>
                <w:sz w:val="18"/>
              </w:rPr>
              <w:t>Dimension</w:t>
            </w:r>
          </w:p>
        </w:tc>
        <w:tc>
          <w:tcPr>
            <w:tcW w:type="dxa" w:w="6912"/>
            <w:shd w:fill="17365D"/>
            <w:vAlign w:val="center"/>
          </w:tcPr>
          <w:p>
            <w:pPr>
              <w:spacing w:after="40"/>
            </w:pPr>
            <w:r/>
            <w:r>
              <w:rPr>
                <w:rFonts w:ascii="Arial" w:hAnsi="Arial"/>
                <w:b/>
                <w:color w:val="FFFFFF"/>
                <w:sz w:val="18"/>
              </w:rPr>
              <w:t>Current position</w:t>
            </w:r>
          </w:p>
        </w:tc>
      </w:tr>
      <w:tr>
        <w:trPr>
          <w:cantSplit/>
        </w:trPr>
        <w:tc>
          <w:tcPr>
            <w:tcW w:type="dxa" w:w="3024"/>
            <w:shd w:fill="FFFFFF"/>
            <w:vAlign w:val="center"/>
          </w:tcPr>
          <w:p>
            <w:pPr>
              <w:spacing w:after="40"/>
            </w:pPr>
            <w:r/>
            <w:r>
              <w:rPr>
                <w:rFonts w:ascii="Arial" w:hAnsi="Arial"/>
                <w:b w:val="0"/>
                <w:color w:val="2F2F2F"/>
                <w:sz w:val="18"/>
              </w:rPr>
              <w:t>Initial Finastra proposition</w:t>
            </w:r>
          </w:p>
        </w:tc>
        <w:tc>
          <w:tcPr>
            <w:tcW w:type="dxa" w:w="6912"/>
            <w:shd w:fill="FFFFFF"/>
            <w:vAlign w:val="center"/>
          </w:tcPr>
          <w:p>
            <w:pPr>
              <w:spacing w:after="40"/>
            </w:pPr>
            <w:r/>
            <w:r>
              <w:rPr>
                <w:rFonts w:ascii="Arial" w:hAnsi="Arial"/>
                <w:b w:val="0"/>
                <w:color w:val="2F2F2F"/>
                <w:sz w:val="18"/>
              </w:rPr>
              <w:t>Resource augmentation and professional-services support; partnership route to be mutually determined with Finastra.</w:t>
            </w:r>
          </w:p>
        </w:tc>
      </w:tr>
      <w:tr>
        <w:trPr>
          <w:cantSplit/>
        </w:trPr>
        <w:tc>
          <w:tcPr>
            <w:tcW w:type="dxa" w:w="3024"/>
            <w:shd w:fill="F5F8FB"/>
            <w:vAlign w:val="center"/>
          </w:tcPr>
          <w:p>
            <w:pPr>
              <w:spacing w:after="40"/>
            </w:pPr>
            <w:r/>
            <w:r>
              <w:rPr>
                <w:rFonts w:ascii="Arial" w:hAnsi="Arial"/>
                <w:b w:val="0"/>
                <w:color w:val="2F2F2F"/>
                <w:sz w:val="18"/>
              </w:rPr>
              <w:t>Primary product focus</w:t>
            </w:r>
          </w:p>
        </w:tc>
        <w:tc>
          <w:tcPr>
            <w:tcW w:type="dxa" w:w="6912"/>
            <w:shd w:fill="F5F8FB"/>
            <w:vAlign w:val="center"/>
          </w:tcPr>
          <w:p>
            <w:pPr>
              <w:spacing w:after="40"/>
            </w:pPr>
            <w:r/>
            <w:r>
              <w:rPr>
                <w:rFonts w:ascii="Arial" w:hAnsi="Arial"/>
                <w:b w:val="0"/>
                <w:color w:val="2F2F2F"/>
                <w:sz w:val="18"/>
              </w:rPr>
              <w:t>Fusion Trade Innovation (FTI) and Fusion Corporate Channels (FCC).</w:t>
            </w:r>
          </w:p>
        </w:tc>
      </w:tr>
      <w:tr>
        <w:trPr>
          <w:cantSplit/>
        </w:trPr>
        <w:tc>
          <w:tcPr>
            <w:tcW w:type="dxa" w:w="3024"/>
            <w:shd w:fill="FFFFFF"/>
            <w:vAlign w:val="center"/>
          </w:tcPr>
          <w:p>
            <w:pPr>
              <w:spacing w:after="40"/>
            </w:pPr>
            <w:r/>
            <w:r>
              <w:rPr>
                <w:rFonts w:ascii="Arial" w:hAnsi="Arial"/>
                <w:b w:val="0"/>
                <w:color w:val="2F2F2F"/>
                <w:sz w:val="18"/>
              </w:rPr>
              <w:t>Initial geography</w:t>
            </w:r>
          </w:p>
        </w:tc>
        <w:tc>
          <w:tcPr>
            <w:tcW w:type="dxa" w:w="6912"/>
            <w:shd w:fill="FFFFFF"/>
            <w:vAlign w:val="center"/>
          </w:tcPr>
          <w:p>
            <w:pPr>
              <w:spacing w:after="40"/>
            </w:pPr>
            <w:r/>
            <w:r>
              <w:rPr>
                <w:rFonts w:ascii="Arial" w:hAnsi="Arial"/>
                <w:b w:val="0"/>
                <w:color w:val="2F2F2F"/>
                <w:sz w:val="18"/>
              </w:rPr>
              <w:t>Egypt, with potential expansion into the Middle East and wider MEA.</w:t>
            </w:r>
          </w:p>
        </w:tc>
      </w:tr>
      <w:tr>
        <w:trPr>
          <w:cantSplit/>
        </w:trPr>
        <w:tc>
          <w:tcPr>
            <w:tcW w:type="dxa" w:w="3024"/>
            <w:shd w:fill="F5F8FB"/>
            <w:vAlign w:val="center"/>
          </w:tcPr>
          <w:p>
            <w:pPr>
              <w:spacing w:after="40"/>
            </w:pPr>
            <w:r/>
            <w:r>
              <w:rPr>
                <w:rFonts w:ascii="Arial" w:hAnsi="Arial"/>
                <w:b w:val="0"/>
                <w:color w:val="2F2F2F"/>
                <w:sz w:val="18"/>
              </w:rPr>
              <w:t>Founder profile</w:t>
            </w:r>
          </w:p>
        </w:tc>
        <w:tc>
          <w:tcPr>
            <w:tcW w:type="dxa" w:w="6912"/>
            <w:shd w:fill="F5F8FB"/>
            <w:vAlign w:val="center"/>
          </w:tcPr>
          <w:p>
            <w:pPr>
              <w:spacing w:after="40"/>
            </w:pPr>
            <w:r/>
            <w:r>
              <w:rPr>
                <w:rFonts w:ascii="Arial" w:hAnsi="Arial"/>
                <w:b w:val="0"/>
                <w:color w:val="2F2F2F"/>
                <w:sz w:val="18"/>
              </w:rPr>
              <w:t>~19 years professional experience since 2007; ~15 years in banking; ~5 years in consulting/professional services; FCA certified.</w:t>
            </w:r>
          </w:p>
        </w:tc>
      </w:tr>
      <w:tr>
        <w:trPr>
          <w:cantSplit/>
        </w:trPr>
        <w:tc>
          <w:tcPr>
            <w:tcW w:type="dxa" w:w="3024"/>
            <w:shd w:fill="FFFFFF"/>
            <w:vAlign w:val="center"/>
          </w:tcPr>
          <w:p>
            <w:pPr>
              <w:spacing w:after="40"/>
            </w:pPr>
            <w:r/>
            <w:r>
              <w:rPr>
                <w:rFonts w:ascii="Arial" w:hAnsi="Arial"/>
                <w:b w:val="0"/>
                <w:color w:val="2F2F2F"/>
                <w:sz w:val="18"/>
              </w:rPr>
              <w:t>Current project</w:t>
            </w:r>
          </w:p>
        </w:tc>
        <w:tc>
          <w:tcPr>
            <w:tcW w:type="dxa" w:w="6912"/>
            <w:shd w:fill="FFFFFF"/>
            <w:vAlign w:val="center"/>
          </w:tcPr>
          <w:p>
            <w:pPr>
              <w:spacing w:after="40"/>
            </w:pPr>
            <w:r/>
            <w:r>
              <w:rPr>
                <w:rFonts w:ascii="Arial" w:hAnsi="Arial"/>
                <w:b w:val="0"/>
                <w:color w:val="2F2F2F"/>
                <w:sz w:val="18"/>
              </w:rPr>
              <w:t>Major Egyptian bank; onboarded June 2025; expected completion March 2027; 12-person project; ~20 bank stakeholders; weekly Finastra interaction.</w:t>
            </w:r>
          </w:p>
        </w:tc>
      </w:tr>
      <w:tr>
        <w:trPr>
          <w:cantSplit/>
        </w:trPr>
        <w:tc>
          <w:tcPr>
            <w:tcW w:type="dxa" w:w="3024"/>
            <w:shd w:fill="F5F8FB"/>
            <w:vAlign w:val="center"/>
          </w:tcPr>
          <w:p>
            <w:pPr>
              <w:spacing w:after="40"/>
            </w:pPr>
            <w:r/>
            <w:r>
              <w:rPr>
                <w:rFonts w:ascii="Arial" w:hAnsi="Arial"/>
                <w:b w:val="0"/>
                <w:color w:val="2F2F2F"/>
                <w:sz w:val="18"/>
              </w:rPr>
              <w:t>Initial delivery pool</w:t>
            </w:r>
          </w:p>
        </w:tc>
        <w:tc>
          <w:tcPr>
            <w:tcW w:type="dxa" w:w="6912"/>
            <w:shd w:fill="F5F8FB"/>
            <w:vAlign w:val="center"/>
          </w:tcPr>
          <w:p>
            <w:pPr>
              <w:spacing w:after="40"/>
            </w:pPr>
            <w:r/>
            <w:r>
              <w:rPr>
                <w:rFonts w:ascii="Arial" w:hAnsi="Arial"/>
                <w:b w:val="0"/>
                <w:color w:val="2F2F2F"/>
                <w:sz w:val="18"/>
              </w:rPr>
              <w:t>3 identified professionals: senior technical, senior business/techno-functional, and senior technical/integration.</w:t>
            </w:r>
          </w:p>
        </w:tc>
      </w:tr>
      <w:tr>
        <w:trPr>
          <w:cantSplit/>
        </w:trPr>
        <w:tc>
          <w:tcPr>
            <w:tcW w:type="dxa" w:w="3024"/>
            <w:shd w:fill="FFFFFF"/>
            <w:vAlign w:val="center"/>
          </w:tcPr>
          <w:p>
            <w:pPr>
              <w:spacing w:after="40"/>
            </w:pPr>
            <w:r/>
            <w:r>
              <w:rPr>
                <w:rFonts w:ascii="Arial" w:hAnsi="Arial"/>
                <w:b w:val="0"/>
                <w:color w:val="2F2F2F"/>
                <w:sz w:val="18"/>
              </w:rPr>
              <w:t>Talent differentiator</w:t>
            </w:r>
          </w:p>
        </w:tc>
        <w:tc>
          <w:tcPr>
            <w:tcW w:type="dxa" w:w="6912"/>
            <w:shd w:fill="FFFFFF"/>
            <w:vAlign w:val="center"/>
          </w:tcPr>
          <w:p>
            <w:pPr>
              <w:spacing w:after="40"/>
            </w:pPr>
            <w:r/>
            <w:r>
              <w:rPr>
                <w:rFonts w:ascii="Arial" w:hAnsi="Arial"/>
                <w:b w:val="0"/>
                <w:color w:val="2F2F2F"/>
                <w:sz w:val="18"/>
              </w:rPr>
              <w:t>Strategic recruitment focus on Arabic-fluent banking/technology professionals, with English capability; non-Arabic resources may also be hired where appropriate.</w:t>
            </w:r>
          </w:p>
        </w:tc>
      </w:tr>
      <w:tr>
        <w:trPr>
          <w:cantSplit/>
        </w:trPr>
        <w:tc>
          <w:tcPr>
            <w:tcW w:type="dxa" w:w="3024"/>
            <w:shd w:fill="F5F8FB"/>
            <w:vAlign w:val="center"/>
          </w:tcPr>
          <w:p>
            <w:pPr>
              <w:spacing w:after="40"/>
            </w:pPr>
            <w:r/>
            <w:r>
              <w:rPr>
                <w:rFonts w:ascii="Arial" w:hAnsi="Arial"/>
                <w:b w:val="0"/>
                <w:color w:val="2F2F2F"/>
                <w:sz w:val="18"/>
              </w:rPr>
              <w:t>Founding team</w:t>
            </w:r>
          </w:p>
        </w:tc>
        <w:tc>
          <w:tcPr>
            <w:tcW w:type="dxa" w:w="6912"/>
            <w:shd w:fill="F5F8FB"/>
            <w:vAlign w:val="center"/>
          </w:tcPr>
          <w:p>
            <w:pPr>
              <w:spacing w:after="40"/>
            </w:pPr>
            <w:r/>
            <w:r>
              <w:rPr>
                <w:rFonts w:ascii="Arial" w:hAnsi="Arial"/>
                <w:b w:val="0"/>
                <w:color w:val="2F2F2F"/>
                <w:sz w:val="18"/>
              </w:rPr>
              <w:t>Founder / Banking &amp; Technology lead + Co-Founder &amp; People/HR Lead.</w:t>
            </w:r>
          </w:p>
        </w:tc>
      </w:tr>
    </w:tbl>
    <w:p>
      <w:pPr>
        <w:spacing w:after="40"/>
      </w:pPr>
    </w:p>
    <w:p>
      <w:pPr>
        <w:spacing w:after="120" w:line="259" w:lineRule="auto"/>
      </w:pPr>
      <w:r>
        <w:rPr>
          <w:rFonts w:ascii="Arial" w:hAnsi="Arial"/>
          <w:color w:val="2F2F2F"/>
          <w:sz w:val="21"/>
        </w:rPr>
        <w:t>Public-facing company positioning remains “Banking • Technology • People”. The Finastra partnership proposition is narrower: Banking &amp; Technology is the immediate delivery practice, while People &amp; HR is an operational and commercial capability led by the co-founder and also a separate banqcraft practice.</w:t>
      </w:r>
    </w:p>
    <w:p>
      <w:pPr>
        <w:pStyle w:val="Heading1"/>
        <w:keepNext/>
        <w:spacing w:before="240" w:after="120"/>
      </w:pPr>
      <w:r>
        <w:t>3. Founder Detailed Profile</w:t>
      </w:r>
    </w:p>
    <w:tbl>
      <w:tblPr>
        <w:tblW w:type="auto" w:w="0"/>
        <w:jc w:val="center"/>
        <w:tblLayout w:type="autofit"/>
        <w:tblLook w:firstColumn="1" w:firstRow="1" w:lastColumn="0" w:lastRow="0" w:noHBand="0" w:noVBand="1" w:val="04A0"/>
        <w:tblBorders>
          <w:top w:val="single" w:sz="4" w:space="0" w:color="C9D3DD"/>
          <w:left w:val="single" w:sz="4" w:space="0" w:color="C9D3DD"/>
          <w:bottom w:val="single" w:sz="4" w:space="0" w:color="C9D3DD"/>
          <w:right w:val="single" w:sz="4" w:space="0" w:color="C9D3DD"/>
          <w:insideH w:val="single" w:sz="4" w:space="0" w:color="C9D3DD"/>
          <w:insideV w:val="single" w:sz="4" w:space="0" w:color="C9D3DD"/>
        </w:tblBorders>
      </w:tblPr>
      <w:tblGrid>
        <w:gridCol w:w="4997"/>
        <w:gridCol w:w="4997"/>
      </w:tblGrid>
      <w:tr>
        <w:trPr>
          <w:cantSplit/>
        </w:trPr>
        <w:tc>
          <w:tcPr>
            <w:tcW w:type="dxa" w:w="2880"/>
            <w:shd w:fill="17365D"/>
            <w:vAlign w:val="center"/>
          </w:tcPr>
          <w:p>
            <w:pPr>
              <w:spacing w:after="40"/>
            </w:pPr>
            <w:r/>
            <w:r>
              <w:rPr>
                <w:rFonts w:ascii="Arial" w:hAnsi="Arial"/>
                <w:b/>
                <w:color w:val="FFFFFF"/>
                <w:sz w:val="18"/>
              </w:rPr>
              <w:t>Area</w:t>
            </w:r>
          </w:p>
        </w:tc>
        <w:tc>
          <w:tcPr>
            <w:tcW w:type="dxa" w:w="7200"/>
            <w:shd w:fill="17365D"/>
            <w:vAlign w:val="center"/>
          </w:tcPr>
          <w:p>
            <w:pPr>
              <w:spacing w:after="40"/>
            </w:pPr>
            <w:r/>
            <w:r>
              <w:rPr>
                <w:rFonts w:ascii="Arial" w:hAnsi="Arial"/>
                <w:b/>
                <w:color w:val="FFFFFF"/>
                <w:sz w:val="18"/>
              </w:rPr>
              <w:t>Details</w:t>
            </w:r>
          </w:p>
        </w:tc>
      </w:tr>
      <w:tr>
        <w:trPr>
          <w:cantSplit/>
        </w:trPr>
        <w:tc>
          <w:tcPr>
            <w:tcW w:type="dxa" w:w="2880"/>
            <w:shd w:fill="FFFFFF"/>
            <w:vAlign w:val="center"/>
          </w:tcPr>
          <w:p>
            <w:pPr>
              <w:spacing w:after="40"/>
            </w:pPr>
            <w:r/>
            <w:r>
              <w:rPr>
                <w:rFonts w:ascii="Arial" w:hAnsi="Arial"/>
                <w:b w:val="0"/>
                <w:color w:val="2F2F2F"/>
                <w:sz w:val="18"/>
              </w:rPr>
              <w:t>Professional timeline</w:t>
            </w:r>
          </w:p>
        </w:tc>
        <w:tc>
          <w:tcPr>
            <w:tcW w:type="dxa" w:w="7200"/>
            <w:shd w:fill="FFFFFF"/>
            <w:vAlign w:val="center"/>
          </w:tcPr>
          <w:p>
            <w:pPr>
              <w:spacing w:after="40"/>
            </w:pPr>
            <w:r/>
            <w:r>
              <w:rPr>
                <w:rFonts w:ascii="Arial" w:hAnsi="Arial"/>
                <w:b w:val="0"/>
                <w:color w:val="2F2F2F"/>
                <w:sz w:val="18"/>
              </w:rPr>
              <w:t>Started 2007; banking 2007–2022; consulting/professional services from 2022 onward.</w:t>
            </w:r>
          </w:p>
        </w:tc>
      </w:tr>
      <w:tr>
        <w:trPr>
          <w:cantSplit/>
        </w:trPr>
        <w:tc>
          <w:tcPr>
            <w:tcW w:type="dxa" w:w="2880"/>
            <w:shd w:fill="F5F8FB"/>
            <w:vAlign w:val="center"/>
          </w:tcPr>
          <w:p>
            <w:pPr>
              <w:spacing w:after="40"/>
            </w:pPr>
            <w:r/>
            <w:r>
              <w:rPr>
                <w:rFonts w:ascii="Arial" w:hAnsi="Arial"/>
                <w:b w:val="0"/>
                <w:color w:val="2F2F2F"/>
                <w:sz w:val="18"/>
              </w:rPr>
              <w:t>Banking institutions</w:t>
            </w:r>
          </w:p>
        </w:tc>
        <w:tc>
          <w:tcPr>
            <w:tcW w:type="dxa" w:w="7200"/>
            <w:shd w:fill="F5F8FB"/>
            <w:vAlign w:val="center"/>
          </w:tcPr>
          <w:p>
            <w:pPr>
              <w:spacing w:after="40"/>
            </w:pPr>
            <w:r/>
            <w:r>
              <w:rPr>
                <w:rFonts w:ascii="Arial" w:hAnsi="Arial"/>
                <w:b w:val="0"/>
                <w:color w:val="2F2F2F"/>
                <w:sz w:val="18"/>
              </w:rPr>
              <w:t>Bank Audi; First Abu Dhabi Bank.</w:t>
            </w:r>
          </w:p>
        </w:tc>
      </w:tr>
      <w:tr>
        <w:trPr>
          <w:cantSplit/>
        </w:trPr>
        <w:tc>
          <w:tcPr>
            <w:tcW w:type="dxa" w:w="2880"/>
            <w:shd w:fill="FFFFFF"/>
            <w:vAlign w:val="center"/>
          </w:tcPr>
          <w:p>
            <w:pPr>
              <w:spacing w:after="40"/>
            </w:pPr>
            <w:r/>
            <w:r>
              <w:rPr>
                <w:rFonts w:ascii="Arial" w:hAnsi="Arial"/>
                <w:b w:val="0"/>
                <w:color w:val="2F2F2F"/>
                <w:sz w:val="18"/>
              </w:rPr>
              <w:t>Main banking roles</w:t>
            </w:r>
          </w:p>
        </w:tc>
        <w:tc>
          <w:tcPr>
            <w:tcW w:type="dxa" w:w="7200"/>
            <w:shd w:fill="FFFFFF"/>
            <w:vAlign w:val="center"/>
          </w:tcPr>
          <w:p>
            <w:pPr>
              <w:spacing w:after="40"/>
            </w:pPr>
            <w:r/>
            <w:r>
              <w:rPr>
                <w:rFonts w:ascii="Arial" w:hAnsi="Arial"/>
                <w:b w:val="0"/>
                <w:color w:val="2F2F2F"/>
                <w:sz w:val="18"/>
              </w:rPr>
              <w:t>Trade Finance Senior Manager; Process Improvement Manager; Trade Finance Software Implementation Lead.</w:t>
            </w:r>
          </w:p>
        </w:tc>
      </w:tr>
      <w:tr>
        <w:trPr>
          <w:cantSplit/>
        </w:trPr>
        <w:tc>
          <w:tcPr>
            <w:tcW w:type="dxa" w:w="2880"/>
            <w:shd w:fill="F5F8FB"/>
            <w:vAlign w:val="center"/>
          </w:tcPr>
          <w:p>
            <w:pPr>
              <w:spacing w:after="40"/>
            </w:pPr>
            <w:r/>
            <w:r>
              <w:rPr>
                <w:rFonts w:ascii="Arial" w:hAnsi="Arial"/>
                <w:b w:val="0"/>
                <w:color w:val="2F2F2F"/>
                <w:sz w:val="18"/>
              </w:rPr>
              <w:t>Banking areas</w:t>
            </w:r>
          </w:p>
        </w:tc>
        <w:tc>
          <w:tcPr>
            <w:tcW w:type="dxa" w:w="7200"/>
            <w:shd w:fill="F5F8FB"/>
            <w:vAlign w:val="center"/>
          </w:tcPr>
          <w:p>
            <w:pPr>
              <w:spacing w:after="40"/>
            </w:pPr>
            <w:r/>
            <w:r>
              <w:rPr>
                <w:rFonts w:ascii="Arial" w:hAnsi="Arial"/>
                <w:b w:val="0"/>
                <w:color w:val="2F2F2F"/>
                <w:sz w:val="18"/>
              </w:rPr>
              <w:t>Operations; branch-network support; process improvement; trade finance.</w:t>
            </w:r>
          </w:p>
        </w:tc>
      </w:tr>
      <w:tr>
        <w:trPr>
          <w:cantSplit/>
        </w:trPr>
        <w:tc>
          <w:tcPr>
            <w:tcW w:type="dxa" w:w="2880"/>
            <w:shd w:fill="FFFFFF"/>
            <w:vAlign w:val="center"/>
          </w:tcPr>
          <w:p>
            <w:pPr>
              <w:spacing w:after="40"/>
            </w:pPr>
            <w:r/>
            <w:r>
              <w:rPr>
                <w:rFonts w:ascii="Arial" w:hAnsi="Arial"/>
                <w:b w:val="0"/>
                <w:color w:val="2F2F2F"/>
                <w:sz w:val="18"/>
              </w:rPr>
              <w:t>Finastra exposure</w:t>
            </w:r>
          </w:p>
        </w:tc>
        <w:tc>
          <w:tcPr>
            <w:tcW w:type="dxa" w:w="7200"/>
            <w:shd w:fill="FFFFFF"/>
            <w:vAlign w:val="center"/>
          </w:tcPr>
          <w:p>
            <w:pPr>
              <w:spacing w:after="40"/>
            </w:pPr>
            <w:r/>
            <w:r>
              <w:rPr>
                <w:rFonts w:ascii="Arial" w:hAnsi="Arial"/>
                <w:b w:val="0"/>
                <w:color w:val="2F2F2F"/>
                <w:sz w:val="18"/>
              </w:rPr>
              <w:t>Using Finastra applications since 2009; participated in Finastra-related solutions implemented in 8 banks across MENA.</w:t>
            </w:r>
          </w:p>
        </w:tc>
      </w:tr>
      <w:tr>
        <w:trPr>
          <w:cantSplit/>
        </w:trPr>
        <w:tc>
          <w:tcPr>
            <w:tcW w:type="dxa" w:w="2880"/>
            <w:shd w:fill="F5F8FB"/>
            <w:vAlign w:val="center"/>
          </w:tcPr>
          <w:p>
            <w:pPr>
              <w:spacing w:after="40"/>
            </w:pPr>
            <w:r/>
            <w:r>
              <w:rPr>
                <w:rFonts w:ascii="Arial" w:hAnsi="Arial"/>
                <w:b w:val="0"/>
                <w:color w:val="2F2F2F"/>
                <w:sz w:val="18"/>
              </w:rPr>
              <w:t>Current position</w:t>
            </w:r>
          </w:p>
        </w:tc>
        <w:tc>
          <w:tcPr>
            <w:tcW w:type="dxa" w:w="7200"/>
            <w:shd w:fill="F5F8FB"/>
            <w:vAlign w:val="center"/>
          </w:tcPr>
          <w:p>
            <w:pPr>
              <w:spacing w:after="40"/>
            </w:pPr>
            <w:r/>
            <w:r>
              <w:rPr>
                <w:rFonts w:ascii="Arial" w:hAnsi="Arial"/>
                <w:b w:val="0"/>
                <w:color w:val="2F2F2F"/>
                <w:sz w:val="18"/>
              </w:rPr>
              <w:t>Senior Business Consultant on FTI/FCC implementation for a major Egyptian bank.</w:t>
            </w:r>
          </w:p>
        </w:tc>
      </w:tr>
      <w:tr>
        <w:trPr>
          <w:cantSplit/>
        </w:trPr>
        <w:tc>
          <w:tcPr>
            <w:tcW w:type="dxa" w:w="2880"/>
            <w:shd w:fill="FFFFFF"/>
            <w:vAlign w:val="center"/>
          </w:tcPr>
          <w:p>
            <w:pPr>
              <w:spacing w:after="40"/>
            </w:pPr>
            <w:r/>
            <w:r>
              <w:rPr>
                <w:rFonts w:ascii="Arial" w:hAnsi="Arial"/>
                <w:b w:val="0"/>
                <w:color w:val="2F2F2F"/>
                <w:sz w:val="18"/>
              </w:rPr>
              <w:t>Certifications</w:t>
            </w:r>
          </w:p>
        </w:tc>
        <w:tc>
          <w:tcPr>
            <w:tcW w:type="dxa" w:w="7200"/>
            <w:shd w:fill="FFFFFF"/>
            <w:vAlign w:val="center"/>
          </w:tcPr>
          <w:p>
            <w:pPr>
              <w:spacing w:after="40"/>
            </w:pPr>
            <w:r/>
            <w:r>
              <w:rPr>
                <w:rFonts w:ascii="Arial" w:hAnsi="Arial"/>
                <w:b w:val="0"/>
                <w:color w:val="2F2F2F"/>
                <w:sz w:val="18"/>
              </w:rPr>
              <w:t>Finastra Certified Associate (FCA); Certified Specialist in Demand Guarantees (CSDG), LIBF.</w:t>
            </w:r>
          </w:p>
        </w:tc>
      </w:tr>
      <w:tr>
        <w:trPr>
          <w:cantSplit/>
        </w:trPr>
        <w:tc>
          <w:tcPr>
            <w:tcW w:type="dxa" w:w="2880"/>
            <w:shd w:fill="F5F8FB"/>
            <w:vAlign w:val="center"/>
          </w:tcPr>
          <w:p>
            <w:pPr>
              <w:spacing w:after="40"/>
            </w:pPr>
            <w:r/>
            <w:r>
              <w:rPr>
                <w:rFonts w:ascii="Arial" w:hAnsi="Arial"/>
                <w:b w:val="0"/>
                <w:color w:val="2F2F2F"/>
                <w:sz w:val="18"/>
              </w:rPr>
              <w:t>Languages</w:t>
            </w:r>
          </w:p>
        </w:tc>
        <w:tc>
          <w:tcPr>
            <w:tcW w:type="dxa" w:w="7200"/>
            <w:shd w:fill="F5F8FB"/>
            <w:vAlign w:val="center"/>
          </w:tcPr>
          <w:p>
            <w:pPr>
              <w:spacing w:after="40"/>
            </w:pPr>
            <w:r/>
            <w:r>
              <w:rPr>
                <w:rFonts w:ascii="Arial" w:hAnsi="Arial"/>
                <w:b w:val="0"/>
                <w:color w:val="2F2F2F"/>
                <w:sz w:val="18"/>
              </w:rPr>
              <w:t>Arabic; English.</w:t>
            </w:r>
          </w:p>
        </w:tc>
      </w:tr>
      <w:tr>
        <w:trPr>
          <w:cantSplit/>
        </w:trPr>
        <w:tc>
          <w:tcPr>
            <w:tcW w:type="dxa" w:w="2880"/>
            <w:shd w:fill="FFFFFF"/>
            <w:vAlign w:val="center"/>
          </w:tcPr>
          <w:p>
            <w:pPr>
              <w:spacing w:after="40"/>
            </w:pPr>
            <w:r/>
            <w:r>
              <w:rPr>
                <w:rFonts w:ascii="Arial" w:hAnsi="Arial"/>
                <w:b w:val="0"/>
                <w:color w:val="2F2F2F"/>
                <w:sz w:val="18"/>
              </w:rPr>
              <w:t>Education</w:t>
            </w:r>
          </w:p>
        </w:tc>
        <w:tc>
          <w:tcPr>
            <w:tcW w:type="dxa" w:w="7200"/>
            <w:shd w:fill="FFFFFF"/>
            <w:vAlign w:val="center"/>
          </w:tcPr>
          <w:p>
            <w:pPr>
              <w:spacing w:after="40"/>
            </w:pPr>
            <w:r/>
            <w:r>
              <w:rPr>
                <w:rFonts w:ascii="Arial" w:hAnsi="Arial"/>
                <w:b w:val="0"/>
                <w:color w:val="2F2F2F"/>
                <w:sz w:val="18"/>
              </w:rPr>
              <w:t>Bachelor of Commerce, Accounting, Cairo University.</w:t>
            </w:r>
          </w:p>
        </w:tc>
      </w:tr>
    </w:tbl>
    <w:p>
      <w:pPr>
        <w:spacing w:after="40"/>
      </w:pPr>
    </w:p>
    <w:p>
      <w:pPr>
        <w:pStyle w:val="Heading1"/>
        <w:keepNext/>
        <w:spacing w:before="240" w:after="120"/>
      </w:pPr>
      <w:r>
        <w:t>4. Co-Founder &amp; People/HR Lead — Detailed Capability</w:t>
      </w:r>
    </w:p>
    <w:p>
      <w:pPr>
        <w:spacing w:after="120" w:line="259" w:lineRule="auto"/>
      </w:pPr>
      <w:r>
        <w:rPr>
          <w:rFonts w:ascii="Arial" w:hAnsi="Arial"/>
          <w:color w:val="2F2F2F"/>
          <w:sz w:val="21"/>
        </w:rPr>
        <w:t>The co-founder brings approximately 15 years of HR experience and will provide the initial People &amp; HR leadership for banqcraft. This capability is strategically relevant to a resources-led business because talent acquisition, workforce administration, onboarding and retention are core operating functions rather than administrative afterthoughts.</w:t>
      </w:r>
    </w:p>
    <w:tbl>
      <w:tblPr>
        <w:tblW w:type="auto" w:w="0"/>
        <w:jc w:val="center"/>
        <w:tblLayout w:type="autofit"/>
        <w:tblLook w:firstColumn="1" w:firstRow="1" w:lastColumn="0" w:lastRow="0" w:noHBand="0" w:noVBand="1" w:val="04A0"/>
        <w:tblBorders>
          <w:top w:val="single" w:sz="4" w:space="0" w:color="C9D3DD"/>
          <w:left w:val="single" w:sz="4" w:space="0" w:color="C9D3DD"/>
          <w:bottom w:val="single" w:sz="4" w:space="0" w:color="C9D3DD"/>
          <w:right w:val="single" w:sz="4" w:space="0" w:color="C9D3DD"/>
          <w:insideH w:val="single" w:sz="4" w:space="0" w:color="C9D3DD"/>
          <w:insideV w:val="single" w:sz="4" w:space="0" w:color="C9D3DD"/>
        </w:tblBorders>
      </w:tblPr>
      <w:tblGrid>
        <w:gridCol w:w="4997"/>
        <w:gridCol w:w="4997"/>
      </w:tblGrid>
      <w:tr>
        <w:trPr>
          <w:cantSplit/>
        </w:trPr>
        <w:tc>
          <w:tcPr>
            <w:tcW w:type="dxa" w:w="2592"/>
            <w:shd w:fill="17365D"/>
            <w:vAlign w:val="center"/>
          </w:tcPr>
          <w:p>
            <w:pPr>
              <w:spacing w:after="40"/>
            </w:pPr>
            <w:r/>
            <w:r>
              <w:rPr>
                <w:rFonts w:ascii="Arial" w:hAnsi="Arial"/>
                <w:b/>
                <w:color w:val="FFFFFF"/>
                <w:sz w:val="18"/>
              </w:rPr>
              <w:t>Capability</w:t>
            </w:r>
          </w:p>
        </w:tc>
        <w:tc>
          <w:tcPr>
            <w:tcW w:type="dxa" w:w="7488"/>
            <w:shd w:fill="17365D"/>
            <w:vAlign w:val="center"/>
          </w:tcPr>
          <w:p>
            <w:pPr>
              <w:spacing w:after="40"/>
            </w:pPr>
            <w:r/>
            <w:r>
              <w:rPr>
                <w:rFonts w:ascii="Arial" w:hAnsi="Arial"/>
                <w:b/>
                <w:color w:val="FFFFFF"/>
                <w:sz w:val="18"/>
              </w:rPr>
              <w:t>Evidence / experience</w:t>
            </w:r>
          </w:p>
        </w:tc>
      </w:tr>
      <w:tr>
        <w:trPr>
          <w:cantSplit/>
        </w:trPr>
        <w:tc>
          <w:tcPr>
            <w:tcW w:type="dxa" w:w="2592"/>
            <w:shd w:fill="FFFFFF"/>
            <w:vAlign w:val="center"/>
          </w:tcPr>
          <w:p>
            <w:pPr>
              <w:spacing w:after="40"/>
            </w:pPr>
            <w:r/>
            <w:r>
              <w:rPr>
                <w:rFonts w:ascii="Arial" w:hAnsi="Arial"/>
                <w:b w:val="0"/>
                <w:color w:val="2F2F2F"/>
                <w:sz w:val="18"/>
              </w:rPr>
              <w:t>HR Operations &amp; Administration</w:t>
            </w:r>
          </w:p>
        </w:tc>
        <w:tc>
          <w:tcPr>
            <w:tcW w:type="dxa" w:w="7488"/>
            <w:shd w:fill="FFFFFF"/>
            <w:vAlign w:val="center"/>
          </w:tcPr>
          <w:p>
            <w:pPr>
              <w:spacing w:after="40"/>
            </w:pPr>
            <w:r/>
            <w:r>
              <w:rPr>
                <w:rFonts w:ascii="Arial" w:hAnsi="Arial"/>
                <w:b w:val="0"/>
                <w:color w:val="2F2F2F"/>
                <w:sz w:val="18"/>
              </w:rPr>
              <w:t>Full-cycle HR operations for 150+ staff; payroll process ownership; Microsoft Access-based payroll system covering employee cards, salary processing, deductions, penalties, advances, allowances, taxes and social insurance, plus salary sheets and payslips.</w:t>
            </w:r>
          </w:p>
        </w:tc>
      </w:tr>
      <w:tr>
        <w:trPr>
          <w:cantSplit/>
        </w:trPr>
        <w:tc>
          <w:tcPr>
            <w:tcW w:type="dxa" w:w="2592"/>
            <w:shd w:fill="F5F8FB"/>
            <w:vAlign w:val="center"/>
          </w:tcPr>
          <w:p>
            <w:pPr>
              <w:spacing w:after="40"/>
            </w:pPr>
            <w:r/>
            <w:r>
              <w:rPr>
                <w:rFonts w:ascii="Arial" w:hAnsi="Arial"/>
                <w:b w:val="0"/>
                <w:color w:val="2F2F2F"/>
                <w:sz w:val="18"/>
              </w:rPr>
              <w:t>Recruitment &amp; Talent Acquisition</w:t>
            </w:r>
          </w:p>
        </w:tc>
        <w:tc>
          <w:tcPr>
            <w:tcW w:type="dxa" w:w="7488"/>
            <w:shd w:fill="F5F8FB"/>
            <w:vAlign w:val="center"/>
          </w:tcPr>
          <w:p>
            <w:pPr>
              <w:spacing w:after="40"/>
            </w:pPr>
            <w:r/>
            <w:r>
              <w:rPr>
                <w:rFonts w:ascii="Arial" w:hAnsi="Arial"/>
                <w:b w:val="0"/>
                <w:color w:val="2F2F2F"/>
                <w:sz w:val="18"/>
              </w:rPr>
              <w:t>Job analysis, JD architecture, end-to-end recruitment SOPs, manpower planning, interview scorecards and selection matrices; experience across education and high-volume BPO.</w:t>
            </w:r>
          </w:p>
        </w:tc>
      </w:tr>
      <w:tr>
        <w:trPr>
          <w:cantSplit/>
        </w:trPr>
        <w:tc>
          <w:tcPr>
            <w:tcW w:type="dxa" w:w="2592"/>
            <w:shd w:fill="FFFFFF"/>
            <w:vAlign w:val="center"/>
          </w:tcPr>
          <w:p>
            <w:pPr>
              <w:spacing w:after="40"/>
            </w:pPr>
            <w:r/>
            <w:r>
              <w:rPr>
                <w:rFonts w:ascii="Arial" w:hAnsi="Arial"/>
                <w:b w:val="0"/>
                <w:color w:val="2F2F2F"/>
                <w:sz w:val="18"/>
              </w:rPr>
              <w:t>Compensation &amp; Benefits</w:t>
            </w:r>
          </w:p>
        </w:tc>
        <w:tc>
          <w:tcPr>
            <w:tcW w:type="dxa" w:w="7488"/>
            <w:shd w:fill="FFFFFF"/>
            <w:vAlign w:val="center"/>
          </w:tcPr>
          <w:p>
            <w:pPr>
              <w:spacing w:after="40"/>
            </w:pPr>
            <w:r/>
            <w:r>
              <w:rPr>
                <w:rFonts w:ascii="Arial" w:hAnsi="Arial"/>
                <w:b w:val="0"/>
                <w:color w:val="2F2F2F"/>
                <w:sz w:val="18"/>
              </w:rPr>
              <w:t>Payroll governance, C&amp;B process design, petty-cash governance, leave and attendance policy operations.</w:t>
            </w:r>
          </w:p>
        </w:tc>
      </w:tr>
      <w:tr>
        <w:trPr>
          <w:cantSplit/>
        </w:trPr>
        <w:tc>
          <w:tcPr>
            <w:tcW w:type="dxa" w:w="2592"/>
            <w:shd w:fill="F5F8FB"/>
            <w:vAlign w:val="center"/>
          </w:tcPr>
          <w:p>
            <w:pPr>
              <w:spacing w:after="40"/>
            </w:pPr>
            <w:r/>
            <w:r>
              <w:rPr>
                <w:rFonts w:ascii="Arial" w:hAnsi="Arial"/>
                <w:b w:val="0"/>
                <w:color w:val="2F2F2F"/>
                <w:sz w:val="18"/>
              </w:rPr>
              <w:t>HR Processes / SOPs</w:t>
            </w:r>
          </w:p>
        </w:tc>
        <w:tc>
          <w:tcPr>
            <w:tcW w:type="dxa" w:w="7488"/>
            <w:shd w:fill="F5F8FB"/>
            <w:vAlign w:val="center"/>
          </w:tcPr>
          <w:p>
            <w:pPr>
              <w:spacing w:after="40"/>
            </w:pPr>
            <w:r/>
            <w:r>
              <w:rPr>
                <w:rFonts w:ascii="Arial" w:hAnsi="Arial"/>
                <w:b w:val="0"/>
                <w:color w:val="2F2F2F"/>
                <w:sz w:val="18"/>
              </w:rPr>
              <w:t>Co-developed 20+ HR and admin SOPs and productized them into a structured internal library subject to local legal review.</w:t>
            </w:r>
          </w:p>
        </w:tc>
      </w:tr>
      <w:tr>
        <w:trPr>
          <w:cantSplit/>
        </w:trPr>
        <w:tc>
          <w:tcPr>
            <w:tcW w:type="dxa" w:w="2592"/>
            <w:shd w:fill="FFFFFF"/>
            <w:vAlign w:val="center"/>
          </w:tcPr>
          <w:p>
            <w:pPr>
              <w:spacing w:after="40"/>
            </w:pPr>
            <w:r/>
            <w:r>
              <w:rPr>
                <w:rFonts w:ascii="Arial" w:hAnsi="Arial"/>
                <w:b w:val="0"/>
                <w:color w:val="2F2F2F"/>
                <w:sz w:val="18"/>
              </w:rPr>
              <w:t>Employee lifecycle</w:t>
            </w:r>
          </w:p>
        </w:tc>
        <w:tc>
          <w:tcPr>
            <w:tcW w:type="dxa" w:w="7488"/>
            <w:shd w:fill="FFFFFF"/>
            <w:vAlign w:val="center"/>
          </w:tcPr>
          <w:p>
            <w:pPr>
              <w:spacing w:after="40"/>
            </w:pPr>
            <w:r/>
            <w:r>
              <w:rPr>
                <w:rFonts w:ascii="Arial" w:hAnsi="Arial"/>
                <w:b w:val="0"/>
                <w:color w:val="2F2F2F"/>
                <w:sz w:val="18"/>
              </w:rPr>
              <w:t>Onboarding 90-day system, performance appraisal/KPI frameworks, exit interviews, employee relations and grievance.</w:t>
            </w:r>
          </w:p>
        </w:tc>
      </w:tr>
      <w:tr>
        <w:trPr>
          <w:cantSplit/>
        </w:trPr>
        <w:tc>
          <w:tcPr>
            <w:tcW w:type="dxa" w:w="2592"/>
            <w:shd w:fill="F5F8FB"/>
            <w:vAlign w:val="center"/>
          </w:tcPr>
          <w:p>
            <w:pPr>
              <w:spacing w:after="40"/>
            </w:pPr>
            <w:r/>
            <w:r>
              <w:rPr>
                <w:rFonts w:ascii="Arial" w:hAnsi="Arial"/>
                <w:b w:val="0"/>
                <w:color w:val="2F2F2F"/>
                <w:sz w:val="18"/>
              </w:rPr>
              <w:t>Engagement / Retention</w:t>
            </w:r>
          </w:p>
        </w:tc>
        <w:tc>
          <w:tcPr>
            <w:tcW w:type="dxa" w:w="7488"/>
            <w:shd w:fill="F5F8FB"/>
            <w:vAlign w:val="center"/>
          </w:tcPr>
          <w:p>
            <w:pPr>
              <w:spacing w:after="40"/>
            </w:pPr>
            <w:r/>
            <w:r>
              <w:rPr>
                <w:rFonts w:ascii="Arial" w:hAnsi="Arial"/>
                <w:b w:val="0"/>
                <w:color w:val="2F2F2F"/>
                <w:sz w:val="18"/>
              </w:rPr>
              <w:t>Led 10 engagement specialists, managed 200+ exit interviews, satisfaction surveys, attrition analysis and KPI-based retention actions in high-turnover environments.</w:t>
            </w:r>
          </w:p>
        </w:tc>
      </w:tr>
      <w:tr>
        <w:trPr>
          <w:cantSplit/>
        </w:trPr>
        <w:tc>
          <w:tcPr>
            <w:tcW w:type="dxa" w:w="2592"/>
            <w:shd w:fill="FFFFFF"/>
            <w:vAlign w:val="center"/>
          </w:tcPr>
          <w:p>
            <w:pPr>
              <w:spacing w:after="40"/>
            </w:pPr>
            <w:r/>
            <w:r>
              <w:rPr>
                <w:rFonts w:ascii="Arial" w:hAnsi="Arial"/>
                <w:b w:val="0"/>
                <w:color w:val="2F2F2F"/>
                <w:sz w:val="18"/>
              </w:rPr>
              <w:t>Assessment centres</w:t>
            </w:r>
          </w:p>
        </w:tc>
        <w:tc>
          <w:tcPr>
            <w:tcW w:type="dxa" w:w="7488"/>
            <w:shd w:fill="FFFFFF"/>
            <w:vAlign w:val="center"/>
          </w:tcPr>
          <w:p>
            <w:pPr>
              <w:spacing w:after="40"/>
            </w:pPr>
            <w:r/>
            <w:r>
              <w:rPr>
                <w:rFonts w:ascii="Arial" w:hAnsi="Arial"/>
                <w:b w:val="0"/>
                <w:color w:val="2F2F2F"/>
                <w:sz w:val="18"/>
              </w:rPr>
              <w:t>Designed 7 business-simulation case studies for Nestle Egypt for hiring, promotion and evaluation decisions through JOBMASTER.</w:t>
            </w:r>
          </w:p>
        </w:tc>
      </w:tr>
      <w:tr>
        <w:trPr>
          <w:cantSplit/>
        </w:trPr>
        <w:tc>
          <w:tcPr>
            <w:tcW w:type="dxa" w:w="2592"/>
            <w:shd w:fill="F5F8FB"/>
            <w:vAlign w:val="center"/>
          </w:tcPr>
          <w:p>
            <w:pPr>
              <w:spacing w:after="40"/>
            </w:pPr>
            <w:r/>
            <w:r>
              <w:rPr>
                <w:rFonts w:ascii="Arial" w:hAnsi="Arial"/>
                <w:b w:val="0"/>
                <w:color w:val="2F2F2F"/>
                <w:sz w:val="18"/>
              </w:rPr>
              <w:t>Current business activity</w:t>
            </w:r>
          </w:p>
        </w:tc>
        <w:tc>
          <w:tcPr>
            <w:tcW w:type="dxa" w:w="7488"/>
            <w:shd w:fill="F5F8FB"/>
            <w:vAlign w:val="center"/>
          </w:tcPr>
          <w:p>
            <w:pPr>
              <w:spacing w:after="40"/>
            </w:pPr>
            <w:r/>
            <w:r>
              <w:rPr>
                <w:rFonts w:ascii="Arial" w:hAnsi="Arial"/>
                <w:b w:val="0"/>
                <w:color w:val="2F2F2F"/>
                <w:sz w:val="18"/>
              </w:rPr>
              <w:t>Egypt-based HR/BPO services with GCC coverage, including HR operations, talent acquisition, assessments and productized HR systems.</w:t>
            </w:r>
          </w:p>
        </w:tc>
      </w:tr>
      <w:tr>
        <w:trPr>
          <w:cantSplit/>
        </w:trPr>
        <w:tc>
          <w:tcPr>
            <w:tcW w:type="dxa" w:w="2592"/>
            <w:shd w:fill="FFFFFF"/>
            <w:vAlign w:val="center"/>
          </w:tcPr>
          <w:p>
            <w:pPr>
              <w:spacing w:after="40"/>
            </w:pPr>
            <w:r/>
            <w:r>
              <w:rPr>
                <w:rFonts w:ascii="Arial" w:hAnsi="Arial"/>
                <w:b w:val="0"/>
                <w:color w:val="2F2F2F"/>
                <w:sz w:val="18"/>
              </w:rPr>
              <w:t>Languages</w:t>
            </w:r>
          </w:p>
        </w:tc>
        <w:tc>
          <w:tcPr>
            <w:tcW w:type="dxa" w:w="7488"/>
            <w:shd w:fill="FFFFFF"/>
            <w:vAlign w:val="center"/>
          </w:tcPr>
          <w:p>
            <w:pPr>
              <w:spacing w:after="40"/>
            </w:pPr>
            <w:r/>
            <w:r>
              <w:rPr>
                <w:rFonts w:ascii="Arial" w:hAnsi="Arial"/>
                <w:b w:val="0"/>
                <w:color w:val="2F2F2F"/>
                <w:sz w:val="18"/>
              </w:rPr>
              <w:t>Arabic native; English professional proficiency.</w:t>
            </w:r>
          </w:p>
        </w:tc>
      </w:tr>
      <w:tr>
        <w:trPr>
          <w:cantSplit/>
        </w:trPr>
        <w:tc>
          <w:tcPr>
            <w:tcW w:type="dxa" w:w="2592"/>
            <w:shd w:fill="F5F8FB"/>
            <w:vAlign w:val="center"/>
          </w:tcPr>
          <w:p>
            <w:pPr>
              <w:spacing w:after="40"/>
            </w:pPr>
            <w:r/>
            <w:r>
              <w:rPr>
                <w:rFonts w:ascii="Arial" w:hAnsi="Arial"/>
                <w:b w:val="0"/>
                <w:color w:val="2F2F2F"/>
                <w:sz w:val="18"/>
              </w:rPr>
              <w:t>Education</w:t>
            </w:r>
          </w:p>
        </w:tc>
        <w:tc>
          <w:tcPr>
            <w:tcW w:type="dxa" w:w="7488"/>
            <w:shd w:fill="F5F8FB"/>
            <w:vAlign w:val="center"/>
          </w:tcPr>
          <w:p>
            <w:pPr>
              <w:spacing w:after="40"/>
            </w:pPr>
            <w:r/>
            <w:r>
              <w:rPr>
                <w:rFonts w:ascii="Arial" w:hAnsi="Arial"/>
                <w:b w:val="0"/>
                <w:color w:val="2F2F2F"/>
                <w:sz w:val="18"/>
              </w:rPr>
              <w:t>Bachelor’s in English Commerce, Business Administration, Cairo University; HR Career Certificate, AUC; additional professional training in recruitment, C&amp;B, competency modeling, appraisal, leadership and soft skills.</w:t>
            </w:r>
          </w:p>
        </w:tc>
      </w:tr>
    </w:tbl>
    <w:p>
      <w:pPr>
        <w:spacing w:after="40"/>
      </w:pPr>
    </w:p>
    <w:p>
      <w:pPr>
        <w:spacing w:after="120" w:line="259" w:lineRule="auto"/>
      </w:pPr>
      <w:r>
        <w:rPr>
          <w:rFonts w:ascii="Arial" w:hAnsi="Arial"/>
          <w:color w:val="2F2F2F"/>
          <w:sz w:val="21"/>
        </w:rPr>
        <w:t>The ongoing diploma in mental health and psychological/family counseling is not necessary for the Finastra partnership proposal and should normally be omitted from the external document. It can be retained in the internal CV archive if it supports future People &amp; HR offerings such as wellbeing or employee-engagement services.</w:t>
      </w:r>
    </w:p>
    <w:p>
      <w:pPr>
        <w:pStyle w:val="Heading1"/>
        <w:keepNext/>
        <w:spacing w:before="240" w:after="120"/>
      </w:pPr>
      <w:r>
        <w:t>5. Current Finastra Project — Detailed Record</w:t>
      </w:r>
    </w:p>
    <w:tbl>
      <w:tblPr>
        <w:tblW w:type="auto" w:w="0"/>
        <w:jc w:val="center"/>
        <w:tblLayout w:type="autofit"/>
        <w:tblLook w:firstColumn="1" w:firstRow="1" w:lastColumn="0" w:lastRow="0" w:noHBand="0" w:noVBand="1" w:val="04A0"/>
        <w:tblBorders>
          <w:top w:val="single" w:sz="4" w:space="0" w:color="C9D3DD"/>
          <w:left w:val="single" w:sz="4" w:space="0" w:color="C9D3DD"/>
          <w:bottom w:val="single" w:sz="4" w:space="0" w:color="C9D3DD"/>
          <w:right w:val="single" w:sz="4" w:space="0" w:color="C9D3DD"/>
          <w:insideH w:val="single" w:sz="4" w:space="0" w:color="C9D3DD"/>
          <w:insideV w:val="single" w:sz="4" w:space="0" w:color="C9D3DD"/>
        </w:tblBorders>
      </w:tblPr>
      <w:tblGrid>
        <w:gridCol w:w="4997"/>
        <w:gridCol w:w="4997"/>
      </w:tblGrid>
      <w:tr>
        <w:trPr>
          <w:cantSplit/>
        </w:trPr>
        <w:tc>
          <w:tcPr>
            <w:tcW w:type="dxa" w:w="2880"/>
            <w:shd w:fill="17365D"/>
            <w:vAlign w:val="center"/>
          </w:tcPr>
          <w:p>
            <w:pPr>
              <w:spacing w:after="40"/>
            </w:pPr>
            <w:r/>
            <w:r>
              <w:rPr>
                <w:rFonts w:ascii="Arial" w:hAnsi="Arial"/>
                <w:b/>
                <w:color w:val="FFFFFF"/>
                <w:sz w:val="18"/>
              </w:rPr>
              <w:t>Item</w:t>
            </w:r>
          </w:p>
        </w:tc>
        <w:tc>
          <w:tcPr>
            <w:tcW w:type="dxa" w:w="7200"/>
            <w:shd w:fill="17365D"/>
            <w:vAlign w:val="center"/>
          </w:tcPr>
          <w:p>
            <w:pPr>
              <w:spacing w:after="40"/>
            </w:pPr>
            <w:r/>
            <w:r>
              <w:rPr>
                <w:rFonts w:ascii="Arial" w:hAnsi="Arial"/>
                <w:b/>
                <w:color w:val="FFFFFF"/>
                <w:sz w:val="18"/>
              </w:rPr>
              <w:t>Record</w:t>
            </w:r>
          </w:p>
        </w:tc>
      </w:tr>
      <w:tr>
        <w:trPr>
          <w:cantSplit/>
        </w:trPr>
        <w:tc>
          <w:tcPr>
            <w:tcW w:type="dxa" w:w="2880"/>
            <w:shd w:fill="FFFFFF"/>
            <w:vAlign w:val="center"/>
          </w:tcPr>
          <w:p>
            <w:pPr>
              <w:spacing w:after="40"/>
            </w:pPr>
            <w:r/>
            <w:r>
              <w:rPr>
                <w:rFonts w:ascii="Arial" w:hAnsi="Arial"/>
                <w:b w:val="0"/>
                <w:color w:val="2F2F2F"/>
                <w:sz w:val="18"/>
              </w:rPr>
              <w:t>Products</w:t>
            </w:r>
          </w:p>
        </w:tc>
        <w:tc>
          <w:tcPr>
            <w:tcW w:type="dxa" w:w="7200"/>
            <w:shd w:fill="FFFFFF"/>
            <w:vAlign w:val="center"/>
          </w:tcPr>
          <w:p>
            <w:pPr>
              <w:spacing w:after="40"/>
            </w:pPr>
            <w:r/>
            <w:r>
              <w:rPr>
                <w:rFonts w:ascii="Arial" w:hAnsi="Arial"/>
                <w:b w:val="0"/>
                <w:color w:val="2F2F2F"/>
                <w:sz w:val="18"/>
              </w:rPr>
              <w:t>Fusion Trade Innovation (FTI) and Fusion Corporate Channels (FCC).</w:t>
            </w:r>
          </w:p>
        </w:tc>
      </w:tr>
      <w:tr>
        <w:trPr>
          <w:cantSplit/>
        </w:trPr>
        <w:tc>
          <w:tcPr>
            <w:tcW w:type="dxa" w:w="2880"/>
            <w:shd w:fill="F5F8FB"/>
            <w:vAlign w:val="center"/>
          </w:tcPr>
          <w:p>
            <w:pPr>
              <w:spacing w:after="40"/>
            </w:pPr>
            <w:r/>
            <w:r>
              <w:rPr>
                <w:rFonts w:ascii="Arial" w:hAnsi="Arial"/>
                <w:b w:val="0"/>
                <w:color w:val="2F2F2F"/>
                <w:sz w:val="18"/>
              </w:rPr>
              <w:t>Client</w:t>
            </w:r>
          </w:p>
        </w:tc>
        <w:tc>
          <w:tcPr>
            <w:tcW w:type="dxa" w:w="7200"/>
            <w:shd w:fill="F5F8FB"/>
            <w:vAlign w:val="center"/>
          </w:tcPr>
          <w:p>
            <w:pPr>
              <w:spacing w:after="40"/>
            </w:pPr>
            <w:r/>
            <w:r>
              <w:rPr>
                <w:rFonts w:ascii="Arial" w:hAnsi="Arial"/>
                <w:b w:val="0"/>
                <w:color w:val="2F2F2F"/>
                <w:sz w:val="18"/>
              </w:rPr>
              <w:t>Major Egyptian bank; confidential client identifier: Bank X.</w:t>
            </w:r>
          </w:p>
        </w:tc>
      </w:tr>
      <w:tr>
        <w:trPr>
          <w:cantSplit/>
        </w:trPr>
        <w:tc>
          <w:tcPr>
            <w:tcW w:type="dxa" w:w="2880"/>
            <w:shd w:fill="FFFFFF"/>
            <w:vAlign w:val="center"/>
          </w:tcPr>
          <w:p>
            <w:pPr>
              <w:spacing w:after="40"/>
            </w:pPr>
            <w:r/>
            <w:r>
              <w:rPr>
                <w:rFonts w:ascii="Arial" w:hAnsi="Arial"/>
                <w:b w:val="0"/>
                <w:color w:val="2F2F2F"/>
                <w:sz w:val="18"/>
              </w:rPr>
              <w:t>Onboarding</w:t>
            </w:r>
          </w:p>
        </w:tc>
        <w:tc>
          <w:tcPr>
            <w:tcW w:type="dxa" w:w="7200"/>
            <w:shd w:fill="FFFFFF"/>
            <w:vAlign w:val="center"/>
          </w:tcPr>
          <w:p>
            <w:pPr>
              <w:spacing w:after="40"/>
            </w:pPr>
            <w:r/>
            <w:r>
              <w:rPr>
                <w:rFonts w:ascii="Arial" w:hAnsi="Arial"/>
                <w:b w:val="0"/>
                <w:color w:val="2F2F2F"/>
                <w:sz w:val="18"/>
              </w:rPr>
              <w:t>June 2025.</w:t>
            </w:r>
          </w:p>
        </w:tc>
      </w:tr>
      <w:tr>
        <w:trPr>
          <w:cantSplit/>
        </w:trPr>
        <w:tc>
          <w:tcPr>
            <w:tcW w:type="dxa" w:w="2880"/>
            <w:shd w:fill="F5F8FB"/>
            <w:vAlign w:val="center"/>
          </w:tcPr>
          <w:p>
            <w:pPr>
              <w:spacing w:after="40"/>
            </w:pPr>
            <w:r/>
            <w:r>
              <w:rPr>
                <w:rFonts w:ascii="Arial" w:hAnsi="Arial"/>
                <w:b w:val="0"/>
                <w:color w:val="2F2F2F"/>
                <w:sz w:val="18"/>
              </w:rPr>
              <w:t>Underlying project</w:t>
            </w:r>
          </w:p>
        </w:tc>
        <w:tc>
          <w:tcPr>
            <w:tcW w:type="dxa" w:w="7200"/>
            <w:shd w:fill="F5F8FB"/>
            <w:vAlign w:val="center"/>
          </w:tcPr>
          <w:p>
            <w:pPr>
              <w:spacing w:after="40"/>
            </w:pPr>
            <w:r/>
            <w:r>
              <w:rPr>
                <w:rFonts w:ascii="Arial" w:hAnsi="Arial"/>
                <w:b w:val="0"/>
                <w:color w:val="2F2F2F"/>
                <w:sz w:val="18"/>
              </w:rPr>
              <w:t>Project commenced several months before founder onboarding.</w:t>
            </w:r>
          </w:p>
        </w:tc>
      </w:tr>
      <w:tr>
        <w:trPr>
          <w:cantSplit/>
        </w:trPr>
        <w:tc>
          <w:tcPr>
            <w:tcW w:type="dxa" w:w="2880"/>
            <w:shd w:fill="FFFFFF"/>
            <w:vAlign w:val="center"/>
          </w:tcPr>
          <w:p>
            <w:pPr>
              <w:spacing w:after="40"/>
            </w:pPr>
            <w:r/>
            <w:r>
              <w:rPr>
                <w:rFonts w:ascii="Arial" w:hAnsi="Arial"/>
                <w:b w:val="0"/>
                <w:color w:val="2F2F2F"/>
                <w:sz w:val="18"/>
              </w:rPr>
              <w:t>Expected completion</w:t>
            </w:r>
          </w:p>
        </w:tc>
        <w:tc>
          <w:tcPr>
            <w:tcW w:type="dxa" w:w="7200"/>
            <w:shd w:fill="FFFFFF"/>
            <w:vAlign w:val="center"/>
          </w:tcPr>
          <w:p>
            <w:pPr>
              <w:spacing w:after="40"/>
            </w:pPr>
            <w:r/>
            <w:r>
              <w:rPr>
                <w:rFonts w:ascii="Arial" w:hAnsi="Arial"/>
                <w:b w:val="0"/>
                <w:color w:val="2F2F2F"/>
                <w:sz w:val="18"/>
              </w:rPr>
              <w:t>March 2027.</w:t>
            </w:r>
          </w:p>
        </w:tc>
      </w:tr>
      <w:tr>
        <w:trPr>
          <w:cantSplit/>
        </w:trPr>
        <w:tc>
          <w:tcPr>
            <w:tcW w:type="dxa" w:w="2880"/>
            <w:shd w:fill="F5F8FB"/>
            <w:vAlign w:val="center"/>
          </w:tcPr>
          <w:p>
            <w:pPr>
              <w:spacing w:after="40"/>
            </w:pPr>
            <w:r/>
            <w:r>
              <w:rPr>
                <w:rFonts w:ascii="Arial" w:hAnsi="Arial"/>
                <w:b w:val="0"/>
                <w:color w:val="2F2F2F"/>
                <w:sz w:val="18"/>
              </w:rPr>
              <w:t>Project team</w:t>
            </w:r>
          </w:p>
        </w:tc>
        <w:tc>
          <w:tcPr>
            <w:tcW w:type="dxa" w:w="7200"/>
            <w:shd w:fill="F5F8FB"/>
            <w:vAlign w:val="center"/>
          </w:tcPr>
          <w:p>
            <w:pPr>
              <w:spacing w:after="40"/>
            </w:pPr>
            <w:r/>
            <w:r>
              <w:rPr>
                <w:rFonts w:ascii="Arial" w:hAnsi="Arial"/>
                <w:b w:val="0"/>
                <w:color w:val="2F2F2F"/>
                <w:sz w:val="18"/>
              </w:rPr>
              <w:t>Approximately 12 people.</w:t>
            </w:r>
          </w:p>
        </w:tc>
      </w:tr>
      <w:tr>
        <w:trPr>
          <w:cantSplit/>
        </w:trPr>
        <w:tc>
          <w:tcPr>
            <w:tcW w:type="dxa" w:w="2880"/>
            <w:shd w:fill="FFFFFF"/>
            <w:vAlign w:val="center"/>
          </w:tcPr>
          <w:p>
            <w:pPr>
              <w:spacing w:after="40"/>
            </w:pPr>
            <w:r/>
            <w:r>
              <w:rPr>
                <w:rFonts w:ascii="Arial" w:hAnsi="Arial"/>
                <w:b w:val="0"/>
                <w:color w:val="2F2F2F"/>
                <w:sz w:val="18"/>
              </w:rPr>
              <w:t>Bank stakeholders</w:t>
            </w:r>
          </w:p>
        </w:tc>
        <w:tc>
          <w:tcPr>
            <w:tcW w:type="dxa" w:w="7200"/>
            <w:shd w:fill="FFFFFF"/>
            <w:vAlign w:val="center"/>
          </w:tcPr>
          <w:p>
            <w:pPr>
              <w:spacing w:after="40"/>
            </w:pPr>
            <w:r/>
            <w:r>
              <w:rPr>
                <w:rFonts w:ascii="Arial" w:hAnsi="Arial"/>
                <w:b w:val="0"/>
                <w:color w:val="2F2F2F"/>
                <w:sz w:val="18"/>
              </w:rPr>
              <w:t>Approximately 20 people interacted with.</w:t>
            </w:r>
          </w:p>
        </w:tc>
      </w:tr>
      <w:tr>
        <w:trPr>
          <w:cantSplit/>
        </w:trPr>
        <w:tc>
          <w:tcPr>
            <w:tcW w:type="dxa" w:w="2880"/>
            <w:shd w:fill="F5F8FB"/>
            <w:vAlign w:val="center"/>
          </w:tcPr>
          <w:p>
            <w:pPr>
              <w:spacing w:after="40"/>
            </w:pPr>
            <w:r/>
            <w:r>
              <w:rPr>
                <w:rFonts w:ascii="Arial" w:hAnsi="Arial"/>
                <w:b w:val="0"/>
                <w:color w:val="2F2F2F"/>
                <w:sz w:val="18"/>
              </w:rPr>
              <w:t>Finastra interaction</w:t>
            </w:r>
          </w:p>
        </w:tc>
        <w:tc>
          <w:tcPr>
            <w:tcW w:type="dxa" w:w="7200"/>
            <w:shd w:fill="F5F8FB"/>
            <w:vAlign w:val="center"/>
          </w:tcPr>
          <w:p>
            <w:pPr>
              <w:spacing w:after="40"/>
            </w:pPr>
            <w:r/>
            <w:r>
              <w:rPr>
                <w:rFonts w:ascii="Arial" w:hAnsi="Arial"/>
                <w:b w:val="0"/>
                <w:color w:val="2F2F2F"/>
                <w:sz w:val="18"/>
              </w:rPr>
              <w:t>Direct interaction with Finastra product/team members weekly.</w:t>
            </w:r>
          </w:p>
        </w:tc>
      </w:tr>
      <w:tr>
        <w:trPr>
          <w:cantSplit/>
        </w:trPr>
        <w:tc>
          <w:tcPr>
            <w:tcW w:type="dxa" w:w="2880"/>
            <w:shd w:fill="FFFFFF"/>
            <w:vAlign w:val="center"/>
          </w:tcPr>
          <w:p>
            <w:pPr>
              <w:spacing w:after="40"/>
            </w:pPr>
            <w:r/>
            <w:r>
              <w:rPr>
                <w:rFonts w:ascii="Arial" w:hAnsi="Arial"/>
                <w:b w:val="0"/>
                <w:color w:val="2F2F2F"/>
                <w:sz w:val="18"/>
              </w:rPr>
              <w:t>Lifecycle</w:t>
            </w:r>
          </w:p>
        </w:tc>
        <w:tc>
          <w:tcPr>
            <w:tcW w:type="dxa" w:w="7200"/>
            <w:shd w:fill="FFFFFF"/>
            <w:vAlign w:val="center"/>
          </w:tcPr>
          <w:p>
            <w:pPr>
              <w:spacing w:after="40"/>
            </w:pPr>
            <w:r/>
            <w:r>
              <w:rPr>
                <w:rFonts w:ascii="Arial" w:hAnsi="Arial"/>
                <w:b w:val="0"/>
                <w:color w:val="2F2F2F"/>
                <w:sz w:val="18"/>
              </w:rPr>
              <w:t>Early implementation through migration, training, go-live and post-production support.</w:t>
            </w:r>
          </w:p>
        </w:tc>
      </w:tr>
      <w:tr>
        <w:trPr>
          <w:cantSplit/>
        </w:trPr>
        <w:tc>
          <w:tcPr>
            <w:tcW w:type="dxa" w:w="2880"/>
            <w:shd w:fill="F5F8FB"/>
            <w:vAlign w:val="center"/>
          </w:tcPr>
          <w:p>
            <w:pPr>
              <w:spacing w:after="40"/>
            </w:pPr>
            <w:r/>
            <w:r>
              <w:rPr>
                <w:rFonts w:ascii="Arial" w:hAnsi="Arial"/>
                <w:b w:val="0"/>
                <w:color w:val="2F2F2F"/>
                <w:sz w:val="18"/>
              </w:rPr>
              <w:t>Milestones</w:t>
            </w:r>
          </w:p>
        </w:tc>
        <w:tc>
          <w:tcPr>
            <w:tcW w:type="dxa" w:w="7200"/>
            <w:shd w:fill="F5F8FB"/>
            <w:vAlign w:val="center"/>
          </w:tcPr>
          <w:p>
            <w:pPr>
              <w:spacing w:after="40"/>
            </w:pPr>
            <w:r/>
            <w:r>
              <w:rPr>
                <w:rFonts w:ascii="Arial" w:hAnsi="Arial"/>
                <w:b w:val="0"/>
                <w:color w:val="2F2F2F"/>
                <w:sz w:val="18"/>
              </w:rPr>
              <w:t>Definition phase, SIT, UAT, go-live, post-production support.</w:t>
            </w:r>
          </w:p>
        </w:tc>
      </w:tr>
    </w:tbl>
    <w:p>
      <w:pPr>
        <w:spacing w:after="40"/>
      </w:pPr>
    </w:p>
    <w:p>
      <w:pPr>
        <w:pStyle w:val="Heading1"/>
        <w:keepNext/>
        <w:spacing w:before="240" w:after="120"/>
      </w:pPr>
      <w:r>
        <w:t>5.1 Founder Delivery Capability Matrix</w:t>
      </w:r>
    </w:p>
    <w:tbl>
      <w:tblPr>
        <w:tblW w:type="auto" w:w="0"/>
        <w:jc w:val="center"/>
        <w:tblLayout w:type="autofit"/>
        <w:tblLook w:firstColumn="1" w:firstRow="1" w:lastColumn="0" w:lastRow="0" w:noHBand="0" w:noVBand="1" w:val="04A0"/>
        <w:tblBorders>
          <w:top w:val="single" w:sz="4" w:space="0" w:color="C9D3DD"/>
          <w:left w:val="single" w:sz="4" w:space="0" w:color="C9D3DD"/>
          <w:bottom w:val="single" w:sz="4" w:space="0" w:color="C9D3DD"/>
          <w:right w:val="single" w:sz="4" w:space="0" w:color="C9D3DD"/>
          <w:insideH w:val="single" w:sz="4" w:space="0" w:color="C9D3DD"/>
          <w:insideV w:val="single" w:sz="4" w:space="0" w:color="C9D3DD"/>
        </w:tblBorders>
      </w:tblPr>
      <w:tblGrid>
        <w:gridCol w:w="4997"/>
        <w:gridCol w:w="4997"/>
      </w:tblGrid>
      <w:tr>
        <w:trPr>
          <w:cantSplit/>
        </w:trPr>
        <w:tc>
          <w:tcPr>
            <w:tcW w:type="dxa" w:w="2880"/>
            <w:shd w:fill="17365D"/>
            <w:vAlign w:val="center"/>
          </w:tcPr>
          <w:p>
            <w:pPr>
              <w:spacing w:after="40"/>
            </w:pPr>
            <w:r/>
            <w:r>
              <w:rPr>
                <w:rFonts w:ascii="Arial" w:hAnsi="Arial"/>
                <w:b/>
                <w:color w:val="FFFFFF"/>
                <w:sz w:val="18"/>
              </w:rPr>
              <w:t>Capability area</w:t>
            </w:r>
          </w:p>
        </w:tc>
        <w:tc>
          <w:tcPr>
            <w:tcW w:type="dxa" w:w="7200"/>
            <w:shd w:fill="17365D"/>
            <w:vAlign w:val="center"/>
          </w:tcPr>
          <w:p>
            <w:pPr>
              <w:spacing w:after="40"/>
            </w:pPr>
            <w:r/>
            <w:r>
              <w:rPr>
                <w:rFonts w:ascii="Arial" w:hAnsi="Arial"/>
                <w:b/>
                <w:color w:val="FFFFFF"/>
                <w:sz w:val="18"/>
              </w:rPr>
              <w:t>Specific activities</w:t>
            </w:r>
          </w:p>
        </w:tc>
      </w:tr>
      <w:tr>
        <w:trPr>
          <w:cantSplit/>
        </w:trPr>
        <w:tc>
          <w:tcPr>
            <w:tcW w:type="dxa" w:w="2880"/>
            <w:shd w:fill="FFFFFF"/>
            <w:vAlign w:val="center"/>
          </w:tcPr>
          <w:p>
            <w:pPr>
              <w:spacing w:after="40"/>
            </w:pPr>
            <w:r/>
            <w:r>
              <w:rPr>
                <w:rFonts w:ascii="Arial" w:hAnsi="Arial"/>
                <w:b w:val="0"/>
                <w:color w:val="2F2F2F"/>
                <w:sz w:val="18"/>
              </w:rPr>
              <w:t>Business / Functional</w:t>
            </w:r>
          </w:p>
        </w:tc>
        <w:tc>
          <w:tcPr>
            <w:tcW w:type="dxa" w:w="7200"/>
            <w:shd w:fill="FFFFFF"/>
            <w:vAlign w:val="center"/>
          </w:tcPr>
          <w:p>
            <w:pPr>
              <w:spacing w:after="40"/>
            </w:pPr>
            <w:r/>
            <w:r>
              <w:rPr>
                <w:rFonts w:ascii="Arial" w:hAnsi="Arial"/>
                <w:b w:val="0"/>
                <w:color w:val="2F2F2F"/>
                <w:sz w:val="18"/>
              </w:rPr>
              <w:t>Business solution demonstrations; scope definition; business requirements; functional design/configuration; functional validation; business-user enablement.</w:t>
            </w:r>
          </w:p>
        </w:tc>
      </w:tr>
      <w:tr>
        <w:trPr>
          <w:cantSplit/>
        </w:trPr>
        <w:tc>
          <w:tcPr>
            <w:tcW w:type="dxa" w:w="2880"/>
            <w:shd w:fill="F5F8FB"/>
            <w:vAlign w:val="center"/>
          </w:tcPr>
          <w:p>
            <w:pPr>
              <w:spacing w:after="40"/>
            </w:pPr>
            <w:r/>
            <w:r>
              <w:rPr>
                <w:rFonts w:ascii="Arial" w:hAnsi="Arial"/>
                <w:b w:val="0"/>
                <w:color w:val="2F2F2F"/>
                <w:sz w:val="18"/>
              </w:rPr>
              <w:t>Implementation</w:t>
            </w:r>
          </w:p>
        </w:tc>
        <w:tc>
          <w:tcPr>
            <w:tcW w:type="dxa" w:w="7200"/>
            <w:shd w:fill="F5F8FB"/>
            <w:vAlign w:val="center"/>
          </w:tcPr>
          <w:p>
            <w:pPr>
              <w:spacing w:after="40"/>
            </w:pPr>
            <w:r/>
            <w:r>
              <w:rPr>
                <w:rFonts w:ascii="Arial" w:hAnsi="Arial"/>
                <w:b w:val="0"/>
                <w:color w:val="2F2F2F"/>
                <w:sz w:val="18"/>
              </w:rPr>
              <w:t>Functional environment build; technical-delivery validation; migration activities; implementation coordination.</w:t>
            </w:r>
          </w:p>
        </w:tc>
      </w:tr>
      <w:tr>
        <w:trPr>
          <w:cantSplit/>
        </w:trPr>
        <w:tc>
          <w:tcPr>
            <w:tcW w:type="dxa" w:w="2880"/>
            <w:shd w:fill="FFFFFF"/>
            <w:vAlign w:val="center"/>
          </w:tcPr>
          <w:p>
            <w:pPr>
              <w:spacing w:after="40"/>
            </w:pPr>
            <w:r/>
            <w:r>
              <w:rPr>
                <w:rFonts w:ascii="Arial" w:hAnsi="Arial"/>
                <w:b w:val="0"/>
                <w:color w:val="2F2F2F"/>
                <w:sz w:val="18"/>
              </w:rPr>
              <w:t>Product / Vendor interface</w:t>
            </w:r>
          </w:p>
        </w:tc>
        <w:tc>
          <w:tcPr>
            <w:tcW w:type="dxa" w:w="7200"/>
            <w:shd w:fill="FFFFFF"/>
            <w:vAlign w:val="center"/>
          </w:tcPr>
          <w:p>
            <w:pPr>
              <w:spacing w:after="40"/>
            </w:pPr>
            <w:r/>
            <w:r>
              <w:rPr>
                <w:rFonts w:ascii="Arial" w:hAnsi="Arial"/>
                <w:b w:val="0"/>
                <w:color w:val="2F2F2F"/>
                <w:sz w:val="18"/>
              </w:rPr>
              <w:t>Finastra Jira cases; weekly direct interaction with Finastra product teams; potential defect investigation; solution exploration; classification of product vs configuration/implementation issues.</w:t>
            </w:r>
          </w:p>
        </w:tc>
      </w:tr>
      <w:tr>
        <w:trPr>
          <w:cantSplit/>
        </w:trPr>
        <w:tc>
          <w:tcPr>
            <w:tcW w:type="dxa" w:w="2880"/>
            <w:shd w:fill="F5F8FB"/>
            <w:vAlign w:val="center"/>
          </w:tcPr>
          <w:p>
            <w:pPr>
              <w:spacing w:after="40"/>
            </w:pPr>
            <w:r/>
            <w:r>
              <w:rPr>
                <w:rFonts w:ascii="Arial" w:hAnsi="Arial"/>
                <w:b w:val="0"/>
                <w:color w:val="2F2F2F"/>
                <w:sz w:val="18"/>
              </w:rPr>
              <w:t>Client issue management</w:t>
            </w:r>
          </w:p>
        </w:tc>
        <w:tc>
          <w:tcPr>
            <w:tcW w:type="dxa" w:w="7200"/>
            <w:shd w:fill="F5F8FB"/>
            <w:vAlign w:val="center"/>
          </w:tcPr>
          <w:p>
            <w:pPr>
              <w:spacing w:after="40"/>
            </w:pPr>
            <w:r/>
            <w:r>
              <w:rPr>
                <w:rFonts w:ascii="Arial" w:hAnsi="Arial"/>
                <w:b w:val="0"/>
                <w:color w:val="2F2F2F"/>
                <w:sz w:val="18"/>
              </w:rPr>
              <w:t>Client Jira overview; issue/defect classification guidance; guidance on appropriate escalation path.</w:t>
            </w:r>
          </w:p>
        </w:tc>
      </w:tr>
      <w:tr>
        <w:trPr>
          <w:cantSplit/>
        </w:trPr>
        <w:tc>
          <w:tcPr>
            <w:tcW w:type="dxa" w:w="2880"/>
            <w:shd w:fill="FFFFFF"/>
            <w:vAlign w:val="center"/>
          </w:tcPr>
          <w:p>
            <w:pPr>
              <w:spacing w:after="40"/>
            </w:pPr>
            <w:r/>
            <w:r>
              <w:rPr>
                <w:rFonts w:ascii="Arial" w:hAnsi="Arial"/>
                <w:b w:val="0"/>
                <w:color w:val="2F2F2F"/>
                <w:sz w:val="18"/>
              </w:rPr>
              <w:t>Training / enablement</w:t>
            </w:r>
          </w:p>
        </w:tc>
        <w:tc>
          <w:tcPr>
            <w:tcW w:type="dxa" w:w="7200"/>
            <w:shd w:fill="FFFFFF"/>
            <w:vAlign w:val="center"/>
          </w:tcPr>
          <w:p>
            <w:pPr>
              <w:spacing w:after="40"/>
            </w:pPr>
            <w:r/>
            <w:r>
              <w:rPr>
                <w:rFonts w:ascii="Arial" w:hAnsi="Arial"/>
                <w:b w:val="0"/>
                <w:color w:val="2F2F2F"/>
                <w:sz w:val="18"/>
              </w:rPr>
              <w:t>Application-support-team training; system tailoring; static-data training; business-team system enablement.</w:t>
            </w:r>
          </w:p>
        </w:tc>
      </w:tr>
    </w:tbl>
    <w:p>
      <w:pPr>
        <w:spacing w:after="40"/>
      </w:pPr>
    </w:p>
    <w:tbl>
      <w:tblPr>
        <w:tblW w:type="auto" w:w="0"/>
        <w:jc w:val="center"/>
        <w:tblLook w:firstColumn="1" w:firstRow="1" w:lastColumn="0" w:lastRow="0" w:noHBand="0" w:noVBand="1" w:val="04A0"/>
      </w:tblPr>
      <w:tblGrid>
        <w:gridCol w:w="9994"/>
      </w:tblGrid>
      <w:tr>
        <w:trPr>
          <w:cantSplit/>
        </w:trPr>
        <w:tc>
          <w:tcPr>
            <w:tcW w:type="dxa" w:w="9994"/>
            <w:shd w:fill="EAF2F8"/>
            <w:tcBorders>
              <w:left w:val="single" w:sz="18" w:color="2F75B5" w:space="0"/>
            </w:tcBorders>
          </w:tcPr>
          <w:p>
            <w:pPr>
              <w:spacing w:after="60"/>
            </w:pPr>
            <w:r/>
            <w:r>
              <w:rPr>
                <w:rFonts w:ascii="Arial" w:hAnsi="Arial"/>
                <w:b/>
                <w:color w:val="17365D"/>
                <w:sz w:val="21"/>
              </w:rPr>
              <w:t>Evidence to preserve</w:t>
            </w:r>
          </w:p>
          <w:p>
            <w:pPr>
              <w:spacing w:after="60"/>
            </w:pPr>
            <w:r>
              <w:rPr>
                <w:rFonts w:ascii="Arial" w:hAnsi="Arial"/>
                <w:color w:val="2F2F2F"/>
                <w:sz w:val="19"/>
              </w:rPr>
              <w:t>Where confidentiality permits, retain non-sensitive evidence of workshops, deliverables, training, issue resolution, migration involvement and project milestones. Do not transfer client-confidential documents into banqcraft records without authorization.</w:t>
            </w:r>
          </w:p>
        </w:tc>
      </w:tr>
    </w:tbl>
    <w:p>
      <w:pPr>
        <w:spacing w:after="40"/>
      </w:pPr>
    </w:p>
    <w:p>
      <w:pPr>
        <w:pStyle w:val="Heading1"/>
        <w:keepNext/>
        <w:spacing w:before="240" w:after="120"/>
      </w:pPr>
      <w:r>
        <w:t>6. Arabic-Speaking Talent Proposition</w:t>
      </w:r>
    </w:p>
    <w:p>
      <w:pPr>
        <w:spacing w:after="120" w:line="259" w:lineRule="auto"/>
      </w:pPr>
      <w:r>
        <w:rPr>
          <w:rFonts w:ascii="Arial" w:hAnsi="Arial"/>
          <w:color w:val="2F2F2F"/>
          <w:sz w:val="21"/>
        </w:rPr>
        <w:t>The initial hiring strategy is to prioritize qualified banking-technology professionals who are fluent in Arabic and capable of operating in English-language international delivery environments. The strategy is based on an observed requirement within the current engagement and the founder’s own experience of being selected for the project.</w:t>
      </w:r>
    </w:p>
    <w:tbl>
      <w:tblPr>
        <w:tblW w:type="auto" w:w="0"/>
        <w:jc w:val="center"/>
        <w:tblLayout w:type="autofit"/>
        <w:tblLook w:firstColumn="1" w:firstRow="1" w:lastColumn="0" w:lastRow="0" w:noHBand="0" w:noVBand="1" w:val="04A0"/>
        <w:tblBorders>
          <w:top w:val="single" w:sz="4" w:space="0" w:color="C9D3DD"/>
          <w:left w:val="single" w:sz="4" w:space="0" w:color="C9D3DD"/>
          <w:bottom w:val="single" w:sz="4" w:space="0" w:color="C9D3DD"/>
          <w:right w:val="single" w:sz="4" w:space="0" w:color="C9D3DD"/>
          <w:insideH w:val="single" w:sz="4" w:space="0" w:color="C9D3DD"/>
          <w:insideV w:val="single" w:sz="4" w:space="0" w:color="C9D3DD"/>
        </w:tblBorders>
      </w:tblPr>
      <w:tblGrid>
        <w:gridCol w:w="4997"/>
        <w:gridCol w:w="4997"/>
      </w:tblGrid>
      <w:tr>
        <w:trPr>
          <w:cantSplit/>
        </w:trPr>
        <w:tc>
          <w:tcPr>
            <w:tcW w:type="dxa" w:w="2592"/>
            <w:shd w:fill="17365D"/>
            <w:vAlign w:val="center"/>
          </w:tcPr>
          <w:p>
            <w:pPr>
              <w:spacing w:after="40"/>
            </w:pPr>
            <w:r/>
            <w:r>
              <w:rPr>
                <w:rFonts w:ascii="Arial" w:hAnsi="Arial"/>
                <w:b/>
                <w:color w:val="FFFFFF"/>
                <w:sz w:val="18"/>
              </w:rPr>
              <w:t>Dimension</w:t>
            </w:r>
          </w:p>
        </w:tc>
        <w:tc>
          <w:tcPr>
            <w:tcW w:type="dxa" w:w="7488"/>
            <w:shd w:fill="17365D"/>
            <w:vAlign w:val="center"/>
          </w:tcPr>
          <w:p>
            <w:pPr>
              <w:spacing w:after="40"/>
            </w:pPr>
            <w:r/>
            <w:r>
              <w:rPr>
                <w:rFonts w:ascii="Arial" w:hAnsi="Arial"/>
                <w:b/>
                <w:color w:val="FFFFFF"/>
                <w:sz w:val="18"/>
              </w:rPr>
              <w:t>Working strategy</w:t>
            </w:r>
          </w:p>
        </w:tc>
      </w:tr>
      <w:tr>
        <w:trPr>
          <w:cantSplit/>
        </w:trPr>
        <w:tc>
          <w:tcPr>
            <w:tcW w:type="dxa" w:w="2592"/>
            <w:shd w:fill="FFFFFF"/>
            <w:vAlign w:val="center"/>
          </w:tcPr>
          <w:p>
            <w:pPr>
              <w:spacing w:after="40"/>
            </w:pPr>
            <w:r/>
            <w:r>
              <w:rPr>
                <w:rFonts w:ascii="Arial" w:hAnsi="Arial"/>
                <w:b w:val="0"/>
                <w:color w:val="2F2F2F"/>
                <w:sz w:val="18"/>
              </w:rPr>
              <w:t>Primary talent pool</w:t>
            </w:r>
          </w:p>
        </w:tc>
        <w:tc>
          <w:tcPr>
            <w:tcW w:type="dxa" w:w="7488"/>
            <w:shd w:fill="FFFFFF"/>
            <w:vAlign w:val="center"/>
          </w:tcPr>
          <w:p>
            <w:pPr>
              <w:spacing w:after="40"/>
            </w:pPr>
            <w:r/>
            <w:r>
              <w:rPr>
                <w:rFonts w:ascii="Arial" w:hAnsi="Arial"/>
                <w:b w:val="0"/>
                <w:color w:val="2F2F2F"/>
                <w:sz w:val="18"/>
              </w:rPr>
              <w:t>Egyptian banking and technology professionals with strong Arabic and English communication.</w:t>
            </w:r>
          </w:p>
        </w:tc>
      </w:tr>
      <w:tr>
        <w:trPr>
          <w:cantSplit/>
        </w:trPr>
        <w:tc>
          <w:tcPr>
            <w:tcW w:type="dxa" w:w="2592"/>
            <w:shd w:fill="F5F8FB"/>
            <w:vAlign w:val="center"/>
          </w:tcPr>
          <w:p>
            <w:pPr>
              <w:spacing w:after="40"/>
            </w:pPr>
            <w:r/>
            <w:r>
              <w:rPr>
                <w:rFonts w:ascii="Arial" w:hAnsi="Arial"/>
                <w:b w:val="0"/>
                <w:color w:val="2F2F2F"/>
                <w:sz w:val="18"/>
              </w:rPr>
              <w:t>Priority roles</w:t>
            </w:r>
          </w:p>
        </w:tc>
        <w:tc>
          <w:tcPr>
            <w:tcW w:type="dxa" w:w="7488"/>
            <w:shd w:fill="F5F8FB"/>
            <w:vAlign w:val="center"/>
          </w:tcPr>
          <w:p>
            <w:pPr>
              <w:spacing w:after="40"/>
            </w:pPr>
            <w:r/>
            <w:r>
              <w:rPr>
                <w:rFonts w:ascii="Arial" w:hAnsi="Arial"/>
                <w:b w:val="0"/>
                <w:color w:val="2F2F2F"/>
                <w:sz w:val="18"/>
              </w:rPr>
              <w:t>Business consultants; senior business consultants; technical consultants; senior technical consultants; integration specialists; project managers.</w:t>
            </w:r>
          </w:p>
        </w:tc>
      </w:tr>
      <w:tr>
        <w:trPr>
          <w:cantSplit/>
        </w:trPr>
        <w:tc>
          <w:tcPr>
            <w:tcW w:type="dxa" w:w="2592"/>
            <w:shd w:fill="FFFFFF"/>
            <w:vAlign w:val="center"/>
          </w:tcPr>
          <w:p>
            <w:pPr>
              <w:spacing w:after="40"/>
            </w:pPr>
            <w:r/>
            <w:r>
              <w:rPr>
                <w:rFonts w:ascii="Arial" w:hAnsi="Arial"/>
                <w:b w:val="0"/>
                <w:color w:val="2F2F2F"/>
                <w:sz w:val="18"/>
              </w:rPr>
              <w:t>Quality threshold</w:t>
            </w:r>
          </w:p>
        </w:tc>
        <w:tc>
          <w:tcPr>
            <w:tcW w:type="dxa" w:w="7488"/>
            <w:shd w:fill="FFFFFF"/>
            <w:vAlign w:val="center"/>
          </w:tcPr>
          <w:p>
            <w:pPr>
              <w:spacing w:after="40"/>
            </w:pPr>
            <w:r/>
            <w:r>
              <w:rPr>
                <w:rFonts w:ascii="Arial" w:hAnsi="Arial"/>
                <w:b w:val="0"/>
                <w:color w:val="2F2F2F"/>
                <w:sz w:val="18"/>
              </w:rPr>
              <w:t>Relevant banking/process experience plus role-specific technology/delivery capability.</w:t>
            </w:r>
          </w:p>
        </w:tc>
      </w:tr>
      <w:tr>
        <w:trPr>
          <w:cantSplit/>
        </w:trPr>
        <w:tc>
          <w:tcPr>
            <w:tcW w:type="dxa" w:w="2592"/>
            <w:shd w:fill="F5F8FB"/>
            <w:vAlign w:val="center"/>
          </w:tcPr>
          <w:p>
            <w:pPr>
              <w:spacing w:after="40"/>
            </w:pPr>
            <w:r/>
            <w:r>
              <w:rPr>
                <w:rFonts w:ascii="Arial" w:hAnsi="Arial"/>
                <w:b w:val="0"/>
                <w:color w:val="2F2F2F"/>
                <w:sz w:val="18"/>
              </w:rPr>
              <w:t>Finastra development</w:t>
            </w:r>
          </w:p>
        </w:tc>
        <w:tc>
          <w:tcPr>
            <w:tcW w:type="dxa" w:w="7488"/>
            <w:shd w:fill="F5F8FB"/>
            <w:vAlign w:val="center"/>
          </w:tcPr>
          <w:p>
            <w:pPr>
              <w:spacing w:after="40"/>
            </w:pPr>
            <w:r/>
            <w:r>
              <w:rPr>
                <w:rFonts w:ascii="Arial" w:hAnsi="Arial"/>
                <w:b w:val="0"/>
                <w:color w:val="2F2F2F"/>
                <w:sz w:val="18"/>
              </w:rPr>
              <w:t>Certification and product enablement built after partnership approval as required.</w:t>
            </w:r>
          </w:p>
        </w:tc>
      </w:tr>
      <w:tr>
        <w:trPr>
          <w:cantSplit/>
        </w:trPr>
        <w:tc>
          <w:tcPr>
            <w:tcW w:type="dxa" w:w="2592"/>
            <w:shd w:fill="FFFFFF"/>
            <w:vAlign w:val="center"/>
          </w:tcPr>
          <w:p>
            <w:pPr>
              <w:spacing w:after="40"/>
            </w:pPr>
            <w:r/>
            <w:r>
              <w:rPr>
                <w:rFonts w:ascii="Arial" w:hAnsi="Arial"/>
                <w:b w:val="0"/>
                <w:color w:val="2F2F2F"/>
                <w:sz w:val="18"/>
              </w:rPr>
              <w:t>Broader hiring</w:t>
            </w:r>
          </w:p>
        </w:tc>
        <w:tc>
          <w:tcPr>
            <w:tcW w:type="dxa" w:w="7488"/>
            <w:shd w:fill="FFFFFF"/>
            <w:vAlign w:val="center"/>
          </w:tcPr>
          <w:p>
            <w:pPr>
              <w:spacing w:after="40"/>
            </w:pPr>
            <w:r/>
            <w:r>
              <w:rPr>
                <w:rFonts w:ascii="Arial" w:hAnsi="Arial"/>
                <w:b w:val="0"/>
                <w:color w:val="2F2F2F"/>
                <w:sz w:val="18"/>
              </w:rPr>
              <w:t>Non-Arabic-speaking specialists may be hired when their expertise is commercially or technically valuable.</w:t>
            </w:r>
          </w:p>
        </w:tc>
      </w:tr>
    </w:tbl>
    <w:p>
      <w:pPr>
        <w:spacing w:after="40"/>
      </w:pPr>
    </w:p>
    <w:p>
      <w:pPr>
        <w:pStyle w:val="Heading1"/>
        <w:keepNext/>
        <w:spacing w:before="240" w:after="120"/>
      </w:pPr>
      <w:r>
        <w:t>7. Initial Resource Pool</w:t>
      </w:r>
    </w:p>
    <w:tbl>
      <w:tblPr>
        <w:tblW w:type="auto" w:w="0"/>
        <w:jc w:val="center"/>
        <w:tblLayout w:type="autofit"/>
        <w:tblLook w:firstColumn="1" w:firstRow="1" w:lastColumn="0" w:lastRow="0" w:noHBand="0" w:noVBand="1" w:val="04A0"/>
        <w:tblBorders>
          <w:top w:val="single" w:sz="4" w:space="0" w:color="C9D3DD"/>
          <w:left w:val="single" w:sz="4" w:space="0" w:color="C9D3DD"/>
          <w:bottom w:val="single" w:sz="4" w:space="0" w:color="C9D3DD"/>
          <w:right w:val="single" w:sz="4" w:space="0" w:color="C9D3DD"/>
          <w:insideH w:val="single" w:sz="4" w:space="0" w:color="C9D3DD"/>
          <w:insideV w:val="single" w:sz="4" w:space="0" w:color="C9D3DD"/>
        </w:tblBorders>
      </w:tblPr>
      <w:tblGrid>
        <w:gridCol w:w="1666"/>
        <w:gridCol w:w="1666"/>
        <w:gridCol w:w="1666"/>
        <w:gridCol w:w="1666"/>
        <w:gridCol w:w="1666"/>
        <w:gridCol w:w="1666"/>
      </w:tblGrid>
      <w:tr>
        <w:trPr>
          <w:cantSplit/>
        </w:trPr>
        <w:tc>
          <w:tcPr>
            <w:tcW w:type="dxa" w:w="1152"/>
            <w:shd w:fill="17365D"/>
            <w:vAlign w:val="center"/>
          </w:tcPr>
          <w:p>
            <w:pPr>
              <w:spacing w:after="40"/>
            </w:pPr>
            <w:r/>
            <w:r>
              <w:rPr>
                <w:rFonts w:ascii="Arial" w:hAnsi="Arial"/>
                <w:b/>
                <w:color w:val="FFFFFF"/>
                <w:sz w:val="18"/>
              </w:rPr>
              <w:t>Resource</w:t>
            </w:r>
          </w:p>
        </w:tc>
        <w:tc>
          <w:tcPr>
            <w:tcW w:type="dxa" w:w="1008"/>
            <w:shd w:fill="17365D"/>
            <w:vAlign w:val="center"/>
          </w:tcPr>
          <w:p>
            <w:pPr>
              <w:spacing w:after="40"/>
            </w:pPr>
            <w:r/>
            <w:r>
              <w:rPr>
                <w:rFonts w:ascii="Arial" w:hAnsi="Arial"/>
                <w:b/>
                <w:color w:val="FFFFFF"/>
                <w:sz w:val="18"/>
              </w:rPr>
              <w:t>Years</w:t>
            </w:r>
          </w:p>
        </w:tc>
        <w:tc>
          <w:tcPr>
            <w:tcW w:type="dxa" w:w="1728"/>
            <w:shd w:fill="17365D"/>
            <w:vAlign w:val="center"/>
          </w:tcPr>
          <w:p>
            <w:pPr>
              <w:spacing w:after="40"/>
            </w:pPr>
            <w:r/>
            <w:r>
              <w:rPr>
                <w:rFonts w:ascii="Arial" w:hAnsi="Arial"/>
                <w:b/>
                <w:color w:val="FFFFFF"/>
                <w:sz w:val="18"/>
              </w:rPr>
              <w:t>Banking experience</w:t>
            </w:r>
          </w:p>
        </w:tc>
        <w:tc>
          <w:tcPr>
            <w:tcW w:type="dxa" w:w="2160"/>
            <w:shd w:fill="17365D"/>
            <w:vAlign w:val="center"/>
          </w:tcPr>
          <w:p>
            <w:pPr>
              <w:spacing w:after="40"/>
            </w:pPr>
            <w:r/>
            <w:r>
              <w:rPr>
                <w:rFonts w:ascii="Arial" w:hAnsi="Arial"/>
                <w:b/>
                <w:color w:val="FFFFFF"/>
                <w:sz w:val="18"/>
              </w:rPr>
              <w:t>Primary specialty</w:t>
            </w:r>
          </w:p>
        </w:tc>
        <w:tc>
          <w:tcPr>
            <w:tcW w:type="dxa" w:w="2880"/>
            <w:shd w:fill="17365D"/>
            <w:vAlign w:val="center"/>
          </w:tcPr>
          <w:p>
            <w:pPr>
              <w:spacing w:after="40"/>
            </w:pPr>
            <w:r/>
            <w:r>
              <w:rPr>
                <w:rFonts w:ascii="Arial" w:hAnsi="Arial"/>
                <w:b/>
                <w:color w:val="FFFFFF"/>
                <w:sz w:val="18"/>
              </w:rPr>
              <w:t>Finastra status</w:t>
            </w:r>
          </w:p>
        </w:tc>
        <w:tc>
          <w:tcPr>
            <w:tcW w:type="dxa" w:w="1296"/>
            <w:shd w:fill="17365D"/>
            <w:vAlign w:val="center"/>
          </w:tcPr>
          <w:p>
            <w:pPr>
              <w:spacing w:after="40"/>
            </w:pPr>
            <w:r/>
            <w:r>
              <w:rPr>
                <w:rFonts w:ascii="Arial" w:hAnsi="Arial"/>
                <w:b/>
                <w:color w:val="FFFFFF"/>
                <w:sz w:val="18"/>
              </w:rPr>
              <w:t>Availability</w:t>
            </w:r>
          </w:p>
        </w:tc>
      </w:tr>
      <w:tr>
        <w:trPr>
          <w:cantSplit/>
        </w:trPr>
        <w:tc>
          <w:tcPr>
            <w:tcW w:type="dxa" w:w="1152"/>
            <w:shd w:fill="FFFFFF"/>
            <w:vAlign w:val="center"/>
          </w:tcPr>
          <w:p>
            <w:pPr>
              <w:spacing w:after="40"/>
            </w:pPr>
            <w:r/>
            <w:r>
              <w:rPr>
                <w:rFonts w:ascii="Arial" w:hAnsi="Arial"/>
                <w:b w:val="0"/>
                <w:color w:val="2F2F2F"/>
                <w:sz w:val="18"/>
              </w:rPr>
              <w:t>A</w:t>
            </w:r>
          </w:p>
        </w:tc>
        <w:tc>
          <w:tcPr>
            <w:tcW w:type="dxa" w:w="1008"/>
            <w:shd w:fill="FFFFFF"/>
            <w:vAlign w:val="center"/>
          </w:tcPr>
          <w:p>
            <w:pPr>
              <w:spacing w:after="40"/>
            </w:pPr>
            <w:r/>
            <w:r>
              <w:rPr>
                <w:rFonts w:ascii="Arial" w:hAnsi="Arial"/>
                <w:b w:val="0"/>
                <w:color w:val="2F2F2F"/>
                <w:sz w:val="18"/>
              </w:rPr>
              <w:t>7</w:t>
            </w:r>
          </w:p>
        </w:tc>
        <w:tc>
          <w:tcPr>
            <w:tcW w:type="dxa" w:w="1728"/>
            <w:shd w:fill="FFFFFF"/>
            <w:vAlign w:val="center"/>
          </w:tcPr>
          <w:p>
            <w:pPr>
              <w:spacing w:after="40"/>
            </w:pPr>
            <w:r/>
            <w:r>
              <w:rPr>
                <w:rFonts w:ascii="Arial" w:hAnsi="Arial"/>
                <w:b w:val="0"/>
                <w:color w:val="2F2F2F"/>
                <w:sz w:val="18"/>
              </w:rPr>
              <w:t>Vendor side only</w:t>
            </w:r>
          </w:p>
        </w:tc>
        <w:tc>
          <w:tcPr>
            <w:tcW w:type="dxa" w:w="2160"/>
            <w:shd w:fill="FFFFFF"/>
            <w:vAlign w:val="center"/>
          </w:tcPr>
          <w:p>
            <w:pPr>
              <w:spacing w:after="40"/>
            </w:pPr>
            <w:r/>
            <w:r>
              <w:rPr>
                <w:rFonts w:ascii="Arial" w:hAnsi="Arial"/>
                <w:b w:val="0"/>
                <w:color w:val="2F2F2F"/>
                <w:sz w:val="18"/>
              </w:rPr>
              <w:t>FTI technical</w:t>
            </w:r>
          </w:p>
        </w:tc>
        <w:tc>
          <w:tcPr>
            <w:tcW w:type="dxa" w:w="2880"/>
            <w:shd w:fill="FFFFFF"/>
            <w:vAlign w:val="center"/>
          </w:tcPr>
          <w:p>
            <w:pPr>
              <w:spacing w:after="40"/>
            </w:pPr>
            <w:r/>
            <w:r>
              <w:rPr>
                <w:rFonts w:ascii="Arial" w:hAnsi="Arial"/>
                <w:b w:val="0"/>
                <w:color w:val="2F2F2F"/>
                <w:sz w:val="18"/>
              </w:rPr>
              <w:t>FCA certified; other certifications to confirm</w:t>
            </w:r>
          </w:p>
        </w:tc>
        <w:tc>
          <w:tcPr>
            <w:tcW w:type="dxa" w:w="1296"/>
            <w:shd w:fill="FFFFFF"/>
            <w:vAlign w:val="center"/>
          </w:tcPr>
          <w:p>
            <w:pPr>
              <w:spacing w:after="40"/>
            </w:pPr>
            <w:r/>
            <w:r>
              <w:rPr>
                <w:rFonts w:ascii="Arial" w:hAnsi="Arial"/>
                <w:b w:val="0"/>
                <w:color w:val="2F2F2F"/>
                <w:sz w:val="18"/>
              </w:rPr>
              <w:t>2–3 months</w:t>
            </w:r>
          </w:p>
        </w:tc>
      </w:tr>
      <w:tr>
        <w:trPr>
          <w:cantSplit/>
        </w:trPr>
        <w:tc>
          <w:tcPr>
            <w:tcW w:type="dxa" w:w="1152"/>
            <w:shd w:fill="F5F8FB"/>
            <w:vAlign w:val="center"/>
          </w:tcPr>
          <w:p>
            <w:pPr>
              <w:spacing w:after="40"/>
            </w:pPr>
            <w:r/>
            <w:r>
              <w:rPr>
                <w:rFonts w:ascii="Arial" w:hAnsi="Arial"/>
                <w:b w:val="0"/>
                <w:color w:val="2F2F2F"/>
                <w:sz w:val="18"/>
              </w:rPr>
              <w:t>B</w:t>
            </w:r>
          </w:p>
        </w:tc>
        <w:tc>
          <w:tcPr>
            <w:tcW w:type="dxa" w:w="1008"/>
            <w:shd w:fill="F5F8FB"/>
            <w:vAlign w:val="center"/>
          </w:tcPr>
          <w:p>
            <w:pPr>
              <w:spacing w:after="40"/>
            </w:pPr>
            <w:r/>
            <w:r>
              <w:rPr>
                <w:rFonts w:ascii="Arial" w:hAnsi="Arial"/>
                <w:b w:val="0"/>
                <w:color w:val="2F2F2F"/>
                <w:sz w:val="18"/>
              </w:rPr>
              <w:t>20</w:t>
            </w:r>
          </w:p>
        </w:tc>
        <w:tc>
          <w:tcPr>
            <w:tcW w:type="dxa" w:w="1728"/>
            <w:shd w:fill="F5F8FB"/>
            <w:vAlign w:val="center"/>
          </w:tcPr>
          <w:p>
            <w:pPr>
              <w:spacing w:after="40"/>
            </w:pPr>
            <w:r/>
            <w:r>
              <w:rPr>
                <w:rFonts w:ascii="Arial" w:hAnsi="Arial"/>
                <w:b w:val="0"/>
                <w:color w:val="2F2F2F"/>
                <w:sz w:val="18"/>
              </w:rPr>
              <w:t>20 years</w:t>
            </w:r>
          </w:p>
        </w:tc>
        <w:tc>
          <w:tcPr>
            <w:tcW w:type="dxa" w:w="2160"/>
            <w:shd w:fill="F5F8FB"/>
            <w:vAlign w:val="center"/>
          </w:tcPr>
          <w:p>
            <w:pPr>
              <w:spacing w:after="40"/>
            </w:pPr>
            <w:r/>
            <w:r>
              <w:rPr>
                <w:rFonts w:ascii="Arial" w:hAnsi="Arial"/>
                <w:b w:val="0"/>
                <w:color w:val="2F2F2F"/>
                <w:sz w:val="18"/>
              </w:rPr>
              <w:t>FTI techno-functional</w:t>
            </w:r>
          </w:p>
        </w:tc>
        <w:tc>
          <w:tcPr>
            <w:tcW w:type="dxa" w:w="2880"/>
            <w:shd w:fill="F5F8FB"/>
            <w:vAlign w:val="center"/>
          </w:tcPr>
          <w:p>
            <w:pPr>
              <w:spacing w:after="40"/>
            </w:pPr>
            <w:r/>
            <w:r>
              <w:rPr>
                <w:rFonts w:ascii="Arial" w:hAnsi="Arial"/>
                <w:b w:val="0"/>
                <w:color w:val="2F2F2F"/>
                <w:sz w:val="18"/>
              </w:rPr>
              <w:t>Certification requirements to confirm</w:t>
            </w:r>
          </w:p>
        </w:tc>
        <w:tc>
          <w:tcPr>
            <w:tcW w:type="dxa" w:w="1296"/>
            <w:shd w:fill="F5F8FB"/>
            <w:vAlign w:val="center"/>
          </w:tcPr>
          <w:p>
            <w:pPr>
              <w:spacing w:after="40"/>
            </w:pPr>
            <w:r/>
            <w:r>
              <w:rPr>
                <w:rFonts w:ascii="Arial" w:hAnsi="Arial"/>
                <w:b w:val="0"/>
                <w:color w:val="2F2F2F"/>
                <w:sz w:val="18"/>
              </w:rPr>
              <w:t>2–3 months</w:t>
            </w:r>
          </w:p>
        </w:tc>
      </w:tr>
      <w:tr>
        <w:trPr>
          <w:cantSplit/>
        </w:trPr>
        <w:tc>
          <w:tcPr>
            <w:tcW w:type="dxa" w:w="1152"/>
            <w:shd w:fill="FFFFFF"/>
            <w:vAlign w:val="center"/>
          </w:tcPr>
          <w:p>
            <w:pPr>
              <w:spacing w:after="40"/>
            </w:pPr>
            <w:r/>
            <w:r>
              <w:rPr>
                <w:rFonts w:ascii="Arial" w:hAnsi="Arial"/>
                <w:b w:val="0"/>
                <w:color w:val="2F2F2F"/>
                <w:sz w:val="18"/>
              </w:rPr>
              <w:t>C</w:t>
            </w:r>
          </w:p>
        </w:tc>
        <w:tc>
          <w:tcPr>
            <w:tcW w:type="dxa" w:w="1008"/>
            <w:shd w:fill="FFFFFF"/>
            <w:vAlign w:val="center"/>
          </w:tcPr>
          <w:p>
            <w:pPr>
              <w:spacing w:after="40"/>
            </w:pPr>
            <w:r/>
            <w:r>
              <w:rPr>
                <w:rFonts w:ascii="Arial" w:hAnsi="Arial"/>
                <w:b w:val="0"/>
                <w:color w:val="2F2F2F"/>
                <w:sz w:val="18"/>
              </w:rPr>
              <w:t>15</w:t>
            </w:r>
          </w:p>
        </w:tc>
        <w:tc>
          <w:tcPr>
            <w:tcW w:type="dxa" w:w="1728"/>
            <w:shd w:fill="FFFFFF"/>
            <w:vAlign w:val="center"/>
          </w:tcPr>
          <w:p>
            <w:pPr>
              <w:spacing w:after="40"/>
            </w:pPr>
            <w:r/>
            <w:r>
              <w:rPr>
                <w:rFonts w:ascii="Arial" w:hAnsi="Arial"/>
                <w:b w:val="0"/>
                <w:color w:val="2F2F2F"/>
                <w:sz w:val="18"/>
              </w:rPr>
              <w:t>15 years</w:t>
            </w:r>
          </w:p>
        </w:tc>
        <w:tc>
          <w:tcPr>
            <w:tcW w:type="dxa" w:w="2160"/>
            <w:shd w:fill="FFFFFF"/>
            <w:vAlign w:val="center"/>
          </w:tcPr>
          <w:p>
            <w:pPr>
              <w:spacing w:after="40"/>
            </w:pPr>
            <w:r/>
            <w:r>
              <w:rPr>
                <w:rFonts w:ascii="Arial" w:hAnsi="Arial"/>
                <w:b w:val="0"/>
                <w:color w:val="2F2F2F"/>
                <w:sz w:val="18"/>
              </w:rPr>
              <w:t>Integrations</w:t>
            </w:r>
          </w:p>
        </w:tc>
        <w:tc>
          <w:tcPr>
            <w:tcW w:type="dxa" w:w="2880"/>
            <w:shd w:fill="FFFFFF"/>
            <w:vAlign w:val="center"/>
          </w:tcPr>
          <w:p>
            <w:pPr>
              <w:spacing w:after="40"/>
            </w:pPr>
            <w:r/>
            <w:r>
              <w:rPr>
                <w:rFonts w:ascii="Arial" w:hAnsi="Arial"/>
                <w:b w:val="0"/>
                <w:color w:val="2F2F2F"/>
                <w:sz w:val="18"/>
              </w:rPr>
              <w:t>Enablement/certification to develop as required</w:t>
            </w:r>
          </w:p>
        </w:tc>
        <w:tc>
          <w:tcPr>
            <w:tcW w:type="dxa" w:w="1296"/>
            <w:shd w:fill="FFFFFF"/>
            <w:vAlign w:val="center"/>
          </w:tcPr>
          <w:p>
            <w:pPr>
              <w:spacing w:after="40"/>
            </w:pPr>
            <w:r/>
            <w:r>
              <w:rPr>
                <w:rFonts w:ascii="Arial" w:hAnsi="Arial"/>
                <w:b w:val="0"/>
                <w:color w:val="2F2F2F"/>
                <w:sz w:val="18"/>
              </w:rPr>
              <w:t>2–3 months</w:t>
            </w:r>
          </w:p>
        </w:tc>
      </w:tr>
    </w:tbl>
    <w:p>
      <w:pPr>
        <w:spacing w:after="40"/>
      </w:pPr>
    </w:p>
    <w:p>
      <w:pPr>
        <w:spacing w:after="120" w:line="259" w:lineRule="auto"/>
      </w:pPr>
      <w:r>
        <w:rPr>
          <w:rFonts w:ascii="Arial" w:hAnsi="Arial"/>
          <w:color w:val="2F2F2F"/>
          <w:sz w:val="21"/>
        </w:rPr>
        <w:t>All three are Arabic- and English-speaking. The internal file should later include role descriptions, CVs, exact certifications, notice periods and written availability confirmations before any representation is made to Finastra that a named individual is committed.</w:t>
      </w:r>
    </w:p>
    <w:p>
      <w:pPr>
        <w:pStyle w:val="Heading1"/>
        <w:keepNext/>
        <w:spacing w:before="240" w:after="120"/>
      </w:pPr>
      <w:r>
        <w:t>8. Talent Engine and Workforce Operating Model</w:t>
      </w:r>
    </w:p>
    <w:p>
      <w:pPr>
        <w:spacing w:after="120" w:line="259" w:lineRule="auto"/>
      </w:pPr>
      <w:r>
        <w:rPr>
          <w:rFonts w:ascii="Arial" w:hAnsi="Arial"/>
          <w:color w:val="2F2F2F"/>
          <w:sz w:val="21"/>
        </w:rPr>
        <w:t>The intended operating model is not to pre-hire a large bench. banqcraft will establish its core operating infrastructure, maintain a small identified talent pipeline, and activate recruitment after partnership approval and/or confirmed project demand.</w:t>
      </w:r>
    </w:p>
    <w:p>
      <w:pPr>
        <w:pStyle w:val="ListBullet"/>
        <w:spacing w:after="40"/>
        <w:ind w:left="360"/>
      </w:pPr>
      <w:r>
        <w:rPr>
          <w:rFonts w:ascii="Arial" w:hAnsi="Arial"/>
          <w:color w:val="2F2F2F"/>
          <w:sz w:val="20"/>
        </w:rPr>
        <w:t>Structured job descriptions and competency profiles by role and seniority.</w:t>
      </w:r>
    </w:p>
    <w:p>
      <w:pPr>
        <w:pStyle w:val="ListBullet"/>
        <w:spacing w:after="40"/>
        <w:ind w:left="360"/>
      </w:pPr>
      <w:r>
        <w:rPr>
          <w:rFonts w:ascii="Arial" w:hAnsi="Arial"/>
          <w:color w:val="2F2F2F"/>
          <w:sz w:val="20"/>
        </w:rPr>
        <w:t>Screening for both banking-domain competence and technical capability.</w:t>
      </w:r>
    </w:p>
    <w:p>
      <w:pPr>
        <w:pStyle w:val="ListBullet"/>
        <w:spacing w:after="40"/>
        <w:ind w:left="360"/>
      </w:pPr>
      <w:r>
        <w:rPr>
          <w:rFonts w:ascii="Arial" w:hAnsi="Arial"/>
          <w:color w:val="2F2F2F"/>
          <w:sz w:val="20"/>
        </w:rPr>
        <w:t>Technical/functional assessment before placement.</w:t>
      </w:r>
    </w:p>
    <w:p>
      <w:pPr>
        <w:pStyle w:val="ListBullet"/>
        <w:spacing w:after="40"/>
        <w:ind w:left="360"/>
      </w:pPr>
      <w:r>
        <w:rPr>
          <w:rFonts w:ascii="Arial" w:hAnsi="Arial"/>
          <w:color w:val="2F2F2F"/>
          <w:sz w:val="20"/>
        </w:rPr>
        <w:t>Structured onboarding and documentation of consultant capability.</w:t>
      </w:r>
    </w:p>
    <w:p>
      <w:pPr>
        <w:pStyle w:val="ListBullet"/>
        <w:spacing w:after="40"/>
        <w:ind w:left="360"/>
      </w:pPr>
      <w:r>
        <w:rPr>
          <w:rFonts w:ascii="Arial" w:hAnsi="Arial"/>
          <w:color w:val="2F2F2F"/>
          <w:sz w:val="20"/>
        </w:rPr>
        <w:t>Employment documentation and confidentiality controls reviewed under Egyptian law.</w:t>
      </w:r>
    </w:p>
    <w:p>
      <w:pPr>
        <w:pStyle w:val="ListBullet"/>
        <w:spacing w:after="40"/>
        <w:ind w:left="360"/>
      </w:pPr>
      <w:r>
        <w:rPr>
          <w:rFonts w:ascii="Arial" w:hAnsi="Arial"/>
          <w:color w:val="2F2F2F"/>
          <w:sz w:val="20"/>
        </w:rPr>
        <w:t>Renewable one-year employment contracts as the initial intended employment model, subject to applicable law and legal review.</w:t>
      </w:r>
    </w:p>
    <w:p>
      <w:pPr>
        <w:pStyle w:val="ListBullet"/>
        <w:spacing w:after="40"/>
        <w:ind w:left="360"/>
      </w:pPr>
      <w:r>
        <w:rPr>
          <w:rFonts w:ascii="Arial" w:hAnsi="Arial"/>
          <w:color w:val="2F2F2F"/>
          <w:sz w:val="20"/>
        </w:rPr>
        <w:t>Ongoing training and Finastra certification plan by role/product.</w:t>
      </w:r>
    </w:p>
    <w:p>
      <w:pPr>
        <w:pStyle w:val="ListBullet"/>
        <w:spacing w:after="40"/>
        <w:ind w:left="360"/>
      </w:pPr>
      <w:r>
        <w:rPr>
          <w:rFonts w:ascii="Arial" w:hAnsi="Arial"/>
          <w:color w:val="2F2F2F"/>
          <w:sz w:val="20"/>
        </w:rPr>
        <w:t>Retention approach supported by transparent compensation, development and career progression.</w:t>
      </w:r>
    </w:p>
    <w:p>
      <w:pPr>
        <w:pStyle w:val="Heading1"/>
        <w:keepNext/>
        <w:spacing w:before="240" w:after="120"/>
      </w:pPr>
      <w:r>
        <w:t>9. Finastra Route Analysis — Internal Working View</w:t>
      </w:r>
    </w:p>
    <w:p>
      <w:pPr>
        <w:spacing w:after="120" w:line="259" w:lineRule="auto"/>
      </w:pPr>
      <w:r>
        <w:rPr>
          <w:rFonts w:ascii="Arial" w:hAnsi="Arial"/>
          <w:color w:val="2F2F2F"/>
          <w:sz w:val="21"/>
        </w:rPr>
        <w:t>Finastra currently describes several routes to market, including Reseller, Managed Services Partner and Affiliate. Its current Affiliate page identifies Implementation, Fulfillment and Referral plans, and says the route is selected according to the partner’s needs and goals. For banqcraft, the initial resource-augmentation proposition should therefore be presented without locking the company into a classification prematurely.</w:t>
      </w:r>
    </w:p>
    <w:tbl>
      <w:tblPr>
        <w:tblW w:type="auto" w:w="0"/>
        <w:jc w:val="center"/>
        <w:tblLayout w:type="autofit"/>
        <w:tblLook w:firstColumn="1" w:firstRow="1" w:lastColumn="0" w:lastRow="0" w:noHBand="0" w:noVBand="1" w:val="04A0"/>
        <w:tblBorders>
          <w:top w:val="single" w:sz="4" w:space="0" w:color="C9D3DD"/>
          <w:left w:val="single" w:sz="4" w:space="0" w:color="C9D3DD"/>
          <w:bottom w:val="single" w:sz="4" w:space="0" w:color="C9D3DD"/>
          <w:right w:val="single" w:sz="4" w:space="0" w:color="C9D3DD"/>
          <w:insideH w:val="single" w:sz="4" w:space="0" w:color="C9D3DD"/>
          <w:insideV w:val="single" w:sz="4" w:space="0" w:color="C9D3DD"/>
        </w:tblBorders>
      </w:tblPr>
      <w:tblGrid>
        <w:gridCol w:w="4997"/>
        <w:gridCol w:w="4997"/>
      </w:tblGrid>
      <w:tr>
        <w:trPr>
          <w:cantSplit/>
        </w:trPr>
        <w:tc>
          <w:tcPr>
            <w:tcW w:type="dxa" w:w="3024"/>
            <w:shd w:fill="17365D"/>
            <w:vAlign w:val="center"/>
          </w:tcPr>
          <w:p>
            <w:pPr>
              <w:spacing w:after="40"/>
            </w:pPr>
            <w:r/>
            <w:r>
              <w:rPr>
                <w:rFonts w:ascii="Arial" w:hAnsi="Arial"/>
                <w:b/>
                <w:color w:val="FFFFFF"/>
                <w:sz w:val="18"/>
              </w:rPr>
              <w:t>Route</w:t>
            </w:r>
          </w:p>
        </w:tc>
        <w:tc>
          <w:tcPr>
            <w:tcW w:type="dxa" w:w="7056"/>
            <w:shd w:fill="17365D"/>
            <w:vAlign w:val="center"/>
          </w:tcPr>
          <w:p>
            <w:pPr>
              <w:spacing w:after="40"/>
            </w:pPr>
            <w:r/>
            <w:r>
              <w:rPr>
                <w:rFonts w:ascii="Arial" w:hAnsi="Arial"/>
                <w:b/>
                <w:color w:val="FFFFFF"/>
                <w:sz w:val="18"/>
              </w:rPr>
              <w:t>What it means for banqcraft</w:t>
            </w:r>
          </w:p>
        </w:tc>
      </w:tr>
      <w:tr>
        <w:trPr>
          <w:cantSplit/>
        </w:trPr>
        <w:tc>
          <w:tcPr>
            <w:tcW w:type="dxa" w:w="3024"/>
            <w:shd w:fill="FFFFFF"/>
            <w:vAlign w:val="center"/>
          </w:tcPr>
          <w:p>
            <w:pPr>
              <w:spacing w:after="40"/>
            </w:pPr>
            <w:r/>
            <w:r>
              <w:rPr>
                <w:rFonts w:ascii="Arial" w:hAnsi="Arial"/>
                <w:b w:val="0"/>
                <w:color w:val="2F2F2F"/>
                <w:sz w:val="18"/>
              </w:rPr>
              <w:t>Affiliate — current route family to explore</w:t>
            </w:r>
          </w:p>
        </w:tc>
        <w:tc>
          <w:tcPr>
            <w:tcW w:type="dxa" w:w="7056"/>
            <w:shd w:fill="FFFFFF"/>
            <w:vAlign w:val="center"/>
          </w:tcPr>
          <w:p>
            <w:pPr>
              <w:spacing w:after="40"/>
            </w:pPr>
            <w:r/>
            <w:r>
              <w:rPr>
                <w:rFonts w:ascii="Arial" w:hAnsi="Arial"/>
                <w:b w:val="0"/>
                <w:color w:val="2F2F2F"/>
                <w:sz w:val="18"/>
              </w:rPr>
              <w:t>Potentially relevant because it allows a focused partnership to develop at the company’s own pace.</w:t>
            </w:r>
          </w:p>
        </w:tc>
      </w:tr>
      <w:tr>
        <w:trPr>
          <w:cantSplit/>
        </w:trPr>
        <w:tc>
          <w:tcPr>
            <w:tcW w:type="dxa" w:w="3024"/>
            <w:shd w:fill="F5F8FB"/>
            <w:vAlign w:val="center"/>
          </w:tcPr>
          <w:p>
            <w:pPr>
              <w:spacing w:after="40"/>
            </w:pPr>
            <w:r/>
            <w:r>
              <w:rPr>
                <w:rFonts w:ascii="Arial" w:hAnsi="Arial"/>
                <w:b w:val="0"/>
                <w:color w:val="2F2F2F"/>
                <w:sz w:val="18"/>
              </w:rPr>
              <w:t>Fulfillment — verify fit</w:t>
            </w:r>
          </w:p>
        </w:tc>
        <w:tc>
          <w:tcPr>
            <w:tcW w:type="dxa" w:w="7056"/>
            <w:shd w:fill="F5F8FB"/>
            <w:vAlign w:val="center"/>
          </w:tcPr>
          <w:p>
            <w:pPr>
              <w:spacing w:after="40"/>
            </w:pPr>
            <w:r/>
            <w:r>
              <w:rPr>
                <w:rFonts w:ascii="Arial" w:hAnsi="Arial"/>
                <w:b w:val="0"/>
                <w:color w:val="2F2F2F"/>
                <w:sz w:val="18"/>
              </w:rPr>
              <w:t>Finastra’s current description is narrower than generic staff augmentation; do not assume this is the correct label.</w:t>
            </w:r>
          </w:p>
        </w:tc>
      </w:tr>
      <w:tr>
        <w:trPr>
          <w:cantSplit/>
        </w:trPr>
        <w:tc>
          <w:tcPr>
            <w:tcW w:type="dxa" w:w="3024"/>
            <w:shd w:fill="FFFFFF"/>
            <w:vAlign w:val="center"/>
          </w:tcPr>
          <w:p>
            <w:pPr>
              <w:spacing w:after="40"/>
            </w:pPr>
            <w:r/>
            <w:r>
              <w:rPr>
                <w:rFonts w:ascii="Arial" w:hAnsi="Arial"/>
                <w:b w:val="0"/>
                <w:color w:val="2F2F2F"/>
                <w:sz w:val="18"/>
              </w:rPr>
              <w:t>Implementation</w:t>
            </w:r>
          </w:p>
        </w:tc>
        <w:tc>
          <w:tcPr>
            <w:tcW w:type="dxa" w:w="7056"/>
            <w:shd w:fill="FFFFFF"/>
            <w:vAlign w:val="center"/>
          </w:tcPr>
          <w:p>
            <w:pPr>
              <w:spacing w:after="40"/>
            </w:pPr>
            <w:r/>
            <w:r>
              <w:rPr>
                <w:rFonts w:ascii="Arial" w:hAnsi="Arial"/>
                <w:b w:val="0"/>
                <w:color w:val="2F2F2F"/>
                <w:sz w:val="18"/>
              </w:rPr>
              <w:t>Longer-term objective as banqcraft builds certified implementation capacity and responsibility for defined engagements.</w:t>
            </w:r>
          </w:p>
        </w:tc>
      </w:tr>
      <w:tr>
        <w:trPr>
          <w:cantSplit/>
        </w:trPr>
        <w:tc>
          <w:tcPr>
            <w:tcW w:type="dxa" w:w="3024"/>
            <w:shd w:fill="F5F8FB"/>
            <w:vAlign w:val="center"/>
          </w:tcPr>
          <w:p>
            <w:pPr>
              <w:spacing w:after="40"/>
            </w:pPr>
            <w:r/>
            <w:r>
              <w:rPr>
                <w:rFonts w:ascii="Arial" w:hAnsi="Arial"/>
                <w:b w:val="0"/>
                <w:color w:val="2F2F2F"/>
                <w:sz w:val="18"/>
              </w:rPr>
              <w:t>MSP</w:t>
            </w:r>
          </w:p>
        </w:tc>
        <w:tc>
          <w:tcPr>
            <w:tcW w:type="dxa" w:w="7056"/>
            <w:shd w:fill="F5F8FB"/>
            <w:vAlign w:val="center"/>
          </w:tcPr>
          <w:p>
            <w:pPr>
              <w:spacing w:after="40"/>
            </w:pPr>
            <w:r/>
            <w:r>
              <w:rPr>
                <w:rFonts w:ascii="Arial" w:hAnsi="Arial"/>
                <w:b w:val="0"/>
                <w:color w:val="2F2F2F"/>
                <w:sz w:val="18"/>
              </w:rPr>
              <w:t>Potential later-stage model if banqcraft develops a defined, ongoing service offering with continuous revenue characteristics.</w:t>
            </w:r>
          </w:p>
        </w:tc>
      </w:tr>
      <w:tr>
        <w:trPr>
          <w:cantSplit/>
        </w:trPr>
        <w:tc>
          <w:tcPr>
            <w:tcW w:type="dxa" w:w="3024"/>
            <w:shd w:fill="FFFFFF"/>
            <w:vAlign w:val="center"/>
          </w:tcPr>
          <w:p>
            <w:pPr>
              <w:spacing w:after="40"/>
            </w:pPr>
            <w:r/>
            <w:r>
              <w:rPr>
                <w:rFonts w:ascii="Arial" w:hAnsi="Arial"/>
                <w:b w:val="0"/>
                <w:color w:val="2F2F2F"/>
                <w:sz w:val="18"/>
              </w:rPr>
              <w:t>Reseller</w:t>
            </w:r>
          </w:p>
        </w:tc>
        <w:tc>
          <w:tcPr>
            <w:tcW w:type="dxa" w:w="7056"/>
            <w:shd w:fill="FFFFFF"/>
            <w:vAlign w:val="center"/>
          </w:tcPr>
          <w:p>
            <w:pPr>
              <w:spacing w:after="40"/>
            </w:pPr>
            <w:r/>
            <w:r>
              <w:rPr>
                <w:rFonts w:ascii="Arial" w:hAnsi="Arial"/>
                <w:b w:val="0"/>
                <w:color w:val="2F2F2F"/>
                <w:sz w:val="18"/>
              </w:rPr>
              <w:t>Not the initial proposition; it implies ownership of the end-to-end customer journey and a broader go-to-market model.</w:t>
            </w:r>
          </w:p>
        </w:tc>
      </w:tr>
    </w:tbl>
    <w:p>
      <w:pPr>
        <w:spacing w:after="40"/>
      </w:pPr>
    </w:p>
    <w:tbl>
      <w:tblPr>
        <w:tblW w:type="auto" w:w="0"/>
        <w:jc w:val="center"/>
        <w:tblLook w:firstColumn="1" w:firstRow="1" w:lastColumn="0" w:lastRow="0" w:noHBand="0" w:noVBand="1" w:val="04A0"/>
      </w:tblPr>
      <w:tblGrid>
        <w:gridCol w:w="9994"/>
      </w:tblGrid>
      <w:tr>
        <w:trPr>
          <w:cantSplit/>
        </w:trPr>
        <w:tc>
          <w:tcPr>
            <w:tcW w:type="dxa" w:w="9994"/>
            <w:shd w:fill="EAF2F8"/>
            <w:tcBorders>
              <w:left w:val="single" w:sz="18" w:color="2F75B5" w:space="0"/>
            </w:tcBorders>
          </w:tcPr>
          <w:p>
            <w:pPr>
              <w:spacing w:after="60"/>
            </w:pPr>
            <w:r/>
            <w:r>
              <w:rPr>
                <w:rFonts w:ascii="Arial" w:hAnsi="Arial"/>
                <w:b/>
                <w:color w:val="17365D"/>
                <w:sz w:val="21"/>
              </w:rPr>
              <w:t>Working rule</w:t>
            </w:r>
          </w:p>
          <w:p>
            <w:pPr>
              <w:spacing w:after="60"/>
            </w:pPr>
            <w:r>
              <w:rPr>
                <w:rFonts w:ascii="Arial" w:hAnsi="Arial"/>
                <w:color w:val="2F2F2F"/>
                <w:sz w:val="19"/>
              </w:rPr>
              <w:t>Ask Finastra to identify the appropriate route for the actual engagement model. Do not market banqcraft publicly as a Finastra partner until approval and the applicable contractual permissions are in place.</w:t>
            </w:r>
          </w:p>
        </w:tc>
      </w:tr>
    </w:tbl>
    <w:p>
      <w:pPr>
        <w:spacing w:after="40"/>
      </w:pPr>
    </w:p>
    <w:p>
      <w:pPr>
        <w:pStyle w:val="Heading1"/>
        <w:keepNext/>
        <w:spacing w:before="240" w:after="120"/>
      </w:pPr>
      <w:r>
        <w:t>10. Corporate and Compliance Readiness</w:t>
      </w:r>
    </w:p>
    <w:tbl>
      <w:tblPr>
        <w:tblW w:type="auto" w:w="0"/>
        <w:jc w:val="center"/>
        <w:tblLayout w:type="autofit"/>
        <w:tblLook w:firstColumn="1" w:firstRow="1" w:lastColumn="0" w:lastRow="0" w:noHBand="0" w:noVBand="1" w:val="04A0"/>
        <w:tblBorders>
          <w:top w:val="single" w:sz="4" w:space="0" w:color="C9D3DD"/>
          <w:left w:val="single" w:sz="4" w:space="0" w:color="C9D3DD"/>
          <w:bottom w:val="single" w:sz="4" w:space="0" w:color="C9D3DD"/>
          <w:right w:val="single" w:sz="4" w:space="0" w:color="C9D3DD"/>
          <w:insideH w:val="single" w:sz="4" w:space="0" w:color="C9D3DD"/>
          <w:insideV w:val="single" w:sz="4" w:space="0" w:color="C9D3DD"/>
        </w:tblBorders>
      </w:tblPr>
      <w:tblGrid>
        <w:gridCol w:w="4997"/>
        <w:gridCol w:w="4997"/>
      </w:tblGrid>
      <w:tr>
        <w:trPr>
          <w:cantSplit/>
        </w:trPr>
        <w:tc>
          <w:tcPr>
            <w:tcW w:type="dxa" w:w="2880"/>
            <w:shd w:fill="17365D"/>
            <w:vAlign w:val="center"/>
          </w:tcPr>
          <w:p>
            <w:pPr>
              <w:spacing w:after="40"/>
            </w:pPr>
            <w:r/>
            <w:r>
              <w:rPr>
                <w:rFonts w:ascii="Arial" w:hAnsi="Arial"/>
                <w:b/>
                <w:color w:val="FFFFFF"/>
                <w:sz w:val="18"/>
              </w:rPr>
              <w:t>Readiness item</w:t>
            </w:r>
          </w:p>
        </w:tc>
        <w:tc>
          <w:tcPr>
            <w:tcW w:type="dxa" w:w="7200"/>
            <w:shd w:fill="17365D"/>
            <w:vAlign w:val="center"/>
          </w:tcPr>
          <w:p>
            <w:pPr>
              <w:spacing w:after="40"/>
            </w:pPr>
            <w:r/>
            <w:r>
              <w:rPr>
                <w:rFonts w:ascii="Arial" w:hAnsi="Arial"/>
                <w:b/>
                <w:color w:val="FFFFFF"/>
                <w:sz w:val="18"/>
              </w:rPr>
              <w:t>Current status / action</w:t>
            </w:r>
          </w:p>
        </w:tc>
      </w:tr>
      <w:tr>
        <w:trPr>
          <w:cantSplit/>
        </w:trPr>
        <w:tc>
          <w:tcPr>
            <w:tcW w:type="dxa" w:w="2880"/>
            <w:shd w:fill="FFFFFF"/>
            <w:vAlign w:val="center"/>
          </w:tcPr>
          <w:p>
            <w:pPr>
              <w:spacing w:after="40"/>
            </w:pPr>
            <w:r/>
            <w:r>
              <w:rPr>
                <w:rFonts w:ascii="Arial" w:hAnsi="Arial"/>
                <w:b w:val="0"/>
                <w:color w:val="2F2F2F"/>
                <w:sz w:val="18"/>
              </w:rPr>
              <w:t>Legal entity</w:t>
            </w:r>
          </w:p>
        </w:tc>
        <w:tc>
          <w:tcPr>
            <w:tcW w:type="dxa" w:w="7200"/>
            <w:shd w:fill="FFFFFF"/>
            <w:vAlign w:val="center"/>
          </w:tcPr>
          <w:p>
            <w:pPr>
              <w:spacing w:after="40"/>
            </w:pPr>
            <w:r/>
            <w:r>
              <w:rPr>
                <w:rFonts w:ascii="Arial" w:hAnsi="Arial"/>
                <w:b w:val="0"/>
                <w:color w:val="2F2F2F"/>
                <w:sz w:val="18"/>
              </w:rPr>
              <w:t>Completed — Egypt LLC.</w:t>
            </w:r>
          </w:p>
        </w:tc>
      </w:tr>
      <w:tr>
        <w:trPr>
          <w:cantSplit/>
        </w:trPr>
        <w:tc>
          <w:tcPr>
            <w:tcW w:type="dxa" w:w="2880"/>
            <w:shd w:fill="F5F8FB"/>
            <w:vAlign w:val="center"/>
          </w:tcPr>
          <w:p>
            <w:pPr>
              <w:spacing w:after="40"/>
            </w:pPr>
            <w:r/>
            <w:r>
              <w:rPr>
                <w:rFonts w:ascii="Arial" w:hAnsi="Arial"/>
                <w:b w:val="0"/>
                <w:color w:val="2F2F2F"/>
                <w:sz w:val="18"/>
              </w:rPr>
              <w:t>Commercial registration</w:t>
            </w:r>
          </w:p>
        </w:tc>
        <w:tc>
          <w:tcPr>
            <w:tcW w:type="dxa" w:w="7200"/>
            <w:shd w:fill="F5F8FB"/>
            <w:vAlign w:val="center"/>
          </w:tcPr>
          <w:p>
            <w:pPr>
              <w:spacing w:after="40"/>
            </w:pPr>
            <w:r/>
            <w:r>
              <w:rPr>
                <w:rFonts w:ascii="Arial" w:hAnsi="Arial"/>
                <w:b w:val="0"/>
                <w:color w:val="2F2F2F"/>
                <w:sz w:val="18"/>
              </w:rPr>
              <w:t>Completed.</w:t>
            </w:r>
          </w:p>
        </w:tc>
      </w:tr>
      <w:tr>
        <w:trPr>
          <w:cantSplit/>
        </w:trPr>
        <w:tc>
          <w:tcPr>
            <w:tcW w:type="dxa" w:w="2880"/>
            <w:shd w:fill="FFFFFF"/>
            <w:vAlign w:val="center"/>
          </w:tcPr>
          <w:p>
            <w:pPr>
              <w:spacing w:after="40"/>
            </w:pPr>
            <w:r/>
            <w:r>
              <w:rPr>
                <w:rFonts w:ascii="Arial" w:hAnsi="Arial"/>
                <w:b w:val="0"/>
                <w:color w:val="2F2F2F"/>
                <w:sz w:val="18"/>
              </w:rPr>
              <w:t>Corporate bank account</w:t>
            </w:r>
          </w:p>
        </w:tc>
        <w:tc>
          <w:tcPr>
            <w:tcW w:type="dxa" w:w="7200"/>
            <w:shd w:fill="FFFFFF"/>
            <w:vAlign w:val="center"/>
          </w:tcPr>
          <w:p>
            <w:pPr>
              <w:spacing w:after="40"/>
            </w:pPr>
            <w:r/>
            <w:r>
              <w:rPr>
                <w:rFonts w:ascii="Arial" w:hAnsi="Arial"/>
                <w:b w:val="0"/>
                <w:color w:val="2F2F2F"/>
                <w:sz w:val="18"/>
              </w:rPr>
              <w:t>Completed.</w:t>
            </w:r>
          </w:p>
        </w:tc>
      </w:tr>
      <w:tr>
        <w:trPr>
          <w:cantSplit/>
        </w:trPr>
        <w:tc>
          <w:tcPr>
            <w:tcW w:type="dxa" w:w="2880"/>
            <w:shd w:fill="F5F8FB"/>
            <w:vAlign w:val="center"/>
          </w:tcPr>
          <w:p>
            <w:pPr>
              <w:spacing w:after="40"/>
            </w:pPr>
            <w:r/>
            <w:r>
              <w:rPr>
                <w:rFonts w:ascii="Arial" w:hAnsi="Arial"/>
                <w:b w:val="0"/>
                <w:color w:val="2F2F2F"/>
                <w:sz w:val="18"/>
              </w:rPr>
              <w:t>Tax registration</w:t>
            </w:r>
          </w:p>
        </w:tc>
        <w:tc>
          <w:tcPr>
            <w:tcW w:type="dxa" w:w="7200"/>
            <w:shd w:fill="F5F8FB"/>
            <w:vAlign w:val="center"/>
          </w:tcPr>
          <w:p>
            <w:pPr>
              <w:spacing w:after="40"/>
            </w:pPr>
            <w:r/>
            <w:r>
              <w:rPr>
                <w:rFonts w:ascii="Arial" w:hAnsi="Arial"/>
                <w:b w:val="0"/>
                <w:color w:val="2F2F2F"/>
                <w:sz w:val="18"/>
              </w:rPr>
              <w:t>Completed.</w:t>
            </w:r>
          </w:p>
        </w:tc>
      </w:tr>
      <w:tr>
        <w:trPr>
          <w:cantSplit/>
        </w:trPr>
        <w:tc>
          <w:tcPr>
            <w:tcW w:type="dxa" w:w="2880"/>
            <w:shd w:fill="FFFFFF"/>
            <w:vAlign w:val="center"/>
          </w:tcPr>
          <w:p>
            <w:pPr>
              <w:spacing w:after="40"/>
            </w:pPr>
            <w:r/>
            <w:r>
              <w:rPr>
                <w:rFonts w:ascii="Arial" w:hAnsi="Arial"/>
                <w:b w:val="0"/>
                <w:color w:val="2F2F2F"/>
                <w:sz w:val="18"/>
              </w:rPr>
              <w:t>Company email/domain</w:t>
            </w:r>
          </w:p>
        </w:tc>
        <w:tc>
          <w:tcPr>
            <w:tcW w:type="dxa" w:w="7200"/>
            <w:shd w:fill="FFFFFF"/>
            <w:vAlign w:val="center"/>
          </w:tcPr>
          <w:p>
            <w:pPr>
              <w:spacing w:after="40"/>
            </w:pPr>
            <w:r/>
            <w:r>
              <w:rPr>
                <w:rFonts w:ascii="Arial" w:hAnsi="Arial"/>
                <w:b w:val="0"/>
                <w:color w:val="2F2F2F"/>
                <w:sz w:val="18"/>
              </w:rPr>
              <w:t>Completed.</w:t>
            </w:r>
          </w:p>
        </w:tc>
      </w:tr>
      <w:tr>
        <w:trPr>
          <w:cantSplit/>
        </w:trPr>
        <w:tc>
          <w:tcPr>
            <w:tcW w:type="dxa" w:w="2880"/>
            <w:shd w:fill="F5F8FB"/>
            <w:vAlign w:val="center"/>
          </w:tcPr>
          <w:p>
            <w:pPr>
              <w:spacing w:after="40"/>
            </w:pPr>
            <w:r/>
            <w:r>
              <w:rPr>
                <w:rFonts w:ascii="Arial" w:hAnsi="Arial"/>
                <w:b w:val="0"/>
                <w:color w:val="2F2F2F"/>
                <w:sz w:val="18"/>
              </w:rPr>
              <w:t>HR/employment framework</w:t>
            </w:r>
          </w:p>
        </w:tc>
        <w:tc>
          <w:tcPr>
            <w:tcW w:type="dxa" w:w="7200"/>
            <w:shd w:fill="F5F8FB"/>
            <w:vAlign w:val="center"/>
          </w:tcPr>
          <w:p>
            <w:pPr>
              <w:spacing w:after="40"/>
            </w:pPr>
            <w:r/>
            <w:r>
              <w:rPr>
                <w:rFonts w:ascii="Arial" w:hAnsi="Arial"/>
                <w:b w:val="0"/>
                <w:color w:val="2F2F2F"/>
                <w:sz w:val="18"/>
              </w:rPr>
              <w:t>To be documented and legally reviewed before hiring.</w:t>
            </w:r>
          </w:p>
        </w:tc>
      </w:tr>
      <w:tr>
        <w:trPr>
          <w:cantSplit/>
        </w:trPr>
        <w:tc>
          <w:tcPr>
            <w:tcW w:type="dxa" w:w="2880"/>
            <w:shd w:fill="FFFFFF"/>
            <w:vAlign w:val="center"/>
          </w:tcPr>
          <w:p>
            <w:pPr>
              <w:spacing w:after="40"/>
            </w:pPr>
            <w:r/>
            <w:r>
              <w:rPr>
                <w:rFonts w:ascii="Arial" w:hAnsi="Arial"/>
                <w:b w:val="0"/>
                <w:color w:val="2F2F2F"/>
                <w:sz w:val="18"/>
              </w:rPr>
              <w:t>Insurance</w:t>
            </w:r>
          </w:p>
        </w:tc>
        <w:tc>
          <w:tcPr>
            <w:tcW w:type="dxa" w:w="7200"/>
            <w:shd w:fill="FFFFFF"/>
            <w:vAlign w:val="center"/>
          </w:tcPr>
          <w:p>
            <w:pPr>
              <w:spacing w:after="40"/>
            </w:pPr>
            <w:r/>
            <w:r>
              <w:rPr>
                <w:rFonts w:ascii="Arial" w:hAnsi="Arial"/>
                <w:b w:val="0"/>
                <w:color w:val="2F2F2F"/>
                <w:sz w:val="18"/>
              </w:rPr>
              <w:t>Do not purchase prematurely solely on assumption. Treat cyber/professional insurance as a due-diligence/contracting requirement to confirm with Finastra; obtain appropriate coverage when required.</w:t>
            </w:r>
          </w:p>
        </w:tc>
      </w:tr>
      <w:tr>
        <w:trPr>
          <w:cantSplit/>
        </w:trPr>
        <w:tc>
          <w:tcPr>
            <w:tcW w:type="dxa" w:w="2880"/>
            <w:shd w:fill="F5F8FB"/>
            <w:vAlign w:val="center"/>
          </w:tcPr>
          <w:p>
            <w:pPr>
              <w:spacing w:after="40"/>
            </w:pPr>
            <w:r/>
            <w:r>
              <w:rPr>
                <w:rFonts w:ascii="Arial" w:hAnsi="Arial"/>
                <w:b w:val="0"/>
                <w:color w:val="2F2F2F"/>
                <w:sz w:val="18"/>
              </w:rPr>
              <w:t>Policies</w:t>
            </w:r>
          </w:p>
        </w:tc>
        <w:tc>
          <w:tcPr>
            <w:tcW w:type="dxa" w:w="7200"/>
            <w:shd w:fill="F5F8FB"/>
            <w:vAlign w:val="center"/>
          </w:tcPr>
          <w:p>
            <w:pPr>
              <w:spacing w:after="40"/>
            </w:pPr>
            <w:r/>
            <w:r>
              <w:rPr>
                <w:rFonts w:ascii="Arial" w:hAnsi="Arial"/>
                <w:b w:val="0"/>
                <w:color w:val="2F2F2F"/>
                <w:sz w:val="18"/>
              </w:rPr>
              <w:t>Develop progressively: confidentiality, information security, acceptable use, data protection, HR and delivery governance.</w:t>
            </w:r>
          </w:p>
        </w:tc>
      </w:tr>
      <w:tr>
        <w:trPr>
          <w:cantSplit/>
        </w:trPr>
        <w:tc>
          <w:tcPr>
            <w:tcW w:type="dxa" w:w="2880"/>
            <w:shd w:fill="FFFFFF"/>
            <w:vAlign w:val="center"/>
          </w:tcPr>
          <w:p>
            <w:pPr>
              <w:spacing w:after="40"/>
            </w:pPr>
            <w:r/>
            <w:r>
              <w:rPr>
                <w:rFonts w:ascii="Arial" w:hAnsi="Arial"/>
                <w:b w:val="0"/>
                <w:color w:val="2F2F2F"/>
                <w:sz w:val="18"/>
              </w:rPr>
              <w:t>Client contracts</w:t>
            </w:r>
          </w:p>
        </w:tc>
        <w:tc>
          <w:tcPr>
            <w:tcW w:type="dxa" w:w="7200"/>
            <w:shd w:fill="FFFFFF"/>
            <w:vAlign w:val="center"/>
          </w:tcPr>
          <w:p>
            <w:pPr>
              <w:spacing w:after="40"/>
            </w:pPr>
            <w:r/>
            <w:r>
              <w:rPr>
                <w:rFonts w:ascii="Arial" w:hAnsi="Arial"/>
                <w:b w:val="0"/>
                <w:color w:val="2F2F2F"/>
                <w:sz w:val="18"/>
              </w:rPr>
              <w:t>Prepare standard MSA/SOW/NDA templates with legal review.</w:t>
            </w:r>
          </w:p>
        </w:tc>
      </w:tr>
      <w:tr>
        <w:trPr>
          <w:cantSplit/>
        </w:trPr>
        <w:tc>
          <w:tcPr>
            <w:tcW w:type="dxa" w:w="2880"/>
            <w:shd w:fill="F5F8FB"/>
            <w:vAlign w:val="center"/>
          </w:tcPr>
          <w:p>
            <w:pPr>
              <w:spacing w:after="40"/>
            </w:pPr>
            <w:r/>
            <w:r>
              <w:rPr>
                <w:rFonts w:ascii="Arial" w:hAnsi="Arial"/>
                <w:b w:val="0"/>
                <w:color w:val="2F2F2F"/>
                <w:sz w:val="18"/>
              </w:rPr>
              <w:t>Data/security controls</w:t>
            </w:r>
          </w:p>
        </w:tc>
        <w:tc>
          <w:tcPr>
            <w:tcW w:type="dxa" w:w="7200"/>
            <w:shd w:fill="F5F8FB"/>
            <w:vAlign w:val="center"/>
          </w:tcPr>
          <w:p>
            <w:pPr>
              <w:spacing w:after="40"/>
            </w:pPr>
            <w:r/>
            <w:r>
              <w:rPr>
                <w:rFonts w:ascii="Arial" w:hAnsi="Arial"/>
                <w:b w:val="0"/>
                <w:color w:val="2F2F2F"/>
                <w:sz w:val="18"/>
              </w:rPr>
              <w:t>Define minimum controls for consultant access, customer information and company systems.</w:t>
            </w:r>
          </w:p>
        </w:tc>
      </w:tr>
    </w:tbl>
    <w:p>
      <w:pPr>
        <w:spacing w:after="40"/>
      </w:pPr>
    </w:p>
    <w:p>
      <w:pPr>
        <w:spacing w:after="120" w:line="259" w:lineRule="auto"/>
      </w:pPr>
      <w:r>
        <w:rPr>
          <w:rFonts w:ascii="Arial" w:hAnsi="Arial"/>
          <w:color w:val="2F2F2F"/>
          <w:sz w:val="21"/>
        </w:rPr>
        <w:t>The public Finastra partner pages currently describe compliance with local/international regulations and capacity to invest as partner considerations, but they do not publish a universal cyber-insurance purchase requirement on the partner overview page. The practical timing of insurance should therefore be confirmed during Finastra due diligence/contracting rather than purchased solely on assumption.</w:t>
      </w:r>
    </w:p>
    <w:p>
      <w:pPr>
        <w:pStyle w:val="Heading1"/>
        <w:keepNext/>
        <w:spacing w:before="240" w:after="120"/>
      </w:pPr>
      <w:r>
        <w:t>11. Employment / Transition Considerations</w:t>
      </w:r>
    </w:p>
    <w:tbl>
      <w:tblPr>
        <w:tblW w:type="auto" w:w="0"/>
        <w:jc w:val="center"/>
        <w:tblLook w:firstColumn="1" w:firstRow="1" w:lastColumn="0" w:lastRow="0" w:noHBand="0" w:noVBand="1" w:val="04A0"/>
      </w:tblPr>
      <w:tblGrid>
        <w:gridCol w:w="9994"/>
      </w:tblGrid>
      <w:tr>
        <w:trPr>
          <w:cantSplit/>
        </w:trPr>
        <w:tc>
          <w:tcPr>
            <w:tcW w:type="dxa" w:w="9994"/>
            <w:shd w:fill="EAF2F8"/>
            <w:tcBorders>
              <w:left w:val="single" w:sz="18" w:color="2F75B5" w:space="0"/>
            </w:tcBorders>
          </w:tcPr>
          <w:p>
            <w:pPr>
              <w:spacing w:after="60"/>
            </w:pPr>
            <w:r/>
            <w:r>
              <w:rPr>
                <w:rFonts w:ascii="Arial" w:hAnsi="Arial"/>
                <w:b/>
                <w:color w:val="17365D"/>
                <w:sz w:val="21"/>
              </w:rPr>
              <w:t>Important legal point</w:t>
            </w:r>
          </w:p>
          <w:p>
            <w:pPr>
              <w:spacing w:after="60"/>
            </w:pPr>
            <w:r>
              <w:rPr>
                <w:rFonts w:ascii="Arial" w:hAnsi="Arial"/>
                <w:color w:val="2F2F2F"/>
                <w:sz w:val="19"/>
              </w:rPr>
              <w:t>The absence of a “proper signed contract” should not be treated as meaning that no restrictions apply. Egypt’s Labour Law No. 14 of 2025 is currently in force, and competition/confidentiality obligations can arise from law as well as contract. Obtain Egyptian employment/legal advice before engaging in any conduct that could be viewed as competing during employment, soliciting clients or recruiting personnel connected to the current employer.</w:t>
            </w:r>
          </w:p>
        </w:tc>
      </w:tr>
    </w:tbl>
    <w:p>
      <w:pPr>
        <w:spacing w:after="40"/>
      </w:pPr>
    </w:p>
    <w:p>
      <w:pPr>
        <w:spacing w:after="120" w:line="259" w:lineRule="auto"/>
      </w:pPr>
      <w:r>
        <w:rPr>
          <w:rFonts w:ascii="Arial" w:hAnsi="Arial"/>
          <w:color w:val="2F2F2F"/>
          <w:sz w:val="21"/>
        </w:rPr>
        <w:t>For banqcraft’s operating file, the transition principle should be: no confidential information is transferred; no client or employee is solicited improperly; no proprietary materials are reused; all future hires join through lawful and documented processes; and any overlap between the current project and banqcraft’s activities is handled transparently and with professional/legal review.</w:t>
      </w:r>
    </w:p>
    <w:p>
      <w:pPr>
        <w:pStyle w:val="Heading1"/>
        <w:keepNext/>
        <w:spacing w:before="240" w:after="120"/>
      </w:pPr>
      <w:r>
        <w:t>12. Relationship and Reference Strategy</w:t>
      </w:r>
    </w:p>
    <w:p>
      <w:pPr>
        <w:spacing w:after="120" w:line="259" w:lineRule="auto"/>
      </w:pPr>
      <w:r>
        <w:rPr>
          <w:rFonts w:ascii="Arial" w:hAnsi="Arial"/>
          <w:color w:val="2F2F2F"/>
          <w:sz w:val="21"/>
        </w:rPr>
        <w:t>The founder estimates that approximately seven Finastra-side contacts know his work: four delivery contacts and three project contacts. These relationships can provide useful professional validation if individuals are willing and permitted to act as references.</w:t>
      </w:r>
    </w:p>
    <w:tbl>
      <w:tblPr>
        <w:tblW w:type="auto" w:w="0"/>
        <w:jc w:val="center"/>
        <w:tblLayout w:type="autofit"/>
        <w:tblLook w:firstColumn="1" w:firstRow="1" w:lastColumn="0" w:lastRow="0" w:noHBand="0" w:noVBand="1" w:val="04A0"/>
        <w:tblBorders>
          <w:top w:val="single" w:sz="4" w:space="0" w:color="C9D3DD"/>
          <w:left w:val="single" w:sz="4" w:space="0" w:color="C9D3DD"/>
          <w:bottom w:val="single" w:sz="4" w:space="0" w:color="C9D3DD"/>
          <w:right w:val="single" w:sz="4" w:space="0" w:color="C9D3DD"/>
          <w:insideH w:val="single" w:sz="4" w:space="0" w:color="C9D3DD"/>
          <w:insideV w:val="single" w:sz="4" w:space="0" w:color="C9D3DD"/>
        </w:tblBorders>
      </w:tblPr>
      <w:tblGrid>
        <w:gridCol w:w="2498"/>
        <w:gridCol w:w="2498"/>
        <w:gridCol w:w="2498"/>
        <w:gridCol w:w="2498"/>
      </w:tblGrid>
      <w:tr>
        <w:trPr>
          <w:cantSplit/>
        </w:trPr>
        <w:tc>
          <w:tcPr>
            <w:tcW w:type="dxa" w:w="2592"/>
            <w:shd w:fill="17365D"/>
            <w:vAlign w:val="center"/>
          </w:tcPr>
          <w:p>
            <w:pPr>
              <w:spacing w:after="40"/>
            </w:pPr>
            <w:r/>
            <w:r>
              <w:rPr>
                <w:rFonts w:ascii="Arial" w:hAnsi="Arial"/>
                <w:b/>
                <w:color w:val="FFFFFF"/>
                <w:sz w:val="18"/>
              </w:rPr>
              <w:t>Reference group</w:t>
            </w:r>
          </w:p>
        </w:tc>
        <w:tc>
          <w:tcPr>
            <w:tcW w:type="dxa" w:w="1152"/>
            <w:shd w:fill="17365D"/>
            <w:vAlign w:val="center"/>
          </w:tcPr>
          <w:p>
            <w:pPr>
              <w:spacing w:after="40"/>
            </w:pPr>
            <w:r/>
            <w:r>
              <w:rPr>
                <w:rFonts w:ascii="Arial" w:hAnsi="Arial"/>
                <w:b/>
                <w:color w:val="FFFFFF"/>
                <w:sz w:val="18"/>
              </w:rPr>
              <w:t>Count</w:t>
            </w:r>
          </w:p>
        </w:tc>
        <w:tc>
          <w:tcPr>
            <w:tcW w:type="dxa" w:w="2304"/>
            <w:shd w:fill="17365D"/>
            <w:vAlign w:val="center"/>
          </w:tcPr>
          <w:p>
            <w:pPr>
              <w:spacing w:after="40"/>
            </w:pPr>
            <w:r/>
            <w:r>
              <w:rPr>
                <w:rFonts w:ascii="Arial" w:hAnsi="Arial"/>
                <w:b/>
                <w:color w:val="FFFFFF"/>
                <w:sz w:val="18"/>
              </w:rPr>
              <w:t>Relationship strength</w:t>
            </w:r>
          </w:p>
        </w:tc>
        <w:tc>
          <w:tcPr>
            <w:tcW w:type="dxa" w:w="4032"/>
            <w:shd w:fill="17365D"/>
            <w:vAlign w:val="center"/>
          </w:tcPr>
          <w:p>
            <w:pPr>
              <w:spacing w:after="40"/>
            </w:pPr>
            <w:r/>
            <w:r>
              <w:rPr>
                <w:rFonts w:ascii="Arial" w:hAnsi="Arial"/>
                <w:b/>
                <w:color w:val="FFFFFF"/>
                <w:sz w:val="18"/>
              </w:rPr>
              <w:t>Current position</w:t>
            </w:r>
          </w:p>
        </w:tc>
      </w:tr>
      <w:tr>
        <w:trPr>
          <w:cantSplit/>
        </w:trPr>
        <w:tc>
          <w:tcPr>
            <w:tcW w:type="dxa" w:w="2592"/>
            <w:shd w:fill="FFFFFF"/>
            <w:vAlign w:val="center"/>
          </w:tcPr>
          <w:p>
            <w:pPr>
              <w:spacing w:after="40"/>
            </w:pPr>
            <w:r/>
            <w:r>
              <w:rPr>
                <w:rFonts w:ascii="Arial" w:hAnsi="Arial"/>
                <w:b w:val="0"/>
                <w:color w:val="2F2F2F"/>
                <w:sz w:val="18"/>
              </w:rPr>
              <w:t>Delivery</w:t>
            </w:r>
          </w:p>
        </w:tc>
        <w:tc>
          <w:tcPr>
            <w:tcW w:type="dxa" w:w="1152"/>
            <w:shd w:fill="FFFFFF"/>
            <w:vAlign w:val="center"/>
          </w:tcPr>
          <w:p>
            <w:pPr>
              <w:spacing w:after="40"/>
            </w:pPr>
            <w:r/>
            <w:r>
              <w:rPr>
                <w:rFonts w:ascii="Arial" w:hAnsi="Arial"/>
                <w:b w:val="0"/>
                <w:color w:val="2F2F2F"/>
                <w:sz w:val="18"/>
              </w:rPr>
              <w:t>4</w:t>
            </w:r>
          </w:p>
        </w:tc>
        <w:tc>
          <w:tcPr>
            <w:tcW w:type="dxa" w:w="2304"/>
            <w:shd w:fill="FFFFFF"/>
            <w:vAlign w:val="center"/>
          </w:tcPr>
          <w:p>
            <w:pPr>
              <w:spacing w:after="40"/>
            </w:pPr>
            <w:r/>
            <w:r>
              <w:rPr>
                <w:rFonts w:ascii="Arial" w:hAnsi="Arial"/>
                <w:b w:val="0"/>
                <w:color w:val="2F2F2F"/>
                <w:sz w:val="18"/>
              </w:rPr>
              <w:t>Mixed/high</w:t>
            </w:r>
          </w:p>
        </w:tc>
        <w:tc>
          <w:tcPr>
            <w:tcW w:type="dxa" w:w="4032"/>
            <w:shd w:fill="FFFFFF"/>
            <w:vAlign w:val="center"/>
          </w:tcPr>
          <w:p>
            <w:pPr>
              <w:spacing w:after="40"/>
            </w:pPr>
            <w:r/>
            <w:r>
              <w:rPr>
                <w:rFonts w:ascii="Arial" w:hAnsi="Arial"/>
                <w:b w:val="0"/>
                <w:color w:val="2F2F2F"/>
                <w:sz w:val="18"/>
              </w:rPr>
              <w:t>Potential references; confirm individually.</w:t>
            </w:r>
          </w:p>
        </w:tc>
      </w:tr>
      <w:tr>
        <w:trPr>
          <w:cantSplit/>
        </w:trPr>
        <w:tc>
          <w:tcPr>
            <w:tcW w:type="dxa" w:w="2592"/>
            <w:shd w:fill="F5F8FB"/>
            <w:vAlign w:val="center"/>
          </w:tcPr>
          <w:p>
            <w:pPr>
              <w:spacing w:after="40"/>
            </w:pPr>
            <w:r/>
            <w:r>
              <w:rPr>
                <w:rFonts w:ascii="Arial" w:hAnsi="Arial"/>
                <w:b w:val="0"/>
                <w:color w:val="2F2F2F"/>
                <w:sz w:val="18"/>
              </w:rPr>
              <w:t>Project</w:t>
            </w:r>
          </w:p>
        </w:tc>
        <w:tc>
          <w:tcPr>
            <w:tcW w:type="dxa" w:w="1152"/>
            <w:shd w:fill="F5F8FB"/>
            <w:vAlign w:val="center"/>
          </w:tcPr>
          <w:p>
            <w:pPr>
              <w:spacing w:after="40"/>
            </w:pPr>
            <w:r/>
            <w:r>
              <w:rPr>
                <w:rFonts w:ascii="Arial" w:hAnsi="Arial"/>
                <w:b w:val="0"/>
                <w:color w:val="2F2F2F"/>
                <w:sz w:val="18"/>
              </w:rPr>
              <w:t>3</w:t>
            </w:r>
          </w:p>
        </w:tc>
        <w:tc>
          <w:tcPr>
            <w:tcW w:type="dxa" w:w="2304"/>
            <w:shd w:fill="F5F8FB"/>
            <w:vAlign w:val="center"/>
          </w:tcPr>
          <w:p>
            <w:pPr>
              <w:spacing w:after="40"/>
            </w:pPr>
            <w:r/>
            <w:r>
              <w:rPr>
                <w:rFonts w:ascii="Arial" w:hAnsi="Arial"/>
                <w:b w:val="0"/>
                <w:color w:val="2F2F2F"/>
                <w:sz w:val="18"/>
              </w:rPr>
              <w:t>High/medium</w:t>
            </w:r>
          </w:p>
        </w:tc>
        <w:tc>
          <w:tcPr>
            <w:tcW w:type="dxa" w:w="4032"/>
            <w:shd w:fill="F5F8FB"/>
            <w:vAlign w:val="center"/>
          </w:tcPr>
          <w:p>
            <w:pPr>
              <w:spacing w:after="40"/>
            </w:pPr>
            <w:r/>
            <w:r>
              <w:rPr>
                <w:rFonts w:ascii="Arial" w:hAnsi="Arial"/>
                <w:b w:val="0"/>
                <w:color w:val="2F2F2F"/>
                <w:sz w:val="18"/>
              </w:rPr>
              <w:t>Potential references; confirm individually.</w:t>
            </w:r>
          </w:p>
        </w:tc>
      </w:tr>
    </w:tbl>
    <w:p>
      <w:pPr>
        <w:spacing w:after="40"/>
      </w:pPr>
    </w:p>
    <w:p>
      <w:pPr>
        <w:spacing w:after="120" w:line="259" w:lineRule="auto"/>
      </w:pPr>
      <w:r>
        <w:rPr>
          <w:rFonts w:ascii="Arial" w:hAnsi="Arial"/>
          <w:color w:val="2F2F2F"/>
          <w:sz w:val="21"/>
        </w:rPr>
        <w:t>Names should remain outside the initial external proposal unless each individual explicitly agrees to be named and contacted. The preferred wording in the external proposal is: “Professional references from individuals who have worked directly with the founder in Finastra-related engagements can be provided upon request, subject to their consent.”</w:t>
      </w:r>
    </w:p>
    <w:p>
      <w:pPr>
        <w:pStyle w:val="Heading1"/>
        <w:keepNext/>
        <w:spacing w:before="240" w:after="120"/>
      </w:pPr>
      <w:r>
        <w:t>13. Commercial Model — Internal Planning Framework</w:t>
      </w:r>
    </w:p>
    <w:p>
      <w:pPr>
        <w:spacing w:after="120" w:line="259" w:lineRule="auto"/>
      </w:pPr>
      <w:r>
        <w:rPr>
          <w:rFonts w:ascii="Arial" w:hAnsi="Arial"/>
          <w:color w:val="2F2F2F"/>
          <w:sz w:val="21"/>
        </w:rPr>
        <w:t>The commercial model should remain simple at launch: monthly invoicing for deployed resources, with pricing derived from agreed daily/monthly rates, role seniority, product specialization, urgency, location and engagement terms.</w:t>
      </w:r>
    </w:p>
    <w:tbl>
      <w:tblPr>
        <w:tblW w:type="auto" w:w="0"/>
        <w:jc w:val="center"/>
        <w:tblLayout w:type="autofit"/>
        <w:tblLook w:firstColumn="1" w:firstRow="1" w:lastColumn="0" w:lastRow="0" w:noHBand="0" w:noVBand="1" w:val="04A0"/>
        <w:tblBorders>
          <w:top w:val="single" w:sz="4" w:space="0" w:color="C9D3DD"/>
          <w:left w:val="single" w:sz="4" w:space="0" w:color="C9D3DD"/>
          <w:bottom w:val="single" w:sz="4" w:space="0" w:color="C9D3DD"/>
          <w:right w:val="single" w:sz="4" w:space="0" w:color="C9D3DD"/>
          <w:insideH w:val="single" w:sz="4" w:space="0" w:color="C9D3DD"/>
          <w:insideV w:val="single" w:sz="4" w:space="0" w:color="C9D3DD"/>
        </w:tblBorders>
      </w:tblPr>
      <w:tblGrid>
        <w:gridCol w:w="4997"/>
        <w:gridCol w:w="4997"/>
      </w:tblGrid>
      <w:tr>
        <w:trPr>
          <w:cantSplit/>
        </w:trPr>
        <w:tc>
          <w:tcPr>
            <w:tcW w:type="dxa" w:w="3168"/>
            <w:shd w:fill="17365D"/>
            <w:vAlign w:val="center"/>
          </w:tcPr>
          <w:p>
            <w:pPr>
              <w:spacing w:after="40"/>
            </w:pPr>
            <w:r/>
            <w:r>
              <w:rPr>
                <w:rFonts w:ascii="Arial" w:hAnsi="Arial"/>
                <w:b/>
                <w:color w:val="FFFFFF"/>
                <w:sz w:val="18"/>
              </w:rPr>
              <w:t>Planning assumption</w:t>
            </w:r>
          </w:p>
        </w:tc>
        <w:tc>
          <w:tcPr>
            <w:tcW w:type="dxa" w:w="6912"/>
            <w:shd w:fill="17365D"/>
            <w:vAlign w:val="center"/>
          </w:tcPr>
          <w:p>
            <w:pPr>
              <w:spacing w:after="40"/>
            </w:pPr>
            <w:r/>
            <w:r>
              <w:rPr>
                <w:rFonts w:ascii="Arial" w:hAnsi="Arial"/>
                <w:b/>
                <w:color w:val="FFFFFF"/>
                <w:sz w:val="18"/>
              </w:rPr>
              <w:t>Initial working position</w:t>
            </w:r>
          </w:p>
        </w:tc>
      </w:tr>
      <w:tr>
        <w:trPr>
          <w:cantSplit/>
        </w:trPr>
        <w:tc>
          <w:tcPr>
            <w:tcW w:type="dxa" w:w="3168"/>
            <w:shd w:fill="FFFFFF"/>
            <w:vAlign w:val="center"/>
          </w:tcPr>
          <w:p>
            <w:pPr>
              <w:spacing w:after="40"/>
            </w:pPr>
            <w:r/>
            <w:r>
              <w:rPr>
                <w:rFonts w:ascii="Arial" w:hAnsi="Arial"/>
                <w:b w:val="0"/>
                <w:color w:val="2F2F2F"/>
                <w:sz w:val="18"/>
              </w:rPr>
              <w:t>Billing basis</w:t>
            </w:r>
          </w:p>
        </w:tc>
        <w:tc>
          <w:tcPr>
            <w:tcW w:type="dxa" w:w="6912"/>
            <w:shd w:fill="FFFFFF"/>
            <w:vAlign w:val="center"/>
          </w:tcPr>
          <w:p>
            <w:pPr>
              <w:spacing w:after="40"/>
            </w:pPr>
            <w:r/>
            <w:r>
              <w:rPr>
                <w:rFonts w:ascii="Arial" w:hAnsi="Arial"/>
                <w:b w:val="0"/>
                <w:color w:val="2F2F2F"/>
                <w:sz w:val="18"/>
              </w:rPr>
              <w:t>Monthly; may be derived from agreed daily rate × billable days.</w:t>
            </w:r>
          </w:p>
        </w:tc>
      </w:tr>
      <w:tr>
        <w:trPr>
          <w:cantSplit/>
        </w:trPr>
        <w:tc>
          <w:tcPr>
            <w:tcW w:type="dxa" w:w="3168"/>
            <w:shd w:fill="F5F8FB"/>
            <w:vAlign w:val="center"/>
          </w:tcPr>
          <w:p>
            <w:pPr>
              <w:spacing w:after="40"/>
            </w:pPr>
            <w:r/>
            <w:r>
              <w:rPr>
                <w:rFonts w:ascii="Arial" w:hAnsi="Arial"/>
                <w:b w:val="0"/>
                <w:color w:val="2F2F2F"/>
                <w:sz w:val="18"/>
              </w:rPr>
              <w:t>User-provided target client rate range</w:t>
            </w:r>
          </w:p>
        </w:tc>
        <w:tc>
          <w:tcPr>
            <w:tcW w:type="dxa" w:w="6912"/>
            <w:shd w:fill="F5F8FB"/>
            <w:vAlign w:val="center"/>
          </w:tcPr>
          <w:p>
            <w:pPr>
              <w:spacing w:after="40"/>
            </w:pPr>
            <w:r/>
            <w:r>
              <w:rPr>
                <w:rFonts w:ascii="Arial" w:hAnsi="Arial"/>
                <w:b w:val="0"/>
                <w:color w:val="2F2F2F"/>
                <w:sz w:val="18"/>
              </w:rPr>
              <w:t>USD 200–1,500 per man-day.</w:t>
            </w:r>
          </w:p>
        </w:tc>
      </w:tr>
      <w:tr>
        <w:trPr>
          <w:cantSplit/>
        </w:trPr>
        <w:tc>
          <w:tcPr>
            <w:tcW w:type="dxa" w:w="3168"/>
            <w:shd w:fill="FFFFFF"/>
            <w:vAlign w:val="center"/>
          </w:tcPr>
          <w:p>
            <w:pPr>
              <w:spacing w:after="40"/>
            </w:pPr>
            <w:r/>
            <w:r>
              <w:rPr>
                <w:rFonts w:ascii="Arial" w:hAnsi="Arial"/>
                <w:b w:val="0"/>
                <w:color w:val="2F2F2F"/>
                <w:sz w:val="18"/>
              </w:rPr>
              <w:t>Direct consultant cost target</w:t>
            </w:r>
          </w:p>
        </w:tc>
        <w:tc>
          <w:tcPr>
            <w:tcW w:type="dxa" w:w="6912"/>
            <w:shd w:fill="FFFFFF"/>
            <w:vAlign w:val="center"/>
          </w:tcPr>
          <w:p>
            <w:pPr>
              <w:spacing w:after="40"/>
            </w:pPr>
            <w:r/>
            <w:r>
              <w:rPr>
                <w:rFonts w:ascii="Arial" w:hAnsi="Arial"/>
                <w:b w:val="0"/>
                <w:color w:val="2F2F2F"/>
                <w:sz w:val="18"/>
              </w:rPr>
              <w:t>Plan for approximately 65–70% of realized billable revenue on average, subject to role/product mix and actual employment cost.</w:t>
            </w:r>
          </w:p>
        </w:tc>
      </w:tr>
      <w:tr>
        <w:trPr>
          <w:cantSplit/>
        </w:trPr>
        <w:tc>
          <w:tcPr>
            <w:tcW w:type="dxa" w:w="3168"/>
            <w:shd w:fill="F5F8FB"/>
            <w:vAlign w:val="center"/>
          </w:tcPr>
          <w:p>
            <w:pPr>
              <w:spacing w:after="40"/>
            </w:pPr>
            <w:r/>
            <w:r>
              <w:rPr>
                <w:rFonts w:ascii="Arial" w:hAnsi="Arial"/>
                <w:b w:val="0"/>
                <w:color w:val="2F2F2F"/>
                <w:sz w:val="18"/>
              </w:rPr>
              <w:t>Target gross margin</w:t>
            </w:r>
          </w:p>
        </w:tc>
        <w:tc>
          <w:tcPr>
            <w:tcW w:type="dxa" w:w="6912"/>
            <w:shd w:fill="F5F8FB"/>
            <w:vAlign w:val="center"/>
          </w:tcPr>
          <w:p>
            <w:pPr>
              <w:spacing w:after="40"/>
            </w:pPr>
            <w:r/>
            <w:r>
              <w:rPr>
                <w:rFonts w:ascii="Arial" w:hAnsi="Arial"/>
                <w:b w:val="0"/>
                <w:color w:val="2F2F2F"/>
                <w:sz w:val="18"/>
              </w:rPr>
              <w:t>Approximately 30–35% before corporate overhead, with specialist/urgent roles potentially priced higher.</w:t>
            </w:r>
          </w:p>
        </w:tc>
      </w:tr>
      <w:tr>
        <w:trPr>
          <w:cantSplit/>
        </w:trPr>
        <w:tc>
          <w:tcPr>
            <w:tcW w:type="dxa" w:w="3168"/>
            <w:shd w:fill="FFFFFF"/>
            <w:vAlign w:val="center"/>
          </w:tcPr>
          <w:p>
            <w:pPr>
              <w:spacing w:after="40"/>
            </w:pPr>
            <w:r/>
            <w:r>
              <w:rPr>
                <w:rFonts w:ascii="Arial" w:hAnsi="Arial"/>
                <w:b w:val="0"/>
                <w:color w:val="2F2F2F"/>
                <w:sz w:val="18"/>
              </w:rPr>
              <w:t>Overhead discipline</w:t>
            </w:r>
          </w:p>
        </w:tc>
        <w:tc>
          <w:tcPr>
            <w:tcW w:type="dxa" w:w="6912"/>
            <w:shd w:fill="FFFFFF"/>
            <w:vAlign w:val="center"/>
          </w:tcPr>
          <w:p>
            <w:pPr>
              <w:spacing w:after="40"/>
            </w:pPr>
            <w:r/>
            <w:r>
              <w:rPr>
                <w:rFonts w:ascii="Arial" w:hAnsi="Arial"/>
                <w:b w:val="0"/>
                <w:color w:val="2F2F2F"/>
                <w:sz w:val="18"/>
              </w:rPr>
              <w:t>Keep non-delivery overhead lean during the first stage; founders/management costs should be tracked separately from direct consultant delivery cost.</w:t>
            </w:r>
          </w:p>
        </w:tc>
      </w:tr>
      <w:tr>
        <w:trPr>
          <w:cantSplit/>
        </w:trPr>
        <w:tc>
          <w:tcPr>
            <w:tcW w:type="dxa" w:w="3168"/>
            <w:shd w:fill="F5F8FB"/>
            <w:vAlign w:val="center"/>
          </w:tcPr>
          <w:p>
            <w:pPr>
              <w:spacing w:after="40"/>
            </w:pPr>
            <w:r/>
            <w:r>
              <w:rPr>
                <w:rFonts w:ascii="Arial" w:hAnsi="Arial"/>
                <w:b w:val="0"/>
                <w:color w:val="2F2F2F"/>
                <w:sz w:val="18"/>
              </w:rPr>
              <w:t>Payment terms</w:t>
            </w:r>
          </w:p>
        </w:tc>
        <w:tc>
          <w:tcPr>
            <w:tcW w:type="dxa" w:w="6912"/>
            <w:shd w:fill="F5F8FB"/>
            <w:vAlign w:val="center"/>
          </w:tcPr>
          <w:p>
            <w:pPr>
              <w:spacing w:after="40"/>
            </w:pPr>
            <w:r/>
            <w:r>
              <w:rPr>
                <w:rFonts w:ascii="Arial" w:hAnsi="Arial"/>
                <w:b w:val="0"/>
                <w:color w:val="2F2F2F"/>
                <w:sz w:val="18"/>
              </w:rPr>
              <w:t>Prefer customer terms that preserve positive working capital; avoid taking on substantial payroll exposure without a confirmed revenue line.</w:t>
            </w:r>
          </w:p>
        </w:tc>
      </w:tr>
      <w:tr>
        <w:trPr>
          <w:cantSplit/>
        </w:trPr>
        <w:tc>
          <w:tcPr>
            <w:tcW w:type="dxa" w:w="3168"/>
            <w:shd w:fill="FFFFFF"/>
            <w:vAlign w:val="center"/>
          </w:tcPr>
          <w:p>
            <w:pPr>
              <w:spacing w:after="40"/>
            </w:pPr>
            <w:r/>
            <w:r>
              <w:rPr>
                <w:rFonts w:ascii="Arial" w:hAnsi="Arial"/>
                <w:b w:val="0"/>
                <w:color w:val="2F2F2F"/>
                <w:sz w:val="18"/>
              </w:rPr>
              <w:t>Seed capital</w:t>
            </w:r>
          </w:p>
        </w:tc>
        <w:tc>
          <w:tcPr>
            <w:tcW w:type="dxa" w:w="6912"/>
            <w:shd w:fill="FFFFFF"/>
            <w:vAlign w:val="center"/>
          </w:tcPr>
          <w:p>
            <w:pPr>
              <w:spacing w:after="40"/>
            </w:pPr>
            <w:r/>
            <w:r>
              <w:rPr>
                <w:rFonts w:ascii="Arial" w:hAnsi="Arial"/>
                <w:b w:val="0"/>
                <w:color w:val="2F2F2F"/>
                <w:sz w:val="18"/>
              </w:rPr>
              <w:t>Approximately EGP 1.5 million stated as initial capital commitment.</w:t>
            </w:r>
          </w:p>
        </w:tc>
      </w:tr>
    </w:tbl>
    <w:p>
      <w:pPr>
        <w:spacing w:after="40"/>
      </w:pPr>
    </w:p>
    <w:tbl>
      <w:tblPr>
        <w:tblW w:type="auto" w:w="0"/>
        <w:jc w:val="center"/>
        <w:tblLook w:firstColumn="1" w:firstRow="1" w:lastColumn="0" w:lastRow="0" w:noHBand="0" w:noVBand="1" w:val="04A0"/>
      </w:tblPr>
      <w:tblGrid>
        <w:gridCol w:w="9994"/>
      </w:tblGrid>
      <w:tr>
        <w:trPr>
          <w:cantSplit/>
        </w:trPr>
        <w:tc>
          <w:tcPr>
            <w:tcW w:type="dxa" w:w="9994"/>
            <w:shd w:fill="EAF2F8"/>
            <w:tcBorders>
              <w:left w:val="single" w:sz="18" w:color="2F75B5" w:space="0"/>
            </w:tcBorders>
          </w:tcPr>
          <w:p>
            <w:pPr>
              <w:spacing w:after="60"/>
            </w:pPr>
            <w:r/>
            <w:r>
              <w:rPr>
                <w:rFonts w:ascii="Arial" w:hAnsi="Arial"/>
                <w:b/>
                <w:color w:val="17365D"/>
                <w:sz w:val="21"/>
              </w:rPr>
              <w:t>Illustrative scenario only</w:t>
            </w:r>
          </w:p>
          <w:p>
            <w:pPr>
              <w:spacing w:after="60"/>
            </w:pPr>
            <w:r>
              <w:rPr>
                <w:rFonts w:ascii="Arial" w:hAnsi="Arial"/>
                <w:color w:val="2F2F2F"/>
                <w:sz w:val="19"/>
              </w:rPr>
              <w:t>At an illustrative average client rate of USD 500/day, 3 consultants × 20 billable days would produce USD 30,000 monthly revenue. At a 30% gross-margin target, direct consultant cost would be approximately USD 21,000 and gross profit approximately USD 9,000 before management and corporate overhead. This is a planning scenario, not a market quote or promised price.</w:t>
            </w:r>
          </w:p>
        </w:tc>
      </w:tr>
    </w:tbl>
    <w:p>
      <w:pPr>
        <w:spacing w:after="40"/>
      </w:pPr>
    </w:p>
    <w:p>
      <w:pPr>
        <w:spacing w:after="120" w:line="259" w:lineRule="auto"/>
      </w:pPr>
      <w:r>
        <w:rPr>
          <w:rFonts w:ascii="Arial" w:hAnsi="Arial"/>
          <w:color w:val="2F2F2F"/>
          <w:sz w:val="21"/>
        </w:rPr>
        <w:t>For the initial three-person team, the preferred financial model is to calculate monthly direct employment cost from actual employment offers and then test the business under low, base and high utilization scenarios. The EGP 1.5 million capital should be treated primarily as setup and working-capital support; final runway assumptions should be stress-tested before hiring.</w:t>
      </w:r>
    </w:p>
    <w:p>
      <w:pPr>
        <w:pStyle w:val="Heading1"/>
        <w:keepNext/>
        <w:spacing w:before="240" w:after="120"/>
      </w:pPr>
      <w:r>
        <w:t>14. Investment and Working Capital</w:t>
      </w:r>
    </w:p>
    <w:p>
      <w:pPr>
        <w:pStyle w:val="ListBullet"/>
        <w:spacing w:after="40"/>
        <w:ind w:left="360"/>
      </w:pPr>
      <w:r>
        <w:rPr>
          <w:rFonts w:ascii="Arial" w:hAnsi="Arial"/>
          <w:color w:val="2F2F2F"/>
          <w:sz w:val="20"/>
        </w:rPr>
        <w:t>Initial company capital: approximately EGP 1.5 million.</w:t>
      </w:r>
    </w:p>
    <w:p>
      <w:pPr>
        <w:pStyle w:val="ListBullet"/>
        <w:spacing w:after="40"/>
        <w:ind w:left="360"/>
      </w:pPr>
      <w:r>
        <w:rPr>
          <w:rFonts w:ascii="Arial" w:hAnsi="Arial"/>
          <w:color w:val="2F2F2F"/>
          <w:sz w:val="20"/>
        </w:rPr>
        <w:t>Prioritize expenditure that directly improves ability to secure and deliver the first engagement: recruitment readiness, contracts, systems, training/certification and required insurance when triggered.</w:t>
      </w:r>
    </w:p>
    <w:p>
      <w:pPr>
        <w:pStyle w:val="ListBullet"/>
        <w:spacing w:after="40"/>
        <w:ind w:left="360"/>
      </w:pPr>
      <w:r>
        <w:rPr>
          <w:rFonts w:ascii="Arial" w:hAnsi="Arial"/>
          <w:color w:val="2F2F2F"/>
          <w:sz w:val="20"/>
        </w:rPr>
        <w:t>Avoid major fixed overhead before revenue visibility.</w:t>
      </w:r>
    </w:p>
    <w:p>
      <w:pPr>
        <w:pStyle w:val="ListBullet"/>
        <w:spacing w:after="40"/>
        <w:ind w:left="360"/>
      </w:pPr>
      <w:r>
        <w:rPr>
          <w:rFonts w:ascii="Arial" w:hAnsi="Arial"/>
          <w:color w:val="2F2F2F"/>
          <w:sz w:val="20"/>
        </w:rPr>
        <w:t>Build a minimum cash reserve covering fixed overhead and the timing gap between consultant payroll and client collections.</w:t>
      </w:r>
    </w:p>
    <w:p>
      <w:pPr>
        <w:pStyle w:val="ListBullet"/>
        <w:spacing w:after="40"/>
        <w:ind w:left="360"/>
      </w:pPr>
      <w:r>
        <w:rPr>
          <w:rFonts w:ascii="Arial" w:hAnsi="Arial"/>
          <w:color w:val="2F2F2F"/>
          <w:sz w:val="20"/>
        </w:rPr>
        <w:t>Treat additional recruitment as an opportunity-triggered investment rather than a pre-launch expense.</w:t>
      </w:r>
    </w:p>
    <w:p>
      <w:pPr>
        <w:pStyle w:val="Heading1"/>
        <w:keepNext/>
        <w:spacing w:before="240" w:after="120"/>
      </w:pPr>
      <w:r>
        <w:t>15. 24-Month Capability Roadmap</w:t>
      </w:r>
    </w:p>
    <w:tbl>
      <w:tblPr>
        <w:tblW w:type="auto" w:w="0"/>
        <w:jc w:val="center"/>
        <w:tblLayout w:type="autofit"/>
        <w:tblLook w:firstColumn="1" w:firstRow="1" w:lastColumn="0" w:lastRow="0" w:noHBand="0" w:noVBand="1" w:val="04A0"/>
        <w:tblBorders>
          <w:top w:val="single" w:sz="4" w:space="0" w:color="C9D3DD"/>
          <w:left w:val="single" w:sz="4" w:space="0" w:color="C9D3DD"/>
          <w:bottom w:val="single" w:sz="4" w:space="0" w:color="C9D3DD"/>
          <w:right w:val="single" w:sz="4" w:space="0" w:color="C9D3DD"/>
          <w:insideH w:val="single" w:sz="4" w:space="0" w:color="C9D3DD"/>
          <w:insideV w:val="single" w:sz="4" w:space="0" w:color="C9D3DD"/>
        </w:tblBorders>
      </w:tblPr>
      <w:tblGrid>
        <w:gridCol w:w="2498"/>
        <w:gridCol w:w="2498"/>
        <w:gridCol w:w="2498"/>
        <w:gridCol w:w="2498"/>
      </w:tblGrid>
      <w:tr>
        <w:trPr>
          <w:cantSplit/>
        </w:trPr>
        <w:tc>
          <w:tcPr>
            <w:tcW w:type="dxa" w:w="1728"/>
            <w:shd w:fill="17365D"/>
            <w:vAlign w:val="center"/>
          </w:tcPr>
          <w:p>
            <w:pPr>
              <w:spacing w:after="40"/>
            </w:pPr>
            <w:r/>
            <w:r>
              <w:rPr>
                <w:rFonts w:ascii="Arial" w:hAnsi="Arial"/>
                <w:b/>
                <w:color w:val="FFFFFF"/>
                <w:sz w:val="18"/>
              </w:rPr>
              <w:t>Phase</w:t>
            </w:r>
          </w:p>
        </w:tc>
        <w:tc>
          <w:tcPr>
            <w:tcW w:type="dxa" w:w="1872"/>
            <w:shd w:fill="17365D"/>
            <w:vAlign w:val="center"/>
          </w:tcPr>
          <w:p>
            <w:pPr>
              <w:spacing w:after="40"/>
            </w:pPr>
            <w:r/>
            <w:r>
              <w:rPr>
                <w:rFonts w:ascii="Arial" w:hAnsi="Arial"/>
                <w:b/>
                <w:color w:val="FFFFFF"/>
                <w:sz w:val="18"/>
              </w:rPr>
              <w:t>Timing</w:t>
            </w:r>
          </w:p>
        </w:tc>
        <w:tc>
          <w:tcPr>
            <w:tcW w:type="dxa" w:w="3600"/>
            <w:shd w:fill="17365D"/>
            <w:vAlign w:val="center"/>
          </w:tcPr>
          <w:p>
            <w:pPr>
              <w:spacing w:after="40"/>
            </w:pPr>
            <w:r/>
            <w:r>
              <w:rPr>
                <w:rFonts w:ascii="Arial" w:hAnsi="Arial"/>
                <w:b/>
                <w:color w:val="FFFFFF"/>
                <w:sz w:val="18"/>
              </w:rPr>
              <w:t>Focus</w:t>
            </w:r>
          </w:p>
        </w:tc>
        <w:tc>
          <w:tcPr>
            <w:tcW w:type="dxa" w:w="2880"/>
            <w:shd w:fill="17365D"/>
            <w:vAlign w:val="center"/>
          </w:tcPr>
          <w:p>
            <w:pPr>
              <w:spacing w:after="40"/>
            </w:pPr>
            <w:r/>
            <w:r>
              <w:rPr>
                <w:rFonts w:ascii="Arial" w:hAnsi="Arial"/>
                <w:b/>
                <w:color w:val="FFFFFF"/>
                <w:sz w:val="18"/>
              </w:rPr>
              <w:t>Evidence to build</w:t>
            </w:r>
          </w:p>
        </w:tc>
      </w:tr>
      <w:tr>
        <w:trPr>
          <w:cantSplit/>
        </w:trPr>
        <w:tc>
          <w:tcPr>
            <w:tcW w:type="dxa" w:w="1728"/>
            <w:shd w:fill="FFFFFF"/>
            <w:vAlign w:val="center"/>
          </w:tcPr>
          <w:p>
            <w:pPr>
              <w:spacing w:after="40"/>
            </w:pPr>
            <w:r/>
            <w:r>
              <w:rPr>
                <w:rFonts w:ascii="Arial" w:hAnsi="Arial"/>
                <w:b w:val="0"/>
                <w:color w:val="2F2F2F"/>
                <w:sz w:val="18"/>
              </w:rPr>
              <w:t>Foundation</w:t>
            </w:r>
          </w:p>
        </w:tc>
        <w:tc>
          <w:tcPr>
            <w:tcW w:type="dxa" w:w="1872"/>
            <w:shd w:fill="FFFFFF"/>
            <w:vAlign w:val="center"/>
          </w:tcPr>
          <w:p>
            <w:pPr>
              <w:spacing w:after="40"/>
            </w:pPr>
            <w:r/>
            <w:r>
              <w:rPr>
                <w:rFonts w:ascii="Arial" w:hAnsi="Arial"/>
                <w:b w:val="0"/>
                <w:color w:val="2F2F2F"/>
                <w:sz w:val="18"/>
              </w:rPr>
              <w:t>Now → partnership approach</w:t>
            </w:r>
          </w:p>
        </w:tc>
        <w:tc>
          <w:tcPr>
            <w:tcW w:type="dxa" w:w="3600"/>
            <w:shd w:fill="FFFFFF"/>
            <w:vAlign w:val="center"/>
          </w:tcPr>
          <w:p>
            <w:pPr>
              <w:spacing w:after="40"/>
            </w:pPr>
            <w:r/>
            <w:r>
              <w:rPr>
                <w:rFonts w:ascii="Arial" w:hAnsi="Arial"/>
                <w:b w:val="0"/>
                <w:color w:val="2F2F2F"/>
                <w:sz w:val="18"/>
              </w:rPr>
              <w:t>Finalize company setup, proposal, founder/co-founder profiles, initial resource evidence, operating policies.</w:t>
            </w:r>
          </w:p>
        </w:tc>
        <w:tc>
          <w:tcPr>
            <w:tcW w:type="dxa" w:w="2880"/>
            <w:shd w:fill="FFFFFF"/>
            <w:vAlign w:val="center"/>
          </w:tcPr>
          <w:p>
            <w:pPr>
              <w:spacing w:after="40"/>
            </w:pPr>
            <w:r/>
            <w:r>
              <w:rPr>
                <w:rFonts w:ascii="Arial" w:hAnsi="Arial"/>
                <w:b w:val="0"/>
                <w:color w:val="2F2F2F"/>
                <w:sz w:val="18"/>
              </w:rPr>
              <w:t>Corporate documents, CVs, role profiles, reference register, readiness checklist.</w:t>
            </w:r>
          </w:p>
        </w:tc>
      </w:tr>
      <w:tr>
        <w:trPr>
          <w:cantSplit/>
        </w:trPr>
        <w:tc>
          <w:tcPr>
            <w:tcW w:type="dxa" w:w="1728"/>
            <w:shd w:fill="F5F8FB"/>
            <w:vAlign w:val="center"/>
          </w:tcPr>
          <w:p>
            <w:pPr>
              <w:spacing w:after="40"/>
            </w:pPr>
            <w:r/>
            <w:r>
              <w:rPr>
                <w:rFonts w:ascii="Arial" w:hAnsi="Arial"/>
                <w:b w:val="0"/>
                <w:color w:val="2F2F2F"/>
                <w:sz w:val="18"/>
              </w:rPr>
              <w:t>Partnership / onboarding</w:t>
            </w:r>
          </w:p>
        </w:tc>
        <w:tc>
          <w:tcPr>
            <w:tcW w:type="dxa" w:w="1872"/>
            <w:shd w:fill="F5F8FB"/>
            <w:vAlign w:val="center"/>
          </w:tcPr>
          <w:p>
            <w:pPr>
              <w:spacing w:after="40"/>
            </w:pPr>
            <w:r/>
            <w:r>
              <w:rPr>
                <w:rFonts w:ascii="Arial" w:hAnsi="Arial"/>
                <w:b w:val="0"/>
                <w:color w:val="2F2F2F"/>
                <w:sz w:val="18"/>
              </w:rPr>
              <w:t>Post-approval, 0–3 months</w:t>
            </w:r>
          </w:p>
        </w:tc>
        <w:tc>
          <w:tcPr>
            <w:tcW w:type="dxa" w:w="3600"/>
            <w:shd w:fill="F5F8FB"/>
            <w:vAlign w:val="center"/>
          </w:tcPr>
          <w:p>
            <w:pPr>
              <w:spacing w:after="40"/>
            </w:pPr>
            <w:r/>
            <w:r>
              <w:rPr>
                <w:rFonts w:ascii="Arial" w:hAnsi="Arial"/>
                <w:b w:val="0"/>
                <w:color w:val="2F2F2F"/>
                <w:sz w:val="18"/>
              </w:rPr>
              <w:t>Confirm route, rules of engagement, training and certification plan; mobilize initial resource pool.</w:t>
            </w:r>
          </w:p>
        </w:tc>
        <w:tc>
          <w:tcPr>
            <w:tcW w:type="dxa" w:w="2880"/>
            <w:shd w:fill="F5F8FB"/>
            <w:vAlign w:val="center"/>
          </w:tcPr>
          <w:p>
            <w:pPr>
              <w:spacing w:after="40"/>
            </w:pPr>
            <w:r/>
            <w:r>
              <w:rPr>
                <w:rFonts w:ascii="Arial" w:hAnsi="Arial"/>
                <w:b w:val="0"/>
                <w:color w:val="2F2F2F"/>
                <w:sz w:val="18"/>
              </w:rPr>
              <w:t>Partner agreement, enablement plan, certification tracker, resource availability confirmations.</w:t>
            </w:r>
          </w:p>
        </w:tc>
      </w:tr>
      <w:tr>
        <w:trPr>
          <w:cantSplit/>
        </w:trPr>
        <w:tc>
          <w:tcPr>
            <w:tcW w:type="dxa" w:w="1728"/>
            <w:shd w:fill="FFFFFF"/>
            <w:vAlign w:val="center"/>
          </w:tcPr>
          <w:p>
            <w:pPr>
              <w:spacing w:after="40"/>
            </w:pPr>
            <w:r/>
            <w:r>
              <w:rPr>
                <w:rFonts w:ascii="Arial" w:hAnsi="Arial"/>
                <w:b w:val="0"/>
                <w:color w:val="2F2F2F"/>
                <w:sz w:val="18"/>
              </w:rPr>
              <w:t>Delivery scale-up</w:t>
            </w:r>
          </w:p>
        </w:tc>
        <w:tc>
          <w:tcPr>
            <w:tcW w:type="dxa" w:w="1872"/>
            <w:shd w:fill="FFFFFF"/>
            <w:vAlign w:val="center"/>
          </w:tcPr>
          <w:p>
            <w:pPr>
              <w:spacing w:after="40"/>
            </w:pPr>
            <w:r/>
            <w:r>
              <w:rPr>
                <w:rFonts w:ascii="Arial" w:hAnsi="Arial"/>
                <w:b w:val="0"/>
                <w:color w:val="2F2F2F"/>
                <w:sz w:val="18"/>
              </w:rPr>
              <w:t>3–12 months</w:t>
            </w:r>
          </w:p>
        </w:tc>
        <w:tc>
          <w:tcPr>
            <w:tcW w:type="dxa" w:w="3600"/>
            <w:shd w:fill="FFFFFF"/>
            <w:vAlign w:val="center"/>
          </w:tcPr>
          <w:p>
            <w:pPr>
              <w:spacing w:after="40"/>
            </w:pPr>
            <w:r/>
            <w:r>
              <w:rPr>
                <w:rFonts w:ascii="Arial" w:hAnsi="Arial"/>
                <w:b w:val="0"/>
                <w:color w:val="2F2F2F"/>
                <w:sz w:val="18"/>
              </w:rPr>
              <w:t>Deliver initial work, gather performance evidence, recruit according to demand; expand from 3 toward 5.</w:t>
            </w:r>
          </w:p>
        </w:tc>
        <w:tc>
          <w:tcPr>
            <w:tcW w:type="dxa" w:w="2880"/>
            <w:shd w:fill="FFFFFF"/>
            <w:vAlign w:val="center"/>
          </w:tcPr>
          <w:p>
            <w:pPr>
              <w:spacing w:after="40"/>
            </w:pPr>
            <w:r/>
            <w:r>
              <w:rPr>
                <w:rFonts w:ascii="Arial" w:hAnsi="Arial"/>
                <w:b w:val="0"/>
                <w:color w:val="2F2F2F"/>
                <w:sz w:val="18"/>
              </w:rPr>
              <w:t>Project references, delivery KPIs, utilization and margin data.</w:t>
            </w:r>
          </w:p>
        </w:tc>
      </w:tr>
      <w:tr>
        <w:trPr>
          <w:cantSplit/>
        </w:trPr>
        <w:tc>
          <w:tcPr>
            <w:tcW w:type="dxa" w:w="1728"/>
            <w:shd w:fill="F5F8FB"/>
            <w:vAlign w:val="center"/>
          </w:tcPr>
          <w:p>
            <w:pPr>
              <w:spacing w:after="40"/>
            </w:pPr>
            <w:r/>
            <w:r>
              <w:rPr>
                <w:rFonts w:ascii="Arial" w:hAnsi="Arial"/>
                <w:b w:val="0"/>
                <w:color w:val="2F2F2F"/>
                <w:sz w:val="18"/>
              </w:rPr>
              <w:t>Regional development</w:t>
            </w:r>
          </w:p>
        </w:tc>
        <w:tc>
          <w:tcPr>
            <w:tcW w:type="dxa" w:w="1872"/>
            <w:shd w:fill="F5F8FB"/>
            <w:vAlign w:val="center"/>
          </w:tcPr>
          <w:p>
            <w:pPr>
              <w:spacing w:after="40"/>
            </w:pPr>
            <w:r/>
            <w:r>
              <w:rPr>
                <w:rFonts w:ascii="Arial" w:hAnsi="Arial"/>
                <w:b w:val="0"/>
                <w:color w:val="2F2F2F"/>
                <w:sz w:val="18"/>
              </w:rPr>
              <w:t>12–24 months</w:t>
            </w:r>
          </w:p>
        </w:tc>
        <w:tc>
          <w:tcPr>
            <w:tcW w:type="dxa" w:w="3600"/>
            <w:shd w:fill="F5F8FB"/>
            <w:vAlign w:val="center"/>
          </w:tcPr>
          <w:p>
            <w:pPr>
              <w:spacing w:after="40"/>
            </w:pPr>
            <w:r/>
            <w:r>
              <w:rPr>
                <w:rFonts w:ascii="Arial" w:hAnsi="Arial"/>
                <w:b w:val="0"/>
                <w:color w:val="2F2F2F"/>
                <w:sz w:val="18"/>
              </w:rPr>
              <w:t>Increase capacity toward 10 professionals; deepen MEA coverage where commercially justified.</w:t>
            </w:r>
          </w:p>
        </w:tc>
        <w:tc>
          <w:tcPr>
            <w:tcW w:type="dxa" w:w="2880"/>
            <w:shd w:fill="F5F8FB"/>
            <w:vAlign w:val="center"/>
          </w:tcPr>
          <w:p>
            <w:pPr>
              <w:spacing w:after="40"/>
            </w:pPr>
            <w:r/>
            <w:r>
              <w:rPr>
                <w:rFonts w:ascii="Arial" w:hAnsi="Arial"/>
                <w:b w:val="0"/>
                <w:color w:val="2F2F2F"/>
                <w:sz w:val="18"/>
              </w:rPr>
              <w:t>Regional talent pool, additional certifications, repeat opportunities.</w:t>
            </w:r>
          </w:p>
        </w:tc>
      </w:tr>
      <w:tr>
        <w:trPr>
          <w:cantSplit/>
        </w:trPr>
        <w:tc>
          <w:tcPr>
            <w:tcW w:type="dxa" w:w="1728"/>
            <w:shd w:fill="FFFFFF"/>
            <w:vAlign w:val="center"/>
          </w:tcPr>
          <w:p>
            <w:pPr>
              <w:spacing w:after="40"/>
            </w:pPr>
            <w:r/>
            <w:r>
              <w:rPr>
                <w:rFonts w:ascii="Arial" w:hAnsi="Arial"/>
                <w:b w:val="0"/>
                <w:color w:val="2F2F2F"/>
                <w:sz w:val="18"/>
              </w:rPr>
              <w:t>Implementation capability</w:t>
            </w:r>
          </w:p>
        </w:tc>
        <w:tc>
          <w:tcPr>
            <w:tcW w:type="dxa" w:w="1872"/>
            <w:shd w:fill="FFFFFF"/>
            <w:vAlign w:val="center"/>
          </w:tcPr>
          <w:p>
            <w:pPr>
              <w:spacing w:after="40"/>
            </w:pPr>
            <w:r/>
            <w:r>
              <w:rPr>
                <w:rFonts w:ascii="Arial" w:hAnsi="Arial"/>
                <w:b w:val="0"/>
                <w:color w:val="2F2F2F"/>
                <w:sz w:val="18"/>
              </w:rPr>
              <w:t>Within/after 24 months as appropriate</w:t>
            </w:r>
          </w:p>
        </w:tc>
        <w:tc>
          <w:tcPr>
            <w:tcW w:type="dxa" w:w="3600"/>
            <w:shd w:fill="FFFFFF"/>
            <w:vAlign w:val="center"/>
          </w:tcPr>
          <w:p>
            <w:pPr>
              <w:spacing w:after="40"/>
            </w:pPr>
            <w:r/>
            <w:r>
              <w:rPr>
                <w:rFonts w:ascii="Arial" w:hAnsi="Arial"/>
                <w:b w:val="0"/>
                <w:color w:val="2F2F2F"/>
                <w:sz w:val="18"/>
              </w:rPr>
              <w:t>Take defined workstreams and progressively consider broader implementation partnership.</w:t>
            </w:r>
          </w:p>
        </w:tc>
        <w:tc>
          <w:tcPr>
            <w:tcW w:type="dxa" w:w="2880"/>
            <w:shd w:fill="FFFFFF"/>
            <w:vAlign w:val="center"/>
          </w:tcPr>
          <w:p>
            <w:pPr>
              <w:spacing w:after="40"/>
            </w:pPr>
            <w:r/>
            <w:r>
              <w:rPr>
                <w:rFonts w:ascii="Arial" w:hAnsi="Arial"/>
                <w:b w:val="0"/>
                <w:color w:val="2F2F2F"/>
                <w:sz w:val="18"/>
              </w:rPr>
              <w:t>Certified resources, delivery governance, implementation references.</w:t>
            </w:r>
          </w:p>
        </w:tc>
      </w:tr>
    </w:tbl>
    <w:p>
      <w:pPr>
        <w:spacing w:after="40"/>
      </w:pPr>
    </w:p>
    <w:p>
      <w:pPr>
        <w:pStyle w:val="Heading1"/>
        <w:keepNext/>
        <w:spacing w:before="240" w:after="120"/>
      </w:pPr>
      <w:r>
        <w:t>16. Risk Register and Mitigations</w:t>
      </w:r>
    </w:p>
    <w:tbl>
      <w:tblPr>
        <w:tblW w:type="auto" w:w="0"/>
        <w:jc w:val="center"/>
        <w:tblLayout w:type="autofit"/>
        <w:tblLook w:firstColumn="1" w:firstRow="1" w:lastColumn="0" w:lastRow="0" w:noHBand="0" w:noVBand="1" w:val="04A0"/>
        <w:tblBorders>
          <w:top w:val="single" w:sz="4" w:space="0" w:color="C9D3DD"/>
          <w:left w:val="single" w:sz="4" w:space="0" w:color="C9D3DD"/>
          <w:bottom w:val="single" w:sz="4" w:space="0" w:color="C9D3DD"/>
          <w:right w:val="single" w:sz="4" w:space="0" w:color="C9D3DD"/>
          <w:insideH w:val="single" w:sz="4" w:space="0" w:color="C9D3DD"/>
          <w:insideV w:val="single" w:sz="4" w:space="0" w:color="C9D3DD"/>
        </w:tblBorders>
      </w:tblPr>
      <w:tblGrid>
        <w:gridCol w:w="3331"/>
        <w:gridCol w:w="3331"/>
        <w:gridCol w:w="3331"/>
      </w:tblGrid>
      <w:tr>
        <w:trPr>
          <w:cantSplit/>
        </w:trPr>
        <w:tc>
          <w:tcPr>
            <w:tcW w:type="dxa" w:w="3168"/>
            <w:shd w:fill="17365D"/>
            <w:vAlign w:val="center"/>
          </w:tcPr>
          <w:p>
            <w:pPr>
              <w:spacing w:after="40"/>
            </w:pPr>
            <w:r/>
            <w:r>
              <w:rPr>
                <w:rFonts w:ascii="Arial" w:hAnsi="Arial"/>
                <w:b/>
                <w:color w:val="FFFFFF"/>
                <w:sz w:val="18"/>
              </w:rPr>
              <w:t>Risk</w:t>
            </w:r>
          </w:p>
        </w:tc>
        <w:tc>
          <w:tcPr>
            <w:tcW w:type="dxa" w:w="1152"/>
            <w:shd w:fill="17365D"/>
            <w:vAlign w:val="center"/>
          </w:tcPr>
          <w:p>
            <w:pPr>
              <w:spacing w:after="40"/>
            </w:pPr>
            <w:r/>
            <w:r>
              <w:rPr>
                <w:rFonts w:ascii="Arial" w:hAnsi="Arial"/>
                <w:b/>
                <w:color w:val="FFFFFF"/>
                <w:sz w:val="18"/>
              </w:rPr>
              <w:t>Impact</w:t>
            </w:r>
          </w:p>
        </w:tc>
        <w:tc>
          <w:tcPr>
            <w:tcW w:type="dxa" w:w="5760"/>
            <w:shd w:fill="17365D"/>
            <w:vAlign w:val="center"/>
          </w:tcPr>
          <w:p>
            <w:pPr>
              <w:spacing w:after="40"/>
            </w:pPr>
            <w:r/>
            <w:r>
              <w:rPr>
                <w:rFonts w:ascii="Arial" w:hAnsi="Arial"/>
                <w:b/>
                <w:color w:val="FFFFFF"/>
                <w:sz w:val="18"/>
              </w:rPr>
              <w:t>Mitigation</w:t>
            </w:r>
          </w:p>
        </w:tc>
      </w:tr>
      <w:tr>
        <w:trPr>
          <w:cantSplit/>
        </w:trPr>
        <w:tc>
          <w:tcPr>
            <w:tcW w:type="dxa" w:w="3168"/>
            <w:shd w:fill="FFFFFF"/>
            <w:vAlign w:val="center"/>
          </w:tcPr>
          <w:p>
            <w:pPr>
              <w:spacing w:after="40"/>
            </w:pPr>
            <w:r/>
            <w:r>
              <w:rPr>
                <w:rFonts w:ascii="Arial" w:hAnsi="Arial"/>
                <w:b w:val="0"/>
                <w:color w:val="2F2F2F"/>
                <w:sz w:val="18"/>
              </w:rPr>
              <w:t>Partnership route does not exactly match resource augmentation</w:t>
            </w:r>
          </w:p>
        </w:tc>
        <w:tc>
          <w:tcPr>
            <w:tcW w:type="dxa" w:w="1152"/>
            <w:shd w:fill="FFFFFF"/>
            <w:vAlign w:val="center"/>
          </w:tcPr>
          <w:p>
            <w:pPr>
              <w:spacing w:after="40"/>
            </w:pPr>
            <w:r/>
            <w:r>
              <w:rPr>
                <w:rFonts w:ascii="Arial" w:hAnsi="Arial"/>
                <w:b w:val="0"/>
                <w:color w:val="2F2F2F"/>
                <w:sz w:val="18"/>
              </w:rPr>
              <w:t>High</w:t>
            </w:r>
          </w:p>
        </w:tc>
        <w:tc>
          <w:tcPr>
            <w:tcW w:type="dxa" w:w="5760"/>
            <w:shd w:fill="FFFFFF"/>
            <w:vAlign w:val="center"/>
          </w:tcPr>
          <w:p>
            <w:pPr>
              <w:spacing w:after="40"/>
            </w:pPr>
            <w:r/>
            <w:r>
              <w:rPr>
                <w:rFonts w:ascii="Arial" w:hAnsi="Arial"/>
                <w:b w:val="0"/>
                <w:color w:val="2F2F2F"/>
                <w:sz w:val="18"/>
              </w:rPr>
              <w:t>Present the model clearly and ask Finastra to determine the appropriate route; keep route language flexible.</w:t>
            </w:r>
          </w:p>
        </w:tc>
      </w:tr>
      <w:tr>
        <w:trPr>
          <w:cantSplit/>
        </w:trPr>
        <w:tc>
          <w:tcPr>
            <w:tcW w:type="dxa" w:w="3168"/>
            <w:shd w:fill="F5F8FB"/>
            <w:vAlign w:val="center"/>
          </w:tcPr>
          <w:p>
            <w:pPr>
              <w:spacing w:after="40"/>
            </w:pPr>
            <w:r/>
            <w:r>
              <w:rPr>
                <w:rFonts w:ascii="Arial" w:hAnsi="Arial"/>
                <w:b w:val="0"/>
                <w:color w:val="2F2F2F"/>
                <w:sz w:val="18"/>
              </w:rPr>
              <w:t>Key resource availability changes</w:t>
            </w:r>
          </w:p>
        </w:tc>
        <w:tc>
          <w:tcPr>
            <w:tcW w:type="dxa" w:w="1152"/>
            <w:shd w:fill="F5F8FB"/>
            <w:vAlign w:val="center"/>
          </w:tcPr>
          <w:p>
            <w:pPr>
              <w:spacing w:after="40"/>
            </w:pPr>
            <w:r/>
            <w:r>
              <w:rPr>
                <w:rFonts w:ascii="Arial" w:hAnsi="Arial"/>
                <w:b w:val="0"/>
                <w:color w:val="2F2F2F"/>
                <w:sz w:val="18"/>
              </w:rPr>
              <w:t>High</w:t>
            </w:r>
          </w:p>
        </w:tc>
        <w:tc>
          <w:tcPr>
            <w:tcW w:type="dxa" w:w="5760"/>
            <w:shd w:fill="F5F8FB"/>
            <w:vAlign w:val="center"/>
          </w:tcPr>
          <w:p>
            <w:pPr>
              <w:spacing w:after="40"/>
            </w:pPr>
            <w:r/>
            <w:r>
              <w:rPr>
                <w:rFonts w:ascii="Arial" w:hAnsi="Arial"/>
                <w:b w:val="0"/>
                <w:color w:val="2F2F2F"/>
                <w:sz w:val="18"/>
              </w:rPr>
              <w:t>Maintain more than one candidate per critical role once hiring begins; obtain written availability before committing.</w:t>
            </w:r>
          </w:p>
        </w:tc>
      </w:tr>
      <w:tr>
        <w:trPr>
          <w:cantSplit/>
        </w:trPr>
        <w:tc>
          <w:tcPr>
            <w:tcW w:type="dxa" w:w="3168"/>
            <w:shd w:fill="FFFFFF"/>
            <w:vAlign w:val="center"/>
          </w:tcPr>
          <w:p>
            <w:pPr>
              <w:spacing w:after="40"/>
            </w:pPr>
            <w:r/>
            <w:r>
              <w:rPr>
                <w:rFonts w:ascii="Arial" w:hAnsi="Arial"/>
                <w:b w:val="0"/>
                <w:color w:val="2F2F2F"/>
                <w:sz w:val="18"/>
              </w:rPr>
              <w:t>Certification takes longer than expected</w:t>
            </w:r>
          </w:p>
        </w:tc>
        <w:tc>
          <w:tcPr>
            <w:tcW w:type="dxa" w:w="1152"/>
            <w:shd w:fill="FFFFFF"/>
            <w:vAlign w:val="center"/>
          </w:tcPr>
          <w:p>
            <w:pPr>
              <w:spacing w:after="40"/>
            </w:pPr>
            <w:r/>
            <w:r>
              <w:rPr>
                <w:rFonts w:ascii="Arial" w:hAnsi="Arial"/>
                <w:b w:val="0"/>
                <w:color w:val="2F2F2F"/>
                <w:sz w:val="18"/>
              </w:rPr>
              <w:t>Medium/High</w:t>
            </w:r>
          </w:p>
        </w:tc>
        <w:tc>
          <w:tcPr>
            <w:tcW w:type="dxa" w:w="5760"/>
            <w:shd w:fill="FFFFFF"/>
            <w:vAlign w:val="center"/>
          </w:tcPr>
          <w:p>
            <w:pPr>
              <w:spacing w:after="40"/>
            </w:pPr>
            <w:r/>
            <w:r>
              <w:rPr>
                <w:rFonts w:ascii="Arial" w:hAnsi="Arial"/>
                <w:b w:val="0"/>
                <w:color w:val="2F2F2F"/>
                <w:sz w:val="18"/>
              </w:rPr>
              <w:t>Identify role/product certification requirements early and plan a staged enablement path.</w:t>
            </w:r>
          </w:p>
        </w:tc>
      </w:tr>
      <w:tr>
        <w:trPr>
          <w:cantSplit/>
        </w:trPr>
        <w:tc>
          <w:tcPr>
            <w:tcW w:type="dxa" w:w="3168"/>
            <w:shd w:fill="F5F8FB"/>
            <w:vAlign w:val="center"/>
          </w:tcPr>
          <w:p>
            <w:pPr>
              <w:spacing w:after="40"/>
            </w:pPr>
            <w:r/>
            <w:r>
              <w:rPr>
                <w:rFonts w:ascii="Arial" w:hAnsi="Arial"/>
                <w:b w:val="0"/>
                <w:color w:val="2F2F2F"/>
                <w:sz w:val="18"/>
              </w:rPr>
              <w:t>Insufficient utilization after hiring</w:t>
            </w:r>
          </w:p>
        </w:tc>
        <w:tc>
          <w:tcPr>
            <w:tcW w:type="dxa" w:w="1152"/>
            <w:shd w:fill="F5F8FB"/>
            <w:vAlign w:val="center"/>
          </w:tcPr>
          <w:p>
            <w:pPr>
              <w:spacing w:after="40"/>
            </w:pPr>
            <w:r/>
            <w:r>
              <w:rPr>
                <w:rFonts w:ascii="Arial" w:hAnsi="Arial"/>
                <w:b w:val="0"/>
                <w:color w:val="2F2F2F"/>
                <w:sz w:val="18"/>
              </w:rPr>
              <w:t>High</w:t>
            </w:r>
          </w:p>
        </w:tc>
        <w:tc>
          <w:tcPr>
            <w:tcW w:type="dxa" w:w="5760"/>
            <w:shd w:fill="F5F8FB"/>
            <w:vAlign w:val="center"/>
          </w:tcPr>
          <w:p>
            <w:pPr>
              <w:spacing w:after="40"/>
            </w:pPr>
            <w:r/>
            <w:r>
              <w:rPr>
                <w:rFonts w:ascii="Arial" w:hAnsi="Arial"/>
                <w:b w:val="0"/>
                <w:color w:val="2F2F2F"/>
                <w:sz w:val="18"/>
              </w:rPr>
              <w:t>Recruit against confirmed demand; keep initial bench small.</w:t>
            </w:r>
          </w:p>
        </w:tc>
      </w:tr>
      <w:tr>
        <w:trPr>
          <w:cantSplit/>
        </w:trPr>
        <w:tc>
          <w:tcPr>
            <w:tcW w:type="dxa" w:w="3168"/>
            <w:shd w:fill="FFFFFF"/>
            <w:vAlign w:val="center"/>
          </w:tcPr>
          <w:p>
            <w:pPr>
              <w:spacing w:after="40"/>
            </w:pPr>
            <w:r/>
            <w:r>
              <w:rPr>
                <w:rFonts w:ascii="Arial" w:hAnsi="Arial"/>
                <w:b w:val="0"/>
                <w:color w:val="2F2F2F"/>
                <w:sz w:val="18"/>
              </w:rPr>
              <w:t>Client payment delays create payroll pressure</w:t>
            </w:r>
          </w:p>
        </w:tc>
        <w:tc>
          <w:tcPr>
            <w:tcW w:type="dxa" w:w="1152"/>
            <w:shd w:fill="FFFFFF"/>
            <w:vAlign w:val="center"/>
          </w:tcPr>
          <w:p>
            <w:pPr>
              <w:spacing w:after="40"/>
            </w:pPr>
            <w:r/>
            <w:r>
              <w:rPr>
                <w:rFonts w:ascii="Arial" w:hAnsi="Arial"/>
                <w:b w:val="0"/>
                <w:color w:val="2F2F2F"/>
                <w:sz w:val="18"/>
              </w:rPr>
              <w:t>High</w:t>
            </w:r>
          </w:p>
        </w:tc>
        <w:tc>
          <w:tcPr>
            <w:tcW w:type="dxa" w:w="5760"/>
            <w:shd w:fill="FFFFFF"/>
            <w:vAlign w:val="center"/>
          </w:tcPr>
          <w:p>
            <w:pPr>
              <w:spacing w:after="40"/>
            </w:pPr>
            <w:r/>
            <w:r>
              <w:rPr>
                <w:rFonts w:ascii="Arial" w:hAnsi="Arial"/>
                <w:b w:val="0"/>
                <w:color w:val="2F2F2F"/>
                <w:sz w:val="18"/>
              </w:rPr>
              <w:t>Negotiate workable payment terms and maintain working-capital reserve.</w:t>
            </w:r>
          </w:p>
        </w:tc>
      </w:tr>
      <w:tr>
        <w:trPr>
          <w:cantSplit/>
        </w:trPr>
        <w:tc>
          <w:tcPr>
            <w:tcW w:type="dxa" w:w="3168"/>
            <w:shd w:fill="F5F8FB"/>
            <w:vAlign w:val="center"/>
          </w:tcPr>
          <w:p>
            <w:pPr>
              <w:spacing w:after="40"/>
            </w:pPr>
            <w:r/>
            <w:r>
              <w:rPr>
                <w:rFonts w:ascii="Arial" w:hAnsi="Arial"/>
                <w:b w:val="0"/>
                <w:color w:val="2F2F2F"/>
                <w:sz w:val="18"/>
              </w:rPr>
              <w:t>Transition creates conflict with current employer</w:t>
            </w:r>
          </w:p>
        </w:tc>
        <w:tc>
          <w:tcPr>
            <w:tcW w:type="dxa" w:w="1152"/>
            <w:shd w:fill="F5F8FB"/>
            <w:vAlign w:val="center"/>
          </w:tcPr>
          <w:p>
            <w:pPr>
              <w:spacing w:after="40"/>
            </w:pPr>
            <w:r/>
            <w:r>
              <w:rPr>
                <w:rFonts w:ascii="Arial" w:hAnsi="Arial"/>
                <w:b w:val="0"/>
                <w:color w:val="2F2F2F"/>
                <w:sz w:val="18"/>
              </w:rPr>
              <w:t>High</w:t>
            </w:r>
          </w:p>
        </w:tc>
        <w:tc>
          <w:tcPr>
            <w:tcW w:type="dxa" w:w="5760"/>
            <w:shd w:fill="F5F8FB"/>
            <w:vAlign w:val="center"/>
          </w:tcPr>
          <w:p>
            <w:pPr>
              <w:spacing w:after="40"/>
            </w:pPr>
            <w:r/>
            <w:r>
              <w:rPr>
                <w:rFonts w:ascii="Arial" w:hAnsi="Arial"/>
                <w:b w:val="0"/>
                <w:color w:val="2F2F2F"/>
                <w:sz w:val="18"/>
              </w:rPr>
              <w:t>Obtain legal advice; respect confidentiality, IP, non-solicitation and competition obligations; separate current employment from future company activity.</w:t>
            </w:r>
          </w:p>
        </w:tc>
      </w:tr>
      <w:tr>
        <w:trPr>
          <w:cantSplit/>
        </w:trPr>
        <w:tc>
          <w:tcPr>
            <w:tcW w:type="dxa" w:w="3168"/>
            <w:shd w:fill="FFFFFF"/>
            <w:vAlign w:val="center"/>
          </w:tcPr>
          <w:p>
            <w:pPr>
              <w:spacing w:after="40"/>
            </w:pPr>
            <w:r/>
            <w:r>
              <w:rPr>
                <w:rFonts w:ascii="Arial" w:hAnsi="Arial"/>
                <w:b w:val="0"/>
                <w:color w:val="2F2F2F"/>
                <w:sz w:val="18"/>
              </w:rPr>
              <w:t>Over-reliance on founder relationships</w:t>
            </w:r>
          </w:p>
        </w:tc>
        <w:tc>
          <w:tcPr>
            <w:tcW w:type="dxa" w:w="1152"/>
            <w:shd w:fill="FFFFFF"/>
            <w:vAlign w:val="center"/>
          </w:tcPr>
          <w:p>
            <w:pPr>
              <w:spacing w:after="40"/>
            </w:pPr>
            <w:r/>
            <w:r>
              <w:rPr>
                <w:rFonts w:ascii="Arial" w:hAnsi="Arial"/>
                <w:b w:val="0"/>
                <w:color w:val="2F2F2F"/>
                <w:sz w:val="18"/>
              </w:rPr>
              <w:t>Medium</w:t>
            </w:r>
          </w:p>
        </w:tc>
        <w:tc>
          <w:tcPr>
            <w:tcW w:type="dxa" w:w="5760"/>
            <w:shd w:fill="FFFFFF"/>
            <w:vAlign w:val="center"/>
          </w:tcPr>
          <w:p>
            <w:pPr>
              <w:spacing w:after="40"/>
            </w:pPr>
            <w:r/>
            <w:r>
              <w:rPr>
                <w:rFonts w:ascii="Arial" w:hAnsi="Arial"/>
                <w:b w:val="0"/>
                <w:color w:val="2F2F2F"/>
                <w:sz w:val="18"/>
              </w:rPr>
              <w:t>Convert personal knowledge into repeatable recruitment, delivery and business-development processes.</w:t>
            </w:r>
          </w:p>
        </w:tc>
      </w:tr>
      <w:tr>
        <w:trPr>
          <w:cantSplit/>
        </w:trPr>
        <w:tc>
          <w:tcPr>
            <w:tcW w:type="dxa" w:w="3168"/>
            <w:shd w:fill="F5F8FB"/>
            <w:vAlign w:val="center"/>
          </w:tcPr>
          <w:p>
            <w:pPr>
              <w:spacing w:after="40"/>
            </w:pPr>
            <w:r/>
            <w:r>
              <w:rPr>
                <w:rFonts w:ascii="Arial" w:hAnsi="Arial"/>
                <w:b w:val="0"/>
                <w:color w:val="2F2F2F"/>
                <w:sz w:val="18"/>
              </w:rPr>
              <w:t>Arabic-only talent pool becomes too narrow</w:t>
            </w:r>
          </w:p>
        </w:tc>
        <w:tc>
          <w:tcPr>
            <w:tcW w:type="dxa" w:w="1152"/>
            <w:shd w:fill="F5F8FB"/>
            <w:vAlign w:val="center"/>
          </w:tcPr>
          <w:p>
            <w:pPr>
              <w:spacing w:after="40"/>
            </w:pPr>
            <w:r/>
            <w:r>
              <w:rPr>
                <w:rFonts w:ascii="Arial" w:hAnsi="Arial"/>
                <w:b w:val="0"/>
                <w:color w:val="2F2F2F"/>
                <w:sz w:val="18"/>
              </w:rPr>
              <w:t>Medium</w:t>
            </w:r>
          </w:p>
        </w:tc>
        <w:tc>
          <w:tcPr>
            <w:tcW w:type="dxa" w:w="5760"/>
            <w:shd w:fill="F5F8FB"/>
            <w:vAlign w:val="center"/>
          </w:tcPr>
          <w:p>
            <w:pPr>
              <w:spacing w:after="40"/>
            </w:pPr>
            <w:r/>
            <w:r>
              <w:rPr>
                <w:rFonts w:ascii="Arial" w:hAnsi="Arial"/>
                <w:b w:val="0"/>
                <w:color w:val="2F2F2F"/>
                <w:sz w:val="18"/>
              </w:rPr>
              <w:t>Use Arabic fluency as a strategic priority, not an absolute rule; recruit non-Arabic specialists when needed.</w:t>
            </w:r>
          </w:p>
        </w:tc>
      </w:tr>
    </w:tbl>
    <w:p>
      <w:pPr>
        <w:spacing w:after="40"/>
      </w:pPr>
    </w:p>
    <w:p>
      <w:pPr>
        <w:pStyle w:val="Heading1"/>
        <w:keepNext/>
        <w:spacing w:before="240" w:after="120"/>
      </w:pPr>
      <w:r>
        <w:t>17. Evidence and Document Checklist</w:t>
      </w:r>
    </w:p>
    <w:tbl>
      <w:tblPr>
        <w:tblW w:type="auto" w:w="0"/>
        <w:jc w:val="center"/>
        <w:tblLayout w:type="autofit"/>
        <w:tblLook w:firstColumn="1" w:firstRow="1" w:lastColumn="0" w:lastRow="0" w:noHBand="0" w:noVBand="1" w:val="04A0"/>
        <w:tblBorders>
          <w:top w:val="single" w:sz="4" w:space="0" w:color="C9D3DD"/>
          <w:left w:val="single" w:sz="4" w:space="0" w:color="C9D3DD"/>
          <w:bottom w:val="single" w:sz="4" w:space="0" w:color="C9D3DD"/>
          <w:right w:val="single" w:sz="4" w:space="0" w:color="C9D3DD"/>
          <w:insideH w:val="single" w:sz="4" w:space="0" w:color="C9D3DD"/>
          <w:insideV w:val="single" w:sz="4" w:space="0" w:color="C9D3DD"/>
        </w:tblBorders>
      </w:tblPr>
      <w:tblGrid>
        <w:gridCol w:w="3331"/>
        <w:gridCol w:w="3331"/>
        <w:gridCol w:w="3331"/>
      </w:tblGrid>
      <w:tr>
        <w:trPr>
          <w:cantSplit/>
        </w:trPr>
        <w:tc>
          <w:tcPr>
            <w:tcW w:type="dxa" w:w="4896"/>
            <w:shd w:fill="17365D"/>
            <w:vAlign w:val="center"/>
          </w:tcPr>
          <w:p>
            <w:pPr>
              <w:spacing w:after="40"/>
            </w:pPr>
            <w:r/>
            <w:r>
              <w:rPr>
                <w:rFonts w:ascii="Arial" w:hAnsi="Arial"/>
                <w:b/>
                <w:color w:val="FFFFFF"/>
                <w:sz w:val="18"/>
              </w:rPr>
              <w:t>Evidence</w:t>
            </w:r>
          </w:p>
        </w:tc>
        <w:tc>
          <w:tcPr>
            <w:tcW w:type="dxa" w:w="3744"/>
            <w:shd w:fill="17365D"/>
            <w:vAlign w:val="center"/>
          </w:tcPr>
          <w:p>
            <w:pPr>
              <w:spacing w:after="40"/>
            </w:pPr>
            <w:r/>
            <w:r>
              <w:rPr>
                <w:rFonts w:ascii="Arial" w:hAnsi="Arial"/>
                <w:b/>
                <w:color w:val="FFFFFF"/>
                <w:sz w:val="18"/>
              </w:rPr>
              <w:t>Current status</w:t>
            </w:r>
          </w:p>
        </w:tc>
        <w:tc>
          <w:tcPr>
            <w:tcW w:type="dxa" w:w="1440"/>
            <w:shd w:fill="17365D"/>
            <w:vAlign w:val="center"/>
          </w:tcPr>
          <w:p>
            <w:pPr>
              <w:spacing w:after="40"/>
            </w:pPr>
            <w:r/>
            <w:r>
              <w:rPr>
                <w:rFonts w:ascii="Arial" w:hAnsi="Arial"/>
                <w:b/>
                <w:color w:val="FFFFFF"/>
                <w:sz w:val="18"/>
              </w:rPr>
              <w:t>Priority</w:t>
            </w:r>
          </w:p>
        </w:tc>
      </w:tr>
      <w:tr>
        <w:trPr>
          <w:cantSplit/>
        </w:trPr>
        <w:tc>
          <w:tcPr>
            <w:tcW w:type="dxa" w:w="4896"/>
            <w:shd w:fill="FFFFFF"/>
            <w:vAlign w:val="center"/>
          </w:tcPr>
          <w:p>
            <w:pPr>
              <w:spacing w:after="40"/>
            </w:pPr>
            <w:r/>
            <w:r>
              <w:rPr>
                <w:rFonts w:ascii="Arial" w:hAnsi="Arial"/>
                <w:b w:val="0"/>
                <w:color w:val="2F2F2F"/>
                <w:sz w:val="18"/>
              </w:rPr>
              <w:t>Company incorporation / LLC documents</w:t>
            </w:r>
          </w:p>
        </w:tc>
        <w:tc>
          <w:tcPr>
            <w:tcW w:type="dxa" w:w="3744"/>
            <w:shd w:fill="FFFFFF"/>
            <w:vAlign w:val="center"/>
          </w:tcPr>
          <w:p>
            <w:pPr>
              <w:spacing w:after="40"/>
            </w:pPr>
            <w:r/>
            <w:r>
              <w:rPr>
                <w:rFonts w:ascii="Arial" w:hAnsi="Arial"/>
                <w:b w:val="0"/>
                <w:color w:val="2F2F2F"/>
                <w:sz w:val="18"/>
              </w:rPr>
              <w:t>Available</w:t>
            </w:r>
          </w:p>
        </w:tc>
        <w:tc>
          <w:tcPr>
            <w:tcW w:type="dxa" w:w="1440"/>
            <w:shd w:fill="FFFFFF"/>
            <w:vAlign w:val="center"/>
          </w:tcPr>
          <w:p>
            <w:pPr>
              <w:spacing w:after="40"/>
            </w:pPr>
            <w:r/>
            <w:r>
              <w:rPr>
                <w:rFonts w:ascii="Arial" w:hAnsi="Arial"/>
                <w:b w:val="0"/>
                <w:color w:val="2F2F2F"/>
                <w:sz w:val="18"/>
              </w:rPr>
              <w:t>High</w:t>
            </w:r>
          </w:p>
        </w:tc>
      </w:tr>
      <w:tr>
        <w:trPr>
          <w:cantSplit/>
        </w:trPr>
        <w:tc>
          <w:tcPr>
            <w:tcW w:type="dxa" w:w="4896"/>
            <w:shd w:fill="F5F8FB"/>
            <w:vAlign w:val="center"/>
          </w:tcPr>
          <w:p>
            <w:pPr>
              <w:spacing w:after="40"/>
            </w:pPr>
            <w:r/>
            <w:r>
              <w:rPr>
                <w:rFonts w:ascii="Arial" w:hAnsi="Arial"/>
                <w:b w:val="0"/>
                <w:color w:val="2F2F2F"/>
                <w:sz w:val="18"/>
              </w:rPr>
              <w:t>Commercial registration</w:t>
            </w:r>
          </w:p>
        </w:tc>
        <w:tc>
          <w:tcPr>
            <w:tcW w:type="dxa" w:w="3744"/>
            <w:shd w:fill="F5F8FB"/>
            <w:vAlign w:val="center"/>
          </w:tcPr>
          <w:p>
            <w:pPr>
              <w:spacing w:after="40"/>
            </w:pPr>
            <w:r/>
            <w:r>
              <w:rPr>
                <w:rFonts w:ascii="Arial" w:hAnsi="Arial"/>
                <w:b w:val="0"/>
                <w:color w:val="2F2F2F"/>
                <w:sz w:val="18"/>
              </w:rPr>
              <w:t>Available</w:t>
            </w:r>
          </w:p>
        </w:tc>
        <w:tc>
          <w:tcPr>
            <w:tcW w:type="dxa" w:w="1440"/>
            <w:shd w:fill="F5F8FB"/>
            <w:vAlign w:val="center"/>
          </w:tcPr>
          <w:p>
            <w:pPr>
              <w:spacing w:after="40"/>
            </w:pPr>
            <w:r/>
            <w:r>
              <w:rPr>
                <w:rFonts w:ascii="Arial" w:hAnsi="Arial"/>
                <w:b w:val="0"/>
                <w:color w:val="2F2F2F"/>
                <w:sz w:val="18"/>
              </w:rPr>
              <w:t>High</w:t>
            </w:r>
          </w:p>
        </w:tc>
      </w:tr>
      <w:tr>
        <w:trPr>
          <w:cantSplit/>
        </w:trPr>
        <w:tc>
          <w:tcPr>
            <w:tcW w:type="dxa" w:w="4896"/>
            <w:shd w:fill="FFFFFF"/>
            <w:vAlign w:val="center"/>
          </w:tcPr>
          <w:p>
            <w:pPr>
              <w:spacing w:after="40"/>
            </w:pPr>
            <w:r/>
            <w:r>
              <w:rPr>
                <w:rFonts w:ascii="Arial" w:hAnsi="Arial"/>
                <w:b w:val="0"/>
                <w:color w:val="2F2F2F"/>
                <w:sz w:val="18"/>
              </w:rPr>
              <w:t>Tax registration</w:t>
            </w:r>
          </w:p>
        </w:tc>
        <w:tc>
          <w:tcPr>
            <w:tcW w:type="dxa" w:w="3744"/>
            <w:shd w:fill="FFFFFF"/>
            <w:vAlign w:val="center"/>
          </w:tcPr>
          <w:p>
            <w:pPr>
              <w:spacing w:after="40"/>
            </w:pPr>
            <w:r/>
            <w:r>
              <w:rPr>
                <w:rFonts w:ascii="Arial" w:hAnsi="Arial"/>
                <w:b w:val="0"/>
                <w:color w:val="2F2F2F"/>
                <w:sz w:val="18"/>
              </w:rPr>
              <w:t>Available</w:t>
            </w:r>
          </w:p>
        </w:tc>
        <w:tc>
          <w:tcPr>
            <w:tcW w:type="dxa" w:w="1440"/>
            <w:shd w:fill="FFFFFF"/>
            <w:vAlign w:val="center"/>
          </w:tcPr>
          <w:p>
            <w:pPr>
              <w:spacing w:after="40"/>
            </w:pPr>
            <w:r/>
            <w:r>
              <w:rPr>
                <w:rFonts w:ascii="Arial" w:hAnsi="Arial"/>
                <w:b w:val="0"/>
                <w:color w:val="2F2F2F"/>
                <w:sz w:val="18"/>
              </w:rPr>
              <w:t>High</w:t>
            </w:r>
          </w:p>
        </w:tc>
      </w:tr>
      <w:tr>
        <w:trPr>
          <w:cantSplit/>
        </w:trPr>
        <w:tc>
          <w:tcPr>
            <w:tcW w:type="dxa" w:w="4896"/>
            <w:shd w:fill="F5F8FB"/>
            <w:vAlign w:val="center"/>
          </w:tcPr>
          <w:p>
            <w:pPr>
              <w:spacing w:after="40"/>
            </w:pPr>
            <w:r/>
            <w:r>
              <w:rPr>
                <w:rFonts w:ascii="Arial" w:hAnsi="Arial"/>
                <w:b w:val="0"/>
                <w:color w:val="2F2F2F"/>
                <w:sz w:val="18"/>
              </w:rPr>
              <w:t>Corporate bank account</w:t>
            </w:r>
          </w:p>
        </w:tc>
        <w:tc>
          <w:tcPr>
            <w:tcW w:type="dxa" w:w="3744"/>
            <w:shd w:fill="F5F8FB"/>
            <w:vAlign w:val="center"/>
          </w:tcPr>
          <w:p>
            <w:pPr>
              <w:spacing w:after="40"/>
            </w:pPr>
            <w:r/>
            <w:r>
              <w:rPr>
                <w:rFonts w:ascii="Arial" w:hAnsi="Arial"/>
                <w:b w:val="0"/>
                <w:color w:val="2F2F2F"/>
                <w:sz w:val="18"/>
              </w:rPr>
              <w:t>Available</w:t>
            </w:r>
          </w:p>
        </w:tc>
        <w:tc>
          <w:tcPr>
            <w:tcW w:type="dxa" w:w="1440"/>
            <w:shd w:fill="F5F8FB"/>
            <w:vAlign w:val="center"/>
          </w:tcPr>
          <w:p>
            <w:pPr>
              <w:spacing w:after="40"/>
            </w:pPr>
            <w:r/>
            <w:r>
              <w:rPr>
                <w:rFonts w:ascii="Arial" w:hAnsi="Arial"/>
                <w:b w:val="0"/>
                <w:color w:val="2F2F2F"/>
                <w:sz w:val="18"/>
              </w:rPr>
              <w:t>High</w:t>
            </w:r>
          </w:p>
        </w:tc>
      </w:tr>
      <w:tr>
        <w:trPr>
          <w:cantSplit/>
        </w:trPr>
        <w:tc>
          <w:tcPr>
            <w:tcW w:type="dxa" w:w="4896"/>
            <w:shd w:fill="FFFFFF"/>
            <w:vAlign w:val="center"/>
          </w:tcPr>
          <w:p>
            <w:pPr>
              <w:spacing w:after="40"/>
            </w:pPr>
            <w:r/>
            <w:r>
              <w:rPr>
                <w:rFonts w:ascii="Arial" w:hAnsi="Arial"/>
                <w:b w:val="0"/>
                <w:color w:val="2F2F2F"/>
                <w:sz w:val="18"/>
              </w:rPr>
              <w:t>Founder CV / certificates</w:t>
            </w:r>
          </w:p>
        </w:tc>
        <w:tc>
          <w:tcPr>
            <w:tcW w:type="dxa" w:w="3744"/>
            <w:shd w:fill="FFFFFF"/>
            <w:vAlign w:val="center"/>
          </w:tcPr>
          <w:p>
            <w:pPr>
              <w:spacing w:after="40"/>
            </w:pPr>
            <w:r/>
            <w:r>
              <w:rPr>
                <w:rFonts w:ascii="Arial" w:hAnsi="Arial"/>
                <w:b w:val="0"/>
                <w:color w:val="2F2F2F"/>
                <w:sz w:val="18"/>
              </w:rPr>
              <w:t>Available / to format</w:t>
            </w:r>
          </w:p>
        </w:tc>
        <w:tc>
          <w:tcPr>
            <w:tcW w:type="dxa" w:w="1440"/>
            <w:shd w:fill="FFFFFF"/>
            <w:vAlign w:val="center"/>
          </w:tcPr>
          <w:p>
            <w:pPr>
              <w:spacing w:after="40"/>
            </w:pPr>
            <w:r/>
            <w:r>
              <w:rPr>
                <w:rFonts w:ascii="Arial" w:hAnsi="Arial"/>
                <w:b w:val="0"/>
                <w:color w:val="2F2F2F"/>
                <w:sz w:val="18"/>
              </w:rPr>
              <w:t>High</w:t>
            </w:r>
          </w:p>
        </w:tc>
      </w:tr>
      <w:tr>
        <w:trPr>
          <w:cantSplit/>
        </w:trPr>
        <w:tc>
          <w:tcPr>
            <w:tcW w:type="dxa" w:w="4896"/>
            <w:shd w:fill="F5F8FB"/>
            <w:vAlign w:val="center"/>
          </w:tcPr>
          <w:p>
            <w:pPr>
              <w:spacing w:after="40"/>
            </w:pPr>
            <w:r/>
            <w:r>
              <w:rPr>
                <w:rFonts w:ascii="Arial" w:hAnsi="Arial"/>
                <w:b w:val="0"/>
                <w:color w:val="2F2F2F"/>
                <w:sz w:val="18"/>
              </w:rPr>
              <w:t>Co-founder HR CV / certificates</w:t>
            </w:r>
          </w:p>
        </w:tc>
        <w:tc>
          <w:tcPr>
            <w:tcW w:type="dxa" w:w="3744"/>
            <w:shd w:fill="F5F8FB"/>
            <w:vAlign w:val="center"/>
          </w:tcPr>
          <w:p>
            <w:pPr>
              <w:spacing w:after="40"/>
            </w:pPr>
            <w:r/>
            <w:r>
              <w:rPr>
                <w:rFonts w:ascii="Arial" w:hAnsi="Arial"/>
                <w:b w:val="0"/>
                <w:color w:val="2F2F2F"/>
                <w:sz w:val="18"/>
              </w:rPr>
              <w:t>Available / to format</w:t>
            </w:r>
          </w:p>
        </w:tc>
        <w:tc>
          <w:tcPr>
            <w:tcW w:type="dxa" w:w="1440"/>
            <w:shd w:fill="F5F8FB"/>
            <w:vAlign w:val="center"/>
          </w:tcPr>
          <w:p>
            <w:pPr>
              <w:spacing w:after="40"/>
            </w:pPr>
            <w:r/>
            <w:r>
              <w:rPr>
                <w:rFonts w:ascii="Arial" w:hAnsi="Arial"/>
                <w:b w:val="0"/>
                <w:color w:val="2F2F2F"/>
                <w:sz w:val="18"/>
              </w:rPr>
              <w:t>High</w:t>
            </w:r>
          </w:p>
        </w:tc>
      </w:tr>
      <w:tr>
        <w:trPr>
          <w:cantSplit/>
        </w:trPr>
        <w:tc>
          <w:tcPr>
            <w:tcW w:type="dxa" w:w="4896"/>
            <w:shd w:fill="FFFFFF"/>
            <w:vAlign w:val="center"/>
          </w:tcPr>
          <w:p>
            <w:pPr>
              <w:spacing w:after="40"/>
            </w:pPr>
            <w:r/>
            <w:r>
              <w:rPr>
                <w:rFonts w:ascii="Arial" w:hAnsi="Arial"/>
                <w:b w:val="0"/>
                <w:color w:val="2F2F2F"/>
                <w:sz w:val="18"/>
              </w:rPr>
              <w:t>Three resource CVs</w:t>
            </w:r>
          </w:p>
        </w:tc>
        <w:tc>
          <w:tcPr>
            <w:tcW w:type="dxa" w:w="3744"/>
            <w:shd w:fill="FFFFFF"/>
            <w:vAlign w:val="center"/>
          </w:tcPr>
          <w:p>
            <w:pPr>
              <w:spacing w:after="40"/>
            </w:pPr>
            <w:r/>
            <w:r>
              <w:rPr>
                <w:rFonts w:ascii="Arial" w:hAnsi="Arial"/>
                <w:b w:val="0"/>
                <w:color w:val="2F2F2F"/>
                <w:sz w:val="18"/>
              </w:rPr>
              <w:t>Need to collect and standardize</w:t>
            </w:r>
          </w:p>
        </w:tc>
        <w:tc>
          <w:tcPr>
            <w:tcW w:type="dxa" w:w="1440"/>
            <w:shd w:fill="FFFFFF"/>
            <w:vAlign w:val="center"/>
          </w:tcPr>
          <w:p>
            <w:pPr>
              <w:spacing w:after="40"/>
            </w:pPr>
            <w:r/>
            <w:r>
              <w:rPr>
                <w:rFonts w:ascii="Arial" w:hAnsi="Arial"/>
                <w:b w:val="0"/>
                <w:color w:val="2F2F2F"/>
                <w:sz w:val="18"/>
              </w:rPr>
              <w:t>High</w:t>
            </w:r>
          </w:p>
        </w:tc>
      </w:tr>
      <w:tr>
        <w:trPr>
          <w:cantSplit/>
        </w:trPr>
        <w:tc>
          <w:tcPr>
            <w:tcW w:type="dxa" w:w="4896"/>
            <w:shd w:fill="F5F8FB"/>
            <w:vAlign w:val="center"/>
          </w:tcPr>
          <w:p>
            <w:pPr>
              <w:spacing w:after="40"/>
            </w:pPr>
            <w:r/>
            <w:r>
              <w:rPr>
                <w:rFonts w:ascii="Arial" w:hAnsi="Arial"/>
                <w:b w:val="0"/>
                <w:color w:val="2F2F2F"/>
                <w:sz w:val="18"/>
              </w:rPr>
              <w:t>Finastra certification details for each resource</w:t>
            </w:r>
          </w:p>
        </w:tc>
        <w:tc>
          <w:tcPr>
            <w:tcW w:type="dxa" w:w="3744"/>
            <w:shd w:fill="F5F8FB"/>
            <w:vAlign w:val="center"/>
          </w:tcPr>
          <w:p>
            <w:pPr>
              <w:spacing w:after="40"/>
            </w:pPr>
            <w:r/>
            <w:r>
              <w:rPr>
                <w:rFonts w:ascii="Arial" w:hAnsi="Arial"/>
                <w:b w:val="0"/>
                <w:color w:val="2F2F2F"/>
                <w:sz w:val="18"/>
              </w:rPr>
              <w:t>Partially known</w:t>
            </w:r>
          </w:p>
        </w:tc>
        <w:tc>
          <w:tcPr>
            <w:tcW w:type="dxa" w:w="1440"/>
            <w:shd w:fill="F5F8FB"/>
            <w:vAlign w:val="center"/>
          </w:tcPr>
          <w:p>
            <w:pPr>
              <w:spacing w:after="40"/>
            </w:pPr>
            <w:r/>
            <w:r>
              <w:rPr>
                <w:rFonts w:ascii="Arial" w:hAnsi="Arial"/>
                <w:b w:val="0"/>
                <w:color w:val="2F2F2F"/>
                <w:sz w:val="18"/>
              </w:rPr>
              <w:t>High</w:t>
            </w:r>
          </w:p>
        </w:tc>
      </w:tr>
      <w:tr>
        <w:trPr>
          <w:cantSplit/>
        </w:trPr>
        <w:tc>
          <w:tcPr>
            <w:tcW w:type="dxa" w:w="4896"/>
            <w:shd w:fill="FFFFFF"/>
            <w:vAlign w:val="center"/>
          </w:tcPr>
          <w:p>
            <w:pPr>
              <w:spacing w:after="40"/>
            </w:pPr>
            <w:r/>
            <w:r>
              <w:rPr>
                <w:rFonts w:ascii="Arial" w:hAnsi="Arial"/>
                <w:b w:val="0"/>
                <w:color w:val="2F2F2F"/>
                <w:sz w:val="18"/>
              </w:rPr>
              <w:t>Resource availability/notice confirmations</w:t>
            </w:r>
          </w:p>
        </w:tc>
        <w:tc>
          <w:tcPr>
            <w:tcW w:type="dxa" w:w="3744"/>
            <w:shd w:fill="FFFFFF"/>
            <w:vAlign w:val="center"/>
          </w:tcPr>
          <w:p>
            <w:pPr>
              <w:spacing w:after="40"/>
            </w:pPr>
            <w:r/>
            <w:r>
              <w:rPr>
                <w:rFonts w:ascii="Arial" w:hAnsi="Arial"/>
                <w:b w:val="0"/>
                <w:color w:val="2F2F2F"/>
                <w:sz w:val="18"/>
              </w:rPr>
              <w:t>Need to formalize</w:t>
            </w:r>
          </w:p>
        </w:tc>
        <w:tc>
          <w:tcPr>
            <w:tcW w:type="dxa" w:w="1440"/>
            <w:shd w:fill="FFFFFF"/>
            <w:vAlign w:val="center"/>
          </w:tcPr>
          <w:p>
            <w:pPr>
              <w:spacing w:after="40"/>
            </w:pPr>
            <w:r/>
            <w:r>
              <w:rPr>
                <w:rFonts w:ascii="Arial" w:hAnsi="Arial"/>
                <w:b w:val="0"/>
                <w:color w:val="2F2F2F"/>
                <w:sz w:val="18"/>
              </w:rPr>
              <w:t>High</w:t>
            </w:r>
          </w:p>
        </w:tc>
      </w:tr>
      <w:tr>
        <w:trPr>
          <w:cantSplit/>
        </w:trPr>
        <w:tc>
          <w:tcPr>
            <w:tcW w:type="dxa" w:w="4896"/>
            <w:shd w:fill="F5F8FB"/>
            <w:vAlign w:val="center"/>
          </w:tcPr>
          <w:p>
            <w:pPr>
              <w:spacing w:after="40"/>
            </w:pPr>
            <w:r/>
            <w:r>
              <w:rPr>
                <w:rFonts w:ascii="Arial" w:hAnsi="Arial"/>
                <w:b w:val="0"/>
                <w:color w:val="2F2F2F"/>
                <w:sz w:val="18"/>
              </w:rPr>
              <w:t>Reference consent list</w:t>
            </w:r>
          </w:p>
        </w:tc>
        <w:tc>
          <w:tcPr>
            <w:tcW w:type="dxa" w:w="3744"/>
            <w:shd w:fill="F5F8FB"/>
            <w:vAlign w:val="center"/>
          </w:tcPr>
          <w:p>
            <w:pPr>
              <w:spacing w:after="40"/>
            </w:pPr>
            <w:r/>
            <w:r>
              <w:rPr>
                <w:rFonts w:ascii="Arial" w:hAnsi="Arial"/>
                <w:b w:val="0"/>
                <w:color w:val="2F2F2F"/>
                <w:sz w:val="18"/>
              </w:rPr>
              <w:t>Potential contacts identified; consent pending</w:t>
            </w:r>
          </w:p>
        </w:tc>
        <w:tc>
          <w:tcPr>
            <w:tcW w:type="dxa" w:w="1440"/>
            <w:shd w:fill="F5F8FB"/>
            <w:vAlign w:val="center"/>
          </w:tcPr>
          <w:p>
            <w:pPr>
              <w:spacing w:after="40"/>
            </w:pPr>
            <w:r/>
            <w:r>
              <w:rPr>
                <w:rFonts w:ascii="Arial" w:hAnsi="Arial"/>
                <w:b w:val="0"/>
                <w:color w:val="2F2F2F"/>
                <w:sz w:val="18"/>
              </w:rPr>
              <w:t>Medium/High</w:t>
            </w:r>
          </w:p>
        </w:tc>
      </w:tr>
      <w:tr>
        <w:trPr>
          <w:cantSplit/>
        </w:trPr>
        <w:tc>
          <w:tcPr>
            <w:tcW w:type="dxa" w:w="4896"/>
            <w:shd w:fill="FFFFFF"/>
            <w:vAlign w:val="center"/>
          </w:tcPr>
          <w:p>
            <w:pPr>
              <w:spacing w:after="40"/>
            </w:pPr>
            <w:r/>
            <w:r>
              <w:rPr>
                <w:rFonts w:ascii="Arial" w:hAnsi="Arial"/>
                <w:b w:val="0"/>
                <w:color w:val="2F2F2F"/>
                <w:sz w:val="18"/>
              </w:rPr>
              <w:t>Insurance requirements</w:t>
            </w:r>
          </w:p>
        </w:tc>
        <w:tc>
          <w:tcPr>
            <w:tcW w:type="dxa" w:w="3744"/>
            <w:shd w:fill="FFFFFF"/>
            <w:vAlign w:val="center"/>
          </w:tcPr>
          <w:p>
            <w:pPr>
              <w:spacing w:after="40"/>
            </w:pPr>
            <w:r/>
            <w:r>
              <w:rPr>
                <w:rFonts w:ascii="Arial" w:hAnsi="Arial"/>
                <w:b w:val="0"/>
                <w:color w:val="2F2F2F"/>
                <w:sz w:val="18"/>
              </w:rPr>
              <w:t>To confirm with Finastra</w:t>
            </w:r>
          </w:p>
        </w:tc>
        <w:tc>
          <w:tcPr>
            <w:tcW w:type="dxa" w:w="1440"/>
            <w:shd w:fill="FFFFFF"/>
            <w:vAlign w:val="center"/>
          </w:tcPr>
          <w:p>
            <w:pPr>
              <w:spacing w:after="40"/>
            </w:pPr>
            <w:r/>
            <w:r>
              <w:rPr>
                <w:rFonts w:ascii="Arial" w:hAnsi="Arial"/>
                <w:b w:val="0"/>
                <w:color w:val="2F2F2F"/>
                <w:sz w:val="18"/>
              </w:rPr>
              <w:t>Medium</w:t>
            </w:r>
          </w:p>
        </w:tc>
      </w:tr>
      <w:tr>
        <w:trPr>
          <w:cantSplit/>
        </w:trPr>
        <w:tc>
          <w:tcPr>
            <w:tcW w:type="dxa" w:w="4896"/>
            <w:shd w:fill="F5F8FB"/>
            <w:vAlign w:val="center"/>
          </w:tcPr>
          <w:p>
            <w:pPr>
              <w:spacing w:after="40"/>
            </w:pPr>
            <w:r/>
            <w:r>
              <w:rPr>
                <w:rFonts w:ascii="Arial" w:hAnsi="Arial"/>
                <w:b w:val="0"/>
                <w:color w:val="2F2F2F"/>
                <w:sz w:val="18"/>
              </w:rPr>
              <w:t>Policies / employment templates</w:t>
            </w:r>
          </w:p>
        </w:tc>
        <w:tc>
          <w:tcPr>
            <w:tcW w:type="dxa" w:w="3744"/>
            <w:shd w:fill="F5F8FB"/>
            <w:vAlign w:val="center"/>
          </w:tcPr>
          <w:p>
            <w:pPr>
              <w:spacing w:after="40"/>
            </w:pPr>
            <w:r/>
            <w:r>
              <w:rPr>
                <w:rFonts w:ascii="Arial" w:hAnsi="Arial"/>
                <w:b w:val="0"/>
                <w:color w:val="2F2F2F"/>
                <w:sz w:val="18"/>
              </w:rPr>
              <w:t>To develop and legally review</w:t>
            </w:r>
          </w:p>
        </w:tc>
        <w:tc>
          <w:tcPr>
            <w:tcW w:type="dxa" w:w="1440"/>
            <w:shd w:fill="F5F8FB"/>
            <w:vAlign w:val="center"/>
          </w:tcPr>
          <w:p>
            <w:pPr>
              <w:spacing w:after="40"/>
            </w:pPr>
            <w:r/>
            <w:r>
              <w:rPr>
                <w:rFonts w:ascii="Arial" w:hAnsi="Arial"/>
                <w:b w:val="0"/>
                <w:color w:val="2F2F2F"/>
                <w:sz w:val="18"/>
              </w:rPr>
              <w:t>Medium</w:t>
            </w:r>
          </w:p>
        </w:tc>
      </w:tr>
      <w:tr>
        <w:trPr>
          <w:cantSplit/>
        </w:trPr>
        <w:tc>
          <w:tcPr>
            <w:tcW w:type="dxa" w:w="4896"/>
            <w:shd w:fill="FFFFFF"/>
            <w:vAlign w:val="center"/>
          </w:tcPr>
          <w:p>
            <w:pPr>
              <w:spacing w:after="40"/>
            </w:pPr>
            <w:r/>
            <w:r>
              <w:rPr>
                <w:rFonts w:ascii="Arial" w:hAnsi="Arial"/>
                <w:b w:val="0"/>
                <w:color w:val="2F2F2F"/>
                <w:sz w:val="18"/>
              </w:rPr>
              <w:t>Financial model</w:t>
            </w:r>
          </w:p>
        </w:tc>
        <w:tc>
          <w:tcPr>
            <w:tcW w:type="dxa" w:w="3744"/>
            <w:shd w:fill="FFFFFF"/>
            <w:vAlign w:val="center"/>
          </w:tcPr>
          <w:p>
            <w:pPr>
              <w:spacing w:after="40"/>
            </w:pPr>
            <w:r/>
            <w:r>
              <w:rPr>
                <w:rFonts w:ascii="Arial" w:hAnsi="Arial"/>
                <w:b w:val="0"/>
                <w:color w:val="2F2F2F"/>
                <w:sz w:val="18"/>
              </w:rPr>
              <w:t>Planning framework established; actual costs pending</w:t>
            </w:r>
          </w:p>
        </w:tc>
        <w:tc>
          <w:tcPr>
            <w:tcW w:type="dxa" w:w="1440"/>
            <w:shd w:fill="FFFFFF"/>
            <w:vAlign w:val="center"/>
          </w:tcPr>
          <w:p>
            <w:pPr>
              <w:spacing w:after="40"/>
            </w:pPr>
            <w:r/>
            <w:r>
              <w:rPr>
                <w:rFonts w:ascii="Arial" w:hAnsi="Arial"/>
                <w:b w:val="0"/>
                <w:color w:val="2F2F2F"/>
                <w:sz w:val="18"/>
              </w:rPr>
              <w:t>Medium</w:t>
            </w:r>
          </w:p>
        </w:tc>
      </w:tr>
      <w:tr>
        <w:trPr>
          <w:cantSplit/>
        </w:trPr>
        <w:tc>
          <w:tcPr>
            <w:tcW w:type="dxa" w:w="4896"/>
            <w:shd w:fill="F5F8FB"/>
            <w:vAlign w:val="center"/>
          </w:tcPr>
          <w:p>
            <w:pPr>
              <w:spacing w:after="40"/>
            </w:pPr>
            <w:r/>
            <w:r>
              <w:rPr>
                <w:rFonts w:ascii="Arial" w:hAnsi="Arial"/>
                <w:b w:val="0"/>
                <w:color w:val="2F2F2F"/>
                <w:sz w:val="18"/>
              </w:rPr>
              <w:t>Current-project non-confidential evidence</w:t>
            </w:r>
          </w:p>
        </w:tc>
        <w:tc>
          <w:tcPr>
            <w:tcW w:type="dxa" w:w="3744"/>
            <w:shd w:fill="F5F8FB"/>
            <w:vAlign w:val="center"/>
          </w:tcPr>
          <w:p>
            <w:pPr>
              <w:spacing w:after="40"/>
            </w:pPr>
            <w:r/>
            <w:r>
              <w:rPr>
                <w:rFonts w:ascii="Arial" w:hAnsi="Arial"/>
                <w:b w:val="0"/>
                <w:color w:val="2F2F2F"/>
                <w:sz w:val="18"/>
              </w:rPr>
              <w:t>To curate carefully</w:t>
            </w:r>
          </w:p>
        </w:tc>
        <w:tc>
          <w:tcPr>
            <w:tcW w:type="dxa" w:w="1440"/>
            <w:shd w:fill="F5F8FB"/>
            <w:vAlign w:val="center"/>
          </w:tcPr>
          <w:p>
            <w:pPr>
              <w:spacing w:after="40"/>
            </w:pPr>
            <w:r/>
            <w:r>
              <w:rPr>
                <w:rFonts w:ascii="Arial" w:hAnsi="Arial"/>
                <w:b w:val="0"/>
                <w:color w:val="2F2F2F"/>
                <w:sz w:val="18"/>
              </w:rPr>
              <w:t>Medium</w:t>
            </w:r>
          </w:p>
        </w:tc>
      </w:tr>
    </w:tbl>
    <w:p>
      <w:pPr>
        <w:spacing w:after="40"/>
      </w:pPr>
    </w:p>
    <w:p>
      <w:pPr>
        <w:pStyle w:val="Heading1"/>
        <w:keepNext/>
        <w:spacing w:before="240" w:after="120"/>
      </w:pPr>
      <w:r>
        <w:t>18. Questions to Confirm with Finastra</w:t>
      </w:r>
    </w:p>
    <w:p>
      <w:pPr>
        <w:pStyle w:val="ListBullet"/>
        <w:spacing w:after="40"/>
        <w:ind w:left="360"/>
      </w:pPr>
      <w:r>
        <w:rPr>
          <w:rFonts w:ascii="Arial" w:hAnsi="Arial"/>
          <w:color w:val="2F2F2F"/>
          <w:sz w:val="20"/>
        </w:rPr>
        <w:t>Which partner route best fits an initial resource-augmentation and professional-services model?</w:t>
      </w:r>
    </w:p>
    <w:p>
      <w:pPr>
        <w:pStyle w:val="ListBullet"/>
        <w:spacing w:after="40"/>
        <w:ind w:left="360"/>
      </w:pPr>
      <w:r>
        <w:rPr>
          <w:rFonts w:ascii="Arial" w:hAnsi="Arial"/>
          <w:color w:val="2F2F2F"/>
          <w:sz w:val="20"/>
        </w:rPr>
        <w:t>Can banqcraft support Finastra delivery through resource augmentation under the selected route, and what are the contractual mechanics?</w:t>
      </w:r>
    </w:p>
    <w:p>
      <w:pPr>
        <w:pStyle w:val="ListBullet"/>
        <w:spacing w:after="40"/>
        <w:ind w:left="360"/>
      </w:pPr>
      <w:r>
        <w:rPr>
          <w:rFonts w:ascii="Arial" w:hAnsi="Arial"/>
          <w:color w:val="2F2F2F"/>
          <w:sz w:val="20"/>
        </w:rPr>
        <w:t>Which FTI/FCC certifications are required for business, techno-functional, technical and integration roles?</w:t>
      </w:r>
    </w:p>
    <w:p>
      <w:pPr>
        <w:pStyle w:val="ListBullet"/>
        <w:spacing w:after="40"/>
        <w:ind w:left="360"/>
      </w:pPr>
      <w:r>
        <w:rPr>
          <w:rFonts w:ascii="Arial" w:hAnsi="Arial"/>
          <w:color w:val="2F2F2F"/>
          <w:sz w:val="20"/>
        </w:rPr>
        <w:t>Does the existing FCA certification of Resource A satisfy any initial capability requirement, and what additional credentials are needed?</w:t>
      </w:r>
    </w:p>
    <w:p>
      <w:pPr>
        <w:pStyle w:val="ListBullet"/>
        <w:spacing w:after="40"/>
        <w:ind w:left="360"/>
      </w:pPr>
      <w:r>
        <w:rPr>
          <w:rFonts w:ascii="Arial" w:hAnsi="Arial"/>
          <w:color w:val="2F2F2F"/>
          <w:sz w:val="20"/>
        </w:rPr>
        <w:t>What evidence of consultant experience is required during qualification?</w:t>
      </w:r>
    </w:p>
    <w:p>
      <w:pPr>
        <w:pStyle w:val="ListBullet"/>
        <w:spacing w:after="40"/>
        <w:ind w:left="360"/>
      </w:pPr>
      <w:r>
        <w:rPr>
          <w:rFonts w:ascii="Arial" w:hAnsi="Arial"/>
          <w:color w:val="2F2F2F"/>
          <w:sz w:val="20"/>
        </w:rPr>
        <w:t>What insurance coverage and limits are required, and at which point in the approval/onboarding process must evidence be produced?</w:t>
      </w:r>
    </w:p>
    <w:p>
      <w:pPr>
        <w:pStyle w:val="ListBullet"/>
        <w:spacing w:after="40"/>
        <w:ind w:left="360"/>
      </w:pPr>
      <w:r>
        <w:rPr>
          <w:rFonts w:ascii="Arial" w:hAnsi="Arial"/>
          <w:color w:val="2F2F2F"/>
          <w:sz w:val="20"/>
        </w:rPr>
        <w:t>What are the rules of engagement for opportunities, subcontracting, resource supply and customer interaction?</w:t>
      </w:r>
    </w:p>
    <w:p>
      <w:pPr>
        <w:pStyle w:val="ListBullet"/>
        <w:spacing w:after="40"/>
        <w:ind w:left="360"/>
      </w:pPr>
      <w:r>
        <w:rPr>
          <w:rFonts w:ascii="Arial" w:hAnsi="Arial"/>
          <w:color w:val="2F2F2F"/>
          <w:sz w:val="20"/>
        </w:rPr>
        <w:t>What minimum corporate, financial, security and compliance documentation is expected?</w:t>
      </w:r>
    </w:p>
    <w:p>
      <w:pPr>
        <w:pStyle w:val="ListBullet"/>
        <w:spacing w:after="40"/>
        <w:ind w:left="360"/>
      </w:pPr>
      <w:r>
        <w:rPr>
          <w:rFonts w:ascii="Arial" w:hAnsi="Arial"/>
          <w:color w:val="2F2F2F"/>
          <w:sz w:val="20"/>
        </w:rPr>
        <w:t>What is the preferred mechanism for progressing from initial resource services toward broader implementation capability?</w:t>
      </w:r>
    </w:p>
    <w:p>
      <w:pPr>
        <w:pStyle w:val="Heading1"/>
        <w:keepNext/>
        <w:spacing w:before="240" w:after="120"/>
      </w:pPr>
      <w:r>
        <w:t>19. External Proposal Content Map</w:t>
      </w:r>
    </w:p>
    <w:tbl>
      <w:tblPr>
        <w:tblW w:type="auto" w:w="0"/>
        <w:jc w:val="center"/>
        <w:tblLayout w:type="autofit"/>
        <w:tblLook w:firstColumn="1" w:firstRow="1" w:lastColumn="0" w:lastRow="0" w:noHBand="0" w:noVBand="1" w:val="04A0"/>
        <w:tblBorders>
          <w:top w:val="single" w:sz="4" w:space="0" w:color="C9D3DD"/>
          <w:left w:val="single" w:sz="4" w:space="0" w:color="C9D3DD"/>
          <w:bottom w:val="single" w:sz="4" w:space="0" w:color="C9D3DD"/>
          <w:right w:val="single" w:sz="4" w:space="0" w:color="C9D3DD"/>
          <w:insideH w:val="single" w:sz="4" w:space="0" w:color="C9D3DD"/>
          <w:insideV w:val="single" w:sz="4" w:space="0" w:color="C9D3DD"/>
        </w:tblBorders>
      </w:tblPr>
      <w:tblGrid>
        <w:gridCol w:w="4997"/>
        <w:gridCol w:w="4997"/>
      </w:tblGrid>
      <w:tr>
        <w:trPr>
          <w:cantSplit/>
        </w:trPr>
        <w:tc>
          <w:tcPr>
            <w:tcW w:type="dxa" w:w="3456"/>
            <w:shd w:fill="17365D"/>
            <w:vAlign w:val="center"/>
          </w:tcPr>
          <w:p>
            <w:pPr>
              <w:spacing w:after="40"/>
            </w:pPr>
            <w:r/>
            <w:r>
              <w:rPr>
                <w:rFonts w:ascii="Arial" w:hAnsi="Arial"/>
                <w:b/>
                <w:color w:val="FFFFFF"/>
                <w:sz w:val="18"/>
              </w:rPr>
              <w:t>External proposal section</w:t>
            </w:r>
          </w:p>
        </w:tc>
        <w:tc>
          <w:tcPr>
            <w:tcW w:type="dxa" w:w="6624"/>
            <w:shd w:fill="17365D"/>
            <w:vAlign w:val="center"/>
          </w:tcPr>
          <w:p>
            <w:pPr>
              <w:spacing w:after="40"/>
            </w:pPr>
            <w:r/>
            <w:r>
              <w:rPr>
                <w:rFonts w:ascii="Arial" w:hAnsi="Arial"/>
                <w:b/>
                <w:color w:val="FFFFFF"/>
                <w:sz w:val="18"/>
              </w:rPr>
              <w:t>Source in this dossier</w:t>
            </w:r>
          </w:p>
        </w:tc>
      </w:tr>
      <w:tr>
        <w:trPr>
          <w:cantSplit/>
        </w:trPr>
        <w:tc>
          <w:tcPr>
            <w:tcW w:type="dxa" w:w="3456"/>
            <w:shd w:fill="FFFFFF"/>
            <w:vAlign w:val="center"/>
          </w:tcPr>
          <w:p>
            <w:pPr>
              <w:spacing w:after="40"/>
            </w:pPr>
            <w:r/>
            <w:r>
              <w:rPr>
                <w:rFonts w:ascii="Arial" w:hAnsi="Arial"/>
                <w:b w:val="0"/>
                <w:color w:val="2F2F2F"/>
                <w:sz w:val="18"/>
              </w:rPr>
              <w:t>Executive summary</w:t>
            </w:r>
          </w:p>
        </w:tc>
        <w:tc>
          <w:tcPr>
            <w:tcW w:type="dxa" w:w="6624"/>
            <w:shd w:fill="FFFFFF"/>
            <w:vAlign w:val="center"/>
          </w:tcPr>
          <w:p>
            <w:pPr>
              <w:spacing w:after="40"/>
            </w:pPr>
            <w:r/>
            <w:r>
              <w:rPr>
                <w:rFonts w:ascii="Arial" w:hAnsi="Arial"/>
                <w:b w:val="0"/>
                <w:color w:val="2F2F2F"/>
                <w:sz w:val="18"/>
              </w:rPr>
              <w:t>Sections 2, 3, 5</w:t>
            </w:r>
          </w:p>
        </w:tc>
      </w:tr>
      <w:tr>
        <w:trPr>
          <w:cantSplit/>
        </w:trPr>
        <w:tc>
          <w:tcPr>
            <w:tcW w:type="dxa" w:w="3456"/>
            <w:shd w:fill="F5F8FB"/>
            <w:vAlign w:val="center"/>
          </w:tcPr>
          <w:p>
            <w:pPr>
              <w:spacing w:after="40"/>
            </w:pPr>
            <w:r/>
            <w:r>
              <w:rPr>
                <w:rFonts w:ascii="Arial" w:hAnsi="Arial"/>
                <w:b w:val="0"/>
                <w:color w:val="2F2F2F"/>
                <w:sz w:val="18"/>
              </w:rPr>
              <w:t>Founding team</w:t>
            </w:r>
          </w:p>
        </w:tc>
        <w:tc>
          <w:tcPr>
            <w:tcW w:type="dxa" w:w="6624"/>
            <w:shd w:fill="F5F8FB"/>
            <w:vAlign w:val="center"/>
          </w:tcPr>
          <w:p>
            <w:pPr>
              <w:spacing w:after="40"/>
            </w:pPr>
            <w:r/>
            <w:r>
              <w:rPr>
                <w:rFonts w:ascii="Arial" w:hAnsi="Arial"/>
                <w:b w:val="0"/>
                <w:color w:val="2F2F2F"/>
                <w:sz w:val="18"/>
              </w:rPr>
              <w:t>Sections 3 and 4</w:t>
            </w:r>
          </w:p>
        </w:tc>
      </w:tr>
      <w:tr>
        <w:trPr>
          <w:cantSplit/>
        </w:trPr>
        <w:tc>
          <w:tcPr>
            <w:tcW w:type="dxa" w:w="3456"/>
            <w:shd w:fill="FFFFFF"/>
            <w:vAlign w:val="center"/>
          </w:tcPr>
          <w:p>
            <w:pPr>
              <w:spacing w:after="40"/>
            </w:pPr>
            <w:r/>
            <w:r>
              <w:rPr>
                <w:rFonts w:ascii="Arial" w:hAnsi="Arial"/>
                <w:b w:val="0"/>
                <w:color w:val="2F2F2F"/>
                <w:sz w:val="18"/>
              </w:rPr>
              <w:t>Market need / Arabic capability</w:t>
            </w:r>
          </w:p>
        </w:tc>
        <w:tc>
          <w:tcPr>
            <w:tcW w:type="dxa" w:w="6624"/>
            <w:shd w:fill="FFFFFF"/>
            <w:vAlign w:val="center"/>
          </w:tcPr>
          <w:p>
            <w:pPr>
              <w:spacing w:after="40"/>
            </w:pPr>
            <w:r/>
            <w:r>
              <w:rPr>
                <w:rFonts w:ascii="Arial" w:hAnsi="Arial"/>
                <w:b w:val="0"/>
                <w:color w:val="2F2F2F"/>
                <w:sz w:val="18"/>
              </w:rPr>
              <w:t>Section 6</w:t>
            </w:r>
          </w:p>
        </w:tc>
      </w:tr>
      <w:tr>
        <w:trPr>
          <w:cantSplit/>
        </w:trPr>
        <w:tc>
          <w:tcPr>
            <w:tcW w:type="dxa" w:w="3456"/>
            <w:shd w:fill="F5F8FB"/>
            <w:vAlign w:val="center"/>
          </w:tcPr>
          <w:p>
            <w:pPr>
              <w:spacing w:after="40"/>
            </w:pPr>
            <w:r/>
            <w:r>
              <w:rPr>
                <w:rFonts w:ascii="Arial" w:hAnsi="Arial"/>
                <w:b w:val="0"/>
                <w:color w:val="2F2F2F"/>
                <w:sz w:val="18"/>
              </w:rPr>
              <w:t>Relevant Finastra project</w:t>
            </w:r>
          </w:p>
        </w:tc>
        <w:tc>
          <w:tcPr>
            <w:tcW w:type="dxa" w:w="6624"/>
            <w:shd w:fill="F5F8FB"/>
            <w:vAlign w:val="center"/>
          </w:tcPr>
          <w:p>
            <w:pPr>
              <w:spacing w:after="40"/>
            </w:pPr>
            <w:r/>
            <w:r>
              <w:rPr>
                <w:rFonts w:ascii="Arial" w:hAnsi="Arial"/>
                <w:b w:val="0"/>
                <w:color w:val="2F2F2F"/>
                <w:sz w:val="18"/>
              </w:rPr>
              <w:t>Section 5</w:t>
            </w:r>
          </w:p>
        </w:tc>
      </w:tr>
      <w:tr>
        <w:trPr>
          <w:cantSplit/>
        </w:trPr>
        <w:tc>
          <w:tcPr>
            <w:tcW w:type="dxa" w:w="3456"/>
            <w:shd w:fill="FFFFFF"/>
            <w:vAlign w:val="center"/>
          </w:tcPr>
          <w:p>
            <w:pPr>
              <w:spacing w:after="40"/>
            </w:pPr>
            <w:r/>
            <w:r>
              <w:rPr>
                <w:rFonts w:ascii="Arial" w:hAnsi="Arial"/>
                <w:b w:val="0"/>
                <w:color w:val="2F2F2F"/>
                <w:sz w:val="18"/>
              </w:rPr>
              <w:t>Initial resources</w:t>
            </w:r>
          </w:p>
        </w:tc>
        <w:tc>
          <w:tcPr>
            <w:tcW w:type="dxa" w:w="6624"/>
            <w:shd w:fill="FFFFFF"/>
            <w:vAlign w:val="center"/>
          </w:tcPr>
          <w:p>
            <w:pPr>
              <w:spacing w:after="40"/>
            </w:pPr>
            <w:r/>
            <w:r>
              <w:rPr>
                <w:rFonts w:ascii="Arial" w:hAnsi="Arial"/>
                <w:b w:val="0"/>
                <w:color w:val="2F2F2F"/>
                <w:sz w:val="18"/>
              </w:rPr>
              <w:t>Section 7</w:t>
            </w:r>
          </w:p>
        </w:tc>
      </w:tr>
      <w:tr>
        <w:trPr>
          <w:cantSplit/>
        </w:trPr>
        <w:tc>
          <w:tcPr>
            <w:tcW w:type="dxa" w:w="3456"/>
            <w:shd w:fill="F5F8FB"/>
            <w:vAlign w:val="center"/>
          </w:tcPr>
          <w:p>
            <w:pPr>
              <w:spacing w:after="40"/>
            </w:pPr>
            <w:r/>
            <w:r>
              <w:rPr>
                <w:rFonts w:ascii="Arial" w:hAnsi="Arial"/>
                <w:b w:val="0"/>
                <w:color w:val="2F2F2F"/>
                <w:sz w:val="18"/>
              </w:rPr>
              <w:t>Operating model</w:t>
            </w:r>
          </w:p>
        </w:tc>
        <w:tc>
          <w:tcPr>
            <w:tcW w:type="dxa" w:w="6624"/>
            <w:shd w:fill="F5F8FB"/>
            <w:vAlign w:val="center"/>
          </w:tcPr>
          <w:p>
            <w:pPr>
              <w:spacing w:after="40"/>
            </w:pPr>
            <w:r/>
            <w:r>
              <w:rPr>
                <w:rFonts w:ascii="Arial" w:hAnsi="Arial"/>
                <w:b w:val="0"/>
                <w:color w:val="2F2F2F"/>
                <w:sz w:val="18"/>
              </w:rPr>
              <w:t>Section 8</w:t>
            </w:r>
          </w:p>
        </w:tc>
      </w:tr>
      <w:tr>
        <w:trPr>
          <w:cantSplit/>
        </w:trPr>
        <w:tc>
          <w:tcPr>
            <w:tcW w:type="dxa" w:w="3456"/>
            <w:shd w:fill="FFFFFF"/>
            <w:vAlign w:val="center"/>
          </w:tcPr>
          <w:p>
            <w:pPr>
              <w:spacing w:after="40"/>
            </w:pPr>
            <w:r/>
            <w:r>
              <w:rPr>
                <w:rFonts w:ascii="Arial" w:hAnsi="Arial"/>
                <w:b w:val="0"/>
                <w:color w:val="2F2F2F"/>
                <w:sz w:val="18"/>
              </w:rPr>
              <w:t>Partnership ask</w:t>
            </w:r>
          </w:p>
        </w:tc>
        <w:tc>
          <w:tcPr>
            <w:tcW w:type="dxa" w:w="6624"/>
            <w:shd w:fill="FFFFFF"/>
            <w:vAlign w:val="center"/>
          </w:tcPr>
          <w:p>
            <w:pPr>
              <w:spacing w:after="40"/>
            </w:pPr>
            <w:r/>
            <w:r>
              <w:rPr>
                <w:rFonts w:ascii="Arial" w:hAnsi="Arial"/>
                <w:b w:val="0"/>
                <w:color w:val="2F2F2F"/>
                <w:sz w:val="18"/>
              </w:rPr>
              <w:t>Section 9 and questions in Section 18</w:t>
            </w:r>
          </w:p>
        </w:tc>
      </w:tr>
      <w:tr>
        <w:trPr>
          <w:cantSplit/>
        </w:trPr>
        <w:tc>
          <w:tcPr>
            <w:tcW w:type="dxa" w:w="3456"/>
            <w:shd w:fill="F5F8FB"/>
            <w:vAlign w:val="center"/>
          </w:tcPr>
          <w:p>
            <w:pPr>
              <w:spacing w:after="40"/>
            </w:pPr>
            <w:r/>
            <w:r>
              <w:rPr>
                <w:rFonts w:ascii="Arial" w:hAnsi="Arial"/>
                <w:b w:val="0"/>
                <w:color w:val="2F2F2F"/>
                <w:sz w:val="18"/>
              </w:rPr>
              <w:t>Roadmap</w:t>
            </w:r>
          </w:p>
        </w:tc>
        <w:tc>
          <w:tcPr>
            <w:tcW w:type="dxa" w:w="6624"/>
            <w:shd w:fill="F5F8FB"/>
            <w:vAlign w:val="center"/>
          </w:tcPr>
          <w:p>
            <w:pPr>
              <w:spacing w:after="40"/>
            </w:pPr>
            <w:r/>
            <w:r>
              <w:rPr>
                <w:rFonts w:ascii="Arial" w:hAnsi="Arial"/>
                <w:b w:val="0"/>
                <w:color w:val="2F2F2F"/>
                <w:sz w:val="18"/>
              </w:rPr>
              <w:t>Section 15</w:t>
            </w:r>
          </w:p>
        </w:tc>
      </w:tr>
      <w:tr>
        <w:trPr>
          <w:cantSplit/>
        </w:trPr>
        <w:tc>
          <w:tcPr>
            <w:tcW w:type="dxa" w:w="3456"/>
            <w:shd w:fill="FFFFFF"/>
            <w:vAlign w:val="center"/>
          </w:tcPr>
          <w:p>
            <w:pPr>
              <w:spacing w:after="40"/>
            </w:pPr>
            <w:r/>
            <w:r>
              <w:rPr>
                <w:rFonts w:ascii="Arial" w:hAnsi="Arial"/>
                <w:b w:val="0"/>
                <w:color w:val="2F2F2F"/>
                <w:sz w:val="18"/>
              </w:rPr>
              <w:t>Corporate readiness</w:t>
            </w:r>
          </w:p>
        </w:tc>
        <w:tc>
          <w:tcPr>
            <w:tcW w:type="dxa" w:w="6624"/>
            <w:shd w:fill="FFFFFF"/>
            <w:vAlign w:val="center"/>
          </w:tcPr>
          <w:p>
            <w:pPr>
              <w:spacing w:after="40"/>
            </w:pPr>
            <w:r/>
            <w:r>
              <w:rPr>
                <w:rFonts w:ascii="Arial" w:hAnsi="Arial"/>
                <w:b w:val="0"/>
                <w:color w:val="2F2F2F"/>
                <w:sz w:val="18"/>
              </w:rPr>
              <w:t>Section 10</w:t>
            </w:r>
          </w:p>
        </w:tc>
      </w:tr>
      <w:tr>
        <w:trPr>
          <w:cantSplit/>
        </w:trPr>
        <w:tc>
          <w:tcPr>
            <w:tcW w:type="dxa" w:w="3456"/>
            <w:shd w:fill="F5F8FB"/>
            <w:vAlign w:val="center"/>
          </w:tcPr>
          <w:p>
            <w:pPr>
              <w:spacing w:after="40"/>
            </w:pPr>
            <w:r/>
            <w:r>
              <w:rPr>
                <w:rFonts w:ascii="Arial" w:hAnsi="Arial"/>
                <w:b w:val="0"/>
                <w:color w:val="2F2F2F"/>
                <w:sz w:val="18"/>
              </w:rPr>
              <w:t>References</w:t>
            </w:r>
          </w:p>
        </w:tc>
        <w:tc>
          <w:tcPr>
            <w:tcW w:type="dxa" w:w="6624"/>
            <w:shd w:fill="F5F8FB"/>
            <w:vAlign w:val="center"/>
          </w:tcPr>
          <w:p>
            <w:pPr>
              <w:spacing w:after="40"/>
            </w:pPr>
            <w:r/>
            <w:r>
              <w:rPr>
                <w:rFonts w:ascii="Arial" w:hAnsi="Arial"/>
                <w:b w:val="0"/>
                <w:color w:val="2F2F2F"/>
                <w:sz w:val="18"/>
              </w:rPr>
              <w:t>Section 12, only as consent permits</w:t>
            </w:r>
          </w:p>
        </w:tc>
      </w:tr>
    </w:tbl>
    <w:p>
      <w:pPr>
        <w:spacing w:after="40"/>
      </w:pPr>
    </w:p>
    <w:p>
      <w:pPr>
        <w:pStyle w:val="Heading1"/>
        <w:keepNext/>
        <w:spacing w:before="240" w:after="120"/>
      </w:pPr>
      <w:r>
        <w:t>20. Finastra Program Reference Notes</w:t>
      </w:r>
    </w:p>
    <w:p>
      <w:pPr>
        <w:spacing w:after="120" w:line="259" w:lineRule="auto"/>
      </w:pPr>
      <w:r>
        <w:rPr>
          <w:rFonts w:ascii="Arial" w:hAnsi="Arial"/>
          <w:color w:val="2F2F2F"/>
          <w:sz w:val="21"/>
        </w:rPr>
        <w:t>For internal preparation only. Current Finastra public pages were reviewed on 26 September 2026. These notes should inform the proposal but should not be copied into the external proposal as explanations of Finastra’s own program.</w:t>
      </w:r>
    </w:p>
    <w:tbl>
      <w:tblPr>
        <w:tblW w:type="auto" w:w="0"/>
        <w:jc w:val="center"/>
        <w:tblLayout w:type="autofit"/>
        <w:tblLook w:firstColumn="1" w:firstRow="1" w:lastColumn="0" w:lastRow="0" w:noHBand="0" w:noVBand="1" w:val="04A0"/>
        <w:tblBorders>
          <w:top w:val="single" w:sz="4" w:space="0" w:color="C9D3DD"/>
          <w:left w:val="single" w:sz="4" w:space="0" w:color="C9D3DD"/>
          <w:bottom w:val="single" w:sz="4" w:space="0" w:color="C9D3DD"/>
          <w:right w:val="single" w:sz="4" w:space="0" w:color="C9D3DD"/>
          <w:insideH w:val="single" w:sz="4" w:space="0" w:color="C9D3DD"/>
          <w:insideV w:val="single" w:sz="4" w:space="0" w:color="C9D3DD"/>
        </w:tblBorders>
      </w:tblPr>
      <w:tblGrid>
        <w:gridCol w:w="4997"/>
        <w:gridCol w:w="4997"/>
      </w:tblGrid>
      <w:tr>
        <w:trPr>
          <w:cantSplit/>
        </w:trPr>
        <w:tc>
          <w:tcPr>
            <w:tcW w:type="dxa" w:w="3600"/>
            <w:shd w:fill="17365D"/>
            <w:vAlign w:val="center"/>
          </w:tcPr>
          <w:p>
            <w:pPr>
              <w:spacing w:after="40"/>
            </w:pPr>
            <w:r/>
            <w:r>
              <w:rPr>
                <w:rFonts w:ascii="Arial" w:hAnsi="Arial"/>
                <w:b/>
                <w:color w:val="FFFFFF"/>
                <w:sz w:val="18"/>
              </w:rPr>
              <w:t>Source</w:t>
            </w:r>
          </w:p>
        </w:tc>
        <w:tc>
          <w:tcPr>
            <w:tcW w:type="dxa" w:w="6480"/>
            <w:shd w:fill="17365D"/>
            <w:vAlign w:val="center"/>
          </w:tcPr>
          <w:p>
            <w:pPr>
              <w:spacing w:after="40"/>
            </w:pPr>
            <w:r/>
            <w:r>
              <w:rPr>
                <w:rFonts w:ascii="Arial" w:hAnsi="Arial"/>
                <w:b/>
                <w:color w:val="FFFFFF"/>
                <w:sz w:val="18"/>
              </w:rPr>
              <w:t>Internal takeaway</w:t>
            </w:r>
          </w:p>
        </w:tc>
      </w:tr>
      <w:tr>
        <w:trPr>
          <w:cantSplit/>
        </w:trPr>
        <w:tc>
          <w:tcPr>
            <w:tcW w:type="dxa" w:w="3600"/>
            <w:shd w:fill="FFFFFF"/>
            <w:vAlign w:val="center"/>
          </w:tcPr>
          <w:p>
            <w:pPr>
              <w:spacing w:after="40"/>
            </w:pPr>
            <w:r/>
            <w:r>
              <w:rPr>
                <w:rFonts w:ascii="Arial" w:hAnsi="Arial"/>
                <w:b w:val="0"/>
                <w:color w:val="2F2F2F"/>
                <w:sz w:val="18"/>
              </w:rPr>
              <w:t>Finastra — Partnering With Finastra</w:t>
            </w:r>
          </w:p>
        </w:tc>
        <w:tc>
          <w:tcPr>
            <w:tcW w:type="dxa" w:w="6480"/>
            <w:shd w:fill="FFFFFF"/>
            <w:vAlign w:val="center"/>
          </w:tcPr>
          <w:p>
            <w:pPr>
              <w:spacing w:after="40"/>
            </w:pPr>
            <w:r/>
            <w:r>
              <w:rPr>
                <w:rFonts w:ascii="Arial" w:hAnsi="Arial"/>
                <w:b w:val="0"/>
                <w:color w:val="2F2F2F"/>
                <w:sz w:val="18"/>
              </w:rPr>
              <w:t>Routes are mutually determined; published considerations include aligned experience, opportunity development, geography/compliance and capacity to invest.</w:t>
            </w:r>
          </w:p>
        </w:tc>
      </w:tr>
      <w:tr>
        <w:trPr>
          <w:cantSplit/>
        </w:trPr>
        <w:tc>
          <w:tcPr>
            <w:tcW w:type="dxa" w:w="3600"/>
            <w:shd w:fill="F5F8FB"/>
            <w:vAlign w:val="center"/>
          </w:tcPr>
          <w:p>
            <w:pPr>
              <w:spacing w:after="40"/>
            </w:pPr>
            <w:r/>
            <w:r>
              <w:rPr>
                <w:rFonts w:ascii="Arial" w:hAnsi="Arial"/>
                <w:b w:val="0"/>
                <w:color w:val="2F2F2F"/>
                <w:sz w:val="18"/>
              </w:rPr>
              <w:t>Finastra — Affiliate</w:t>
            </w:r>
          </w:p>
        </w:tc>
        <w:tc>
          <w:tcPr>
            <w:tcW w:type="dxa" w:w="6480"/>
            <w:shd w:fill="F5F8FB"/>
            <w:vAlign w:val="center"/>
          </w:tcPr>
          <w:p>
            <w:pPr>
              <w:spacing w:after="40"/>
            </w:pPr>
            <w:r/>
            <w:r>
              <w:rPr>
                <w:rFonts w:ascii="Arial" w:hAnsi="Arial"/>
                <w:b w:val="0"/>
                <w:color w:val="2F2F2F"/>
                <w:sz w:val="18"/>
              </w:rPr>
              <w:t>Current plans include Implementation, Fulfillment and Referral. Fulfillment is described narrowly; therefore banqcraft should not assume it equals generic staff augmentation.</w:t>
            </w:r>
          </w:p>
        </w:tc>
      </w:tr>
      <w:tr>
        <w:trPr>
          <w:cantSplit/>
        </w:trPr>
        <w:tc>
          <w:tcPr>
            <w:tcW w:type="dxa" w:w="3600"/>
            <w:shd w:fill="FFFFFF"/>
            <w:vAlign w:val="center"/>
          </w:tcPr>
          <w:p>
            <w:pPr>
              <w:spacing w:after="40"/>
            </w:pPr>
            <w:r/>
            <w:r>
              <w:rPr>
                <w:rFonts w:ascii="Arial" w:hAnsi="Arial"/>
                <w:b w:val="0"/>
                <w:color w:val="2F2F2F"/>
                <w:sz w:val="18"/>
              </w:rPr>
              <w:t>Finastra — MSP</w:t>
            </w:r>
          </w:p>
        </w:tc>
        <w:tc>
          <w:tcPr>
            <w:tcW w:type="dxa" w:w="6480"/>
            <w:shd w:fill="FFFFFF"/>
            <w:vAlign w:val="center"/>
          </w:tcPr>
          <w:p>
            <w:pPr>
              <w:spacing w:after="40"/>
            </w:pPr>
            <w:r/>
            <w:r>
              <w:rPr>
                <w:rFonts w:ascii="Arial" w:hAnsi="Arial"/>
                <w:b w:val="0"/>
                <w:color w:val="2F2F2F"/>
                <w:sz w:val="18"/>
              </w:rPr>
              <w:t>MSP focuses on defined services using Finastra solutions, with continuous/long-term/predictable revenue characteristics and a staged business-case/capability journey.</w:t>
            </w:r>
          </w:p>
        </w:tc>
      </w:tr>
      <w:tr>
        <w:trPr>
          <w:cantSplit/>
        </w:trPr>
        <w:tc>
          <w:tcPr>
            <w:tcW w:type="dxa" w:w="3600"/>
            <w:shd w:fill="F5F8FB"/>
            <w:vAlign w:val="center"/>
          </w:tcPr>
          <w:p>
            <w:pPr>
              <w:spacing w:after="40"/>
            </w:pPr>
            <w:r/>
            <w:r>
              <w:rPr>
                <w:rFonts w:ascii="Arial" w:hAnsi="Arial"/>
                <w:b w:val="0"/>
                <w:color w:val="2F2F2F"/>
                <w:sz w:val="18"/>
              </w:rPr>
              <w:t>Finastra — Partner Services</w:t>
            </w:r>
          </w:p>
        </w:tc>
        <w:tc>
          <w:tcPr>
            <w:tcW w:type="dxa" w:w="6480"/>
            <w:shd w:fill="F5F8FB"/>
            <w:vAlign w:val="center"/>
          </w:tcPr>
          <w:p>
            <w:pPr>
              <w:spacing w:after="40"/>
            </w:pPr>
            <w:r/>
            <w:r>
              <w:rPr>
                <w:rFonts w:ascii="Arial" w:hAnsi="Arial"/>
                <w:b w:val="0"/>
                <w:color w:val="2F2F2F"/>
                <w:sz w:val="18"/>
              </w:rPr>
              <w:t>Finastra provides training/certification and project support services to strengthen partner delivery capability.</w:t>
            </w:r>
          </w:p>
        </w:tc>
      </w:tr>
      <w:tr>
        <w:trPr>
          <w:cantSplit/>
        </w:trPr>
        <w:tc>
          <w:tcPr>
            <w:tcW w:type="dxa" w:w="3600"/>
            <w:shd w:fill="FFFFFF"/>
            <w:vAlign w:val="center"/>
          </w:tcPr>
          <w:p>
            <w:pPr>
              <w:spacing w:after="40"/>
            </w:pPr>
            <w:r/>
            <w:r>
              <w:rPr>
                <w:rFonts w:ascii="Arial" w:hAnsi="Arial"/>
                <w:b w:val="0"/>
                <w:color w:val="2F2F2F"/>
                <w:sz w:val="18"/>
              </w:rPr>
              <w:t>Finastra — Partner examples</w:t>
            </w:r>
          </w:p>
        </w:tc>
        <w:tc>
          <w:tcPr>
            <w:tcW w:type="dxa" w:w="6480"/>
            <w:shd w:fill="FFFFFF"/>
            <w:vAlign w:val="center"/>
          </w:tcPr>
          <w:p>
            <w:pPr>
              <w:spacing w:after="40"/>
            </w:pPr>
            <w:r/>
            <w:r>
              <w:rPr>
                <w:rFonts w:ascii="Arial" w:hAnsi="Arial"/>
                <w:b w:val="0"/>
                <w:color w:val="2F2F2F"/>
                <w:sz w:val="18"/>
              </w:rPr>
              <w:t>Current profiles show specialist implementation/fulfillment models in Trade Innovation and other Finastra solution areas, including MEA examples.</w:t>
            </w:r>
          </w:p>
        </w:tc>
      </w:tr>
    </w:tbl>
    <w:p>
      <w:pPr>
        <w:spacing w:after="40"/>
      </w:pPr>
    </w:p>
    <w:p>
      <w:pPr>
        <w:spacing w:after="120" w:line="259" w:lineRule="auto"/>
      </w:pPr>
      <w:r>
        <w:rPr>
          <w:rFonts w:ascii="Arial" w:hAnsi="Arial"/>
          <w:color w:val="2F2F2F"/>
          <w:sz w:val="21"/>
        </w:rPr>
        <w:t>Primary internal sources: finastra.com/partners/partnering-with-finastra ; finastra.com/partners/partnering-with-finastra/affiliate ; finastra.com/partners/partnering-with-finastra/msp ; finastra.com/partners/services ; finastra.com/partners/finplement ; finastra.com/partners/tata-consultancy-services.</w:t>
      </w:r>
    </w:p>
    <w:p>
      <w:pPr>
        <w:pStyle w:val="Heading1"/>
        <w:keepNext/>
        <w:spacing w:before="240" w:after="120"/>
      </w:pPr>
      <w:r>
        <w:t>21. Final Working Position</w:t>
      </w:r>
    </w:p>
    <w:tbl>
      <w:tblPr>
        <w:tblW w:type="auto" w:w="0"/>
        <w:jc w:val="center"/>
        <w:tblLook w:firstColumn="1" w:firstRow="1" w:lastColumn="0" w:lastRow="0" w:noHBand="0" w:noVBand="1" w:val="04A0"/>
      </w:tblPr>
      <w:tblGrid>
        <w:gridCol w:w="9994"/>
      </w:tblGrid>
      <w:tr>
        <w:trPr>
          <w:cantSplit/>
        </w:trPr>
        <w:tc>
          <w:tcPr>
            <w:tcW w:type="dxa" w:w="9994"/>
            <w:shd w:fill="EAF2F8"/>
            <w:tcBorders>
              <w:left w:val="single" w:sz="18" w:color="2F75B5" w:space="0"/>
            </w:tcBorders>
          </w:tcPr>
          <w:p>
            <w:pPr>
              <w:spacing w:after="60"/>
            </w:pPr>
            <w:r/>
            <w:r>
              <w:rPr>
                <w:rFonts w:ascii="Arial" w:hAnsi="Arial"/>
                <w:b/>
                <w:color w:val="17365D"/>
                <w:sz w:val="21"/>
              </w:rPr>
              <w:t>The strategic position to maintain</w:t>
            </w:r>
          </w:p>
          <w:p>
            <w:pPr>
              <w:spacing w:after="60"/>
            </w:pPr>
            <w:r>
              <w:rPr>
                <w:rFonts w:ascii="Arial" w:hAnsi="Arial"/>
                <w:color w:val="2F2F2F"/>
                <w:sz w:val="19"/>
              </w:rPr>
              <w:t>banqcraft is not trying to present itself as a fully scaled Finastra implementation organization on day one. It is presenting a credible, Egypt-based, founder-led and HR-enabled specialist company with direct current Finastra project experience, an identified three-person delivery pool, a distinctive Arabic-speaking talent strategy and a clear willingness to build capability progressively.</w:t>
            </w:r>
          </w:p>
        </w:tc>
      </w:tr>
    </w:tbl>
    <w:p>
      <w:pPr>
        <w:spacing w:after="40"/>
      </w:pPr>
    </w:p>
    <w:p>
      <w:pPr>
        <w:spacing w:after="120" w:line="259" w:lineRule="auto"/>
      </w:pPr>
      <w:r>
        <w:rPr>
          <w:rFonts w:ascii="Arial" w:hAnsi="Arial"/>
          <w:color w:val="2F2F2F"/>
          <w:sz w:val="21"/>
        </w:rPr>
        <w:t>The immediate commercial objective is to secure the appropriate Finastra partnership relationship, formalize the engagement model, activate the first delivery resources and then scale carefully based on real demand and demonstrated performance.</w:t>
      </w:r>
    </w:p>
    <w:p>
      <w:pPr>
        <w:spacing w:after="120" w:line="259" w:lineRule="auto"/>
      </w:pPr>
      <w:r>
        <w:rPr>
          <w:rFonts w:ascii="Arial" w:hAnsi="Arial"/>
          <w:color w:val="2F2F2F"/>
          <w:sz w:val="21"/>
        </w:rPr>
        <w:t>The long-term objective is broader: a scalable Banking &amp; Technology professional-services capability supported by a strong People &amp; HR organization, with the potential to progress from resource support into defined implementation and other Finastra-aligned services as capability matures.</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CONFIDENTIAL • INTERNAL WORKING DOCUMENT  |  26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17365D"/>
        <w:sz w:val="18"/>
      </w:rPr>
      <w:t>banqcraft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2F2F2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