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rFonts w:ascii="Times New Roman" w:cs="Times New Roman" w:eastAsia="Times New Roman" w:hAnsi="Times New Roman"/>
          <w:color w:val="3b3a3b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a3b"/>
          <w:sz w:val="24"/>
          <w:szCs w:val="24"/>
          <w:rtl w:val="0"/>
        </w:rPr>
        <w:t xml:space="preserve">While my first impression of the XYZ Company case was that it consisted of little more than a few tables, it became obvious rather quickly that people multicasted, parts were from various vendors, sales happened at different locations, and interviews were multi-staged. I started with an outline of an ER diagram by modeling a superclass model with Person as a superclass having subclasses Employee, Customer, and PotentialEmployee. Then, I structured intersection tables for departments: assignments, sales, product-parts, interview rounds, and resolved the recursive “supervisor” link.  </w:t>
        <w:br w:type="textWrapping"/>
      </w:r>
    </w:p>
    <w:p w:rsidR="00000000" w:rsidDel="00000000" w:rsidP="00000000" w:rsidRDefault="00000000" w:rsidRPr="00000000" w14:paraId="0000000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rFonts w:ascii="Times New Roman" w:cs="Times New Roman" w:eastAsia="Times New Roman" w:hAnsi="Times New Roman"/>
          <w:color w:val="3b3a3b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a3b"/>
          <w:sz w:val="24"/>
          <w:szCs w:val="24"/>
          <w:rtl w:val="0"/>
        </w:rPr>
        <w:t xml:space="preserve">Converting that to a logical MySQL schema was a matter of battling with composite keys, foreign-key dependencies, and check constraints to ensure nothing was missing. With some of my more reasonable simplifying assumptions, like every phone number belongs to a single person and a sale ties exactly one salesman, customer, product, and site, the more difficult challenge was neatly modeling transitive and recursive dependencies. Ultimately, I brought everything to 3NF, created views to average monthly salaries, count interviews passed relative to interview phases, and summarize sales per product type and part-costs, alongside </w:t>
        <w:br w:type="textWrapping"/>
        <w:t xml:space="preserve">complex SQL queries designed as proof of the design’s integrity.</w:t>
        <w:br w:type="textWrapping"/>
      </w:r>
    </w:p>
    <w:p w:rsidR="00000000" w:rsidDel="00000000" w:rsidP="00000000" w:rsidRDefault="00000000" w:rsidRPr="00000000" w14:paraId="0000000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300" w:lineRule="auto"/>
        <w:rPr>
          <w:rFonts w:ascii="Times New Roman" w:cs="Times New Roman" w:eastAsia="Times New Roman" w:hAnsi="Times New Roman"/>
          <w:color w:val="3b3a3b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a3b"/>
          <w:sz w:val="24"/>
          <w:szCs w:val="24"/>
          <w:rtl w:val="0"/>
        </w:rPr>
        <w:t xml:space="preserve">The one thing I learned most was how to turn dirty, in-the‑wild requirements into a bulletproof database: the balancing act between ER/EER design, normalization, and SQL implementation, and how pleasant-looking dependency diagrams and documentation along the way.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