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HSANet: A Lightweight Hybrid Scale-Attention Network with Evidential Uncertainty for Brain Tumor MRI Classification</w:t>
      </w:r>
    </w:p>
    <w:p>
      <w:pPr>
        <w:jc w:val="center"/>
      </w:pPr>
      <w:r>
        <w:rPr>
          <w:rFonts w:ascii="Times New Roman" w:hAnsi="Times New Roman"/>
          <w:sz w:val="24"/>
        </w:rPr>
        <w:t>Tareque Jamil Josh¹, Md. Minhazur Rahman Mim¹, Md. Aminur Rahman Joy¹, Md. Assaduzzaman¹, Sheak Rashed Haider Noori¹</w:t>
      </w:r>
    </w:p>
    <w:p>
      <w:pPr>
        <w:jc w:val="center"/>
      </w:pPr>
      <w:r>
        <w:rPr>
          <w:rFonts w:ascii="Times New Roman" w:hAnsi="Times New Roman"/>
          <w:sz w:val="22"/>
        </w:rPr>
        <w:t>¹Department of Computer Science and Engineering, Daffodil International University, Dhaka, Bangladesh</w:t>
      </w:r>
    </w:p>
    <w:p>
      <w:pPr>
        <w:jc w:val="center"/>
      </w:pPr>
      <w:r>
        <w:rPr>
          <w:rFonts w:ascii="Times New Roman" w:hAnsi="Times New Roman"/>
          <w:i/>
          <w:sz w:val="22"/>
        </w:rPr>
        <w:t>Correspondence: Md. Assaduzzaman (assaduzzaman.cse@diu.edu.bd)</w:t>
      </w:r>
    </w:p>
    <w:p>
      <w:r>
        <w:br w:type="page"/>
      </w:r>
    </w:p>
    <w:p>
      <w:pPr>
        <w:pStyle w:val="Heading1"/>
      </w:pPr>
      <w:r>
        <w:rPr>
          <w:rFonts w:ascii="Times New Roman" w:hAnsi="Times New Roman"/>
          <w:color w:val="000000"/>
        </w:rPr>
        <w:t>Abstract</w:t>
      </w:r>
    </w:p>
    <w:p>
      <w:r>
        <w:rPr>
          <w:rFonts w:ascii="Times New Roman" w:hAnsi="Times New Roman"/>
          <w:b w:val="0"/>
          <w:i w:val="0"/>
          <w:sz w:val="24"/>
        </w:rPr>
        <w:t>Accurate and trustworthy classification of brain tumors from magnetic resonance imaging (MRI) remains clinically important yet challenging under scanner variability, class imbalance, and limited labeled data. Deep learning models with heavy attention stacks often improve in-domain accuracy only marginally while increasing parameters, latency, and susceptibility to dataset-specific artifacts. We propose HSANet (Hybrid Scale-Attention Network), a parameter-efficient architecture comprising a multi-scale EfficientNet-B3 backbone, a depthwise-separable Adaptive Multi-Scale Module (AMSM) with normalized four-branch softmax fusion, and an Evidential Deep Learning (EDL) classifier for single-pass uncertainty estimation.</w:t>
      </w:r>
    </w:p>
    <w:p>
      <w:r>
        <w:rPr>
          <w:rFonts w:ascii="Times New Roman" w:hAnsi="Times New Roman"/>
          <w:b w:val="0"/>
          <w:i w:val="0"/>
          <w:sz w:val="24"/>
        </w:rPr>
        <w:t>Through systematic ablation across two design generations, we demonstrate that an auxiliary Dual Attention Module (DAM)—combining efficient channel attention and spatial attention—used in an earlier prototype (version 5) did not improve performance and frequently degraded it; the final model (version 6) therefore retains only AMSM, yielding a simpler and empirically stronger design. On the expert-annotated BRISC 2025 benchmark (6,000 T1-weighted MRI scans, four classes), accessed via the public Kaggle release, HSANet achieves 99.2% held-out test accuracy (95% bootstrap confidence interval: 98.6–99.7%), 99.06 ± 0.17% five-fold cross-validation accuracy, macro-F1 of 99.30%, and macro-AUC of 0.9995, with 10.97 million parameters. Against six fairly trained baselines—ResNet-50, VGG-16, EfficientNet-B3, ViT-B/16, Swin-Tiny, and DenseNet-121—using an identical cross-entropy plus focal loss protocol, HSANet matches or exceeds the strongest transformer baseline while using substantially fewer parameters than ViT-B/16 and VGG-16. External validation on the independent PMRAM-BD cohort (Bangladesh) yields 97.41% accuracy, evidencing cross-site generalization. Component ablation confirms that AMSM contributes +0.7 percentage points over the backbone alone; EDL contributes an additional +0.6 points relative to a matched CE-only head. McNemar testing indicates statistically significant paired disagreement favoring HSANet over ResNet-50 (p = 0.043). Grad-CAM and Multi-Scale Attention Decomposition (MSAD) analyses indicate lesion-focused attention across dilation scales. These findings support the conclusion that carefully designed multi-scale fusion—not stacked attention—is the effective inductive bias for this task, and that evidential heads furnish clinically useful uncertainty without Monte Carlo inference at test time.</w:t>
      </w:r>
    </w:p>
    <w:p>
      <w:r>
        <w:rPr>
          <w:rFonts w:ascii="Times New Roman" w:hAnsi="Times New Roman"/>
          <w:b/>
          <w:i w:val="0"/>
          <w:sz w:val="24"/>
        </w:rPr>
        <w:t xml:space="preserve">Keywords: </w:t>
      </w:r>
      <w:r>
        <w:rPr>
          <w:rFonts w:ascii="Times New Roman" w:hAnsi="Times New Roman"/>
        </w:rPr>
        <w:t>brain tumor classification; magnetic resonance imaging; attention mechanism; multi-scale convolution; evidential deep learning; uncertainty quantification; cross-dataset generalization; BRISC 2025</w:t>
      </w:r>
    </w:p>
    <w:p>
      <w:r>
        <w:br w:type="page"/>
      </w:r>
    </w:p>
    <w:p>
      <w:pPr>
        <w:pStyle w:val="Heading1"/>
      </w:pPr>
      <w:r>
        <w:rPr>
          <w:rFonts w:ascii="Times New Roman" w:hAnsi="Times New Roman"/>
          <w:color w:val="000000"/>
        </w:rPr>
        <w:t>1. Introduction</w:t>
      </w:r>
    </w:p>
    <w:p>
      <w:r>
        <w:rPr>
          <w:rFonts w:ascii="Times New Roman" w:hAnsi="Times New Roman"/>
          <w:b w:val="0"/>
          <w:i w:val="0"/>
          <w:sz w:val="24"/>
        </w:rPr>
        <w:t>Primary brain tumors represent a major source of morbidity and mortality worldwide. Magnetic resonance imaging (MRI) is the modality of choice for non-invasive assessment, and distinguishing among glioma, meningioma, pituitary adenoma, and non-tumorous tissue can inform surgical planning, radiation protocols, and longitudinal monitoring [1,2]. Over the past decade, convolutional neural networks (CNNs) and vision transformers (ViTs) have achieved high classification accuracy on public brain MRI corpora [3–6]. Nevertheless, three methodological gaps limit translation of these systems into dependable clinical decision support.</w:t>
      </w:r>
    </w:p>
    <w:p>
      <w:r>
        <w:rPr>
          <w:rFonts w:ascii="Times New Roman" w:hAnsi="Times New Roman"/>
          <w:b w:val="0"/>
          <w:i w:val="0"/>
          <w:sz w:val="24"/>
        </w:rPr>
        <w:t>First, many studies optimize in-domain accuracy on a single dataset while under-reporting external validation across hospitals, scanners, and populations [7,8]. Models that exploit site-specific intensity distributions or preprocessing conventions may fail silently when deployed on data acquired under different protocols.</w:t>
      </w:r>
    </w:p>
    <w:p>
      <w:r>
        <w:rPr>
          <w:rFonts w:ascii="Times New Roman" w:hAnsi="Times New Roman"/>
          <w:b w:val="0"/>
          <w:i w:val="0"/>
          <w:sz w:val="24"/>
        </w:rPr>
        <w:t>Second, attention mechanisms—including squeeze-and-excitation (SE) blocks [9], efficient channel attention (ECA) [10], and convolutional block attention modules (CBAM) [11]—are often appended to CNN backbones with limited ablation. Sequential stacking of channel and spatial gates after an upstream multi-scale fusion module can redundantly suppress features that have already been adaptively mixed, increasing parameters and optimization difficulty without consistent generalization gains [12].</w:t>
      </w:r>
    </w:p>
    <w:p>
      <w:r>
        <w:rPr>
          <w:rFonts w:ascii="Times New Roman" w:hAnsi="Times New Roman"/>
          <w:b w:val="0"/>
          <w:i w:val="0"/>
          <w:sz w:val="24"/>
        </w:rPr>
        <w:t>Third, high discriminative accuracy alone is insufficient for safe deployment. Clinicians require reliable uncertainty estimates to support selective prediction—deferring ambiguous cases for expert review—and to communicate model limitations transparently [13,14]. Evidential Deep Learning (EDL) [15] parameterizes second-order uncertainty through Dirichlet distributions, enabling uncertainty quantification in a single forward pass, in contrast to Monte Carlo (MC) dropout [16], which incurs a multiplicative inference cost.</w:t>
      </w:r>
    </w:p>
    <w:p>
      <w:r>
        <w:rPr>
          <w:rFonts w:ascii="Times New Roman" w:hAnsi="Times New Roman"/>
          <w:b w:val="0"/>
          <w:i w:val="0"/>
          <w:sz w:val="24"/>
        </w:rPr>
        <w:t>To address these gaps, we introduce HSANet with the following contributions:</w:t>
      </w:r>
    </w:p>
    <w:p>
      <w:r>
        <w:rPr>
          <w:rFonts w:ascii="Times New Roman" w:hAnsi="Times New Roman"/>
          <w:b w:val="0"/>
          <w:i w:val="0"/>
          <w:sz w:val="24"/>
        </w:rPr>
        <w:t>(1) Lightweight AMSM: A depthwise-separable, dilated multi-scale module with softmax-normalized four-branch fusion (three dilated convolutions plus an identity branch), correcting an earlier unnormalized residual formulation that broke the probabilistic interpretation of branch weights.</w:t>
      </w:r>
    </w:p>
    <w:p>
      <w:r>
        <w:rPr>
          <w:rFonts w:ascii="Times New Roman" w:hAnsi="Times New Roman"/>
          <w:b w:val="0"/>
          <w:i w:val="0"/>
          <w:sz w:val="24"/>
        </w:rPr>
        <w:t>(2) Principled architectural simplification (v5 to v6): We show through ablation that a Dual Attention Module (ECA followed by spatial attention) appended after AMSM in version 5 did not improve—and slightly harmed—performance; version 6 removes DAM entirely.</w:t>
      </w:r>
    </w:p>
    <w:p>
      <w:r>
        <w:rPr>
          <w:rFonts w:ascii="Times New Roman" w:hAnsi="Times New Roman"/>
          <w:b w:val="0"/>
          <w:i w:val="0"/>
          <w:sz w:val="24"/>
        </w:rPr>
        <w:t>(3) Evidential classification head: A compact EDL head with softplus evidence mapping, KL annealing, and focal regularization, evaluated against MC-dropout and an architecture-matched cross-entropy-only variant under a fair training protocol.</w:t>
      </w:r>
    </w:p>
    <w:p>
      <w:r>
        <w:rPr>
          <w:rFonts w:ascii="Times New Roman" w:hAnsi="Times New Roman"/>
          <w:b w:val="0"/>
          <w:i w:val="0"/>
          <w:sz w:val="24"/>
        </w:rPr>
        <w:t>(4) Rigorous empirical study: Five-fold stratified cross-validation, bootstrap confidence intervals, McNemar tests, six fairly trained baselines, cross-dataset evaluation on PMRAM-BD [17], hyperparameter and class-weighting ablations, and interpretability via Grad-CAM [18] and Multi-Scale Attention Decomposition (MSAD).</w:t>
      </w:r>
    </w:p>
    <w:p>
      <w:r>
        <w:rPr>
          <w:rFonts w:ascii="Times New Roman" w:hAnsi="Times New Roman"/>
          <w:b w:val="0"/>
          <w:i w:val="0"/>
          <w:sz w:val="24"/>
        </w:rPr>
        <w:t>The remainder of this paper is organized as follows. Section 2 reviews related work. Section 3 describes datasets, HSANet architecture, training, and evaluation protocols. Section 4 presents results. Section 5 discusses clinical implications and limitations. Section 6 concludes.</w:t>
      </w:r>
    </w:p>
    <w:p>
      <w:pPr>
        <w:pStyle w:val="Heading1"/>
      </w:pPr>
      <w:r>
        <w:rPr>
          <w:rFonts w:ascii="Times New Roman" w:hAnsi="Times New Roman"/>
          <w:color w:val="000000"/>
        </w:rPr>
        <w:t>2. Related Work</w:t>
      </w:r>
    </w:p>
    <w:p>
      <w:pPr>
        <w:pStyle w:val="Heading2"/>
      </w:pPr>
      <w:r>
        <w:rPr>
          <w:rFonts w:ascii="Times New Roman" w:hAnsi="Times New Roman"/>
          <w:color w:val="000000"/>
        </w:rPr>
        <w:t>2.1 Brain Tumor MRI Classification</w:t>
      </w:r>
    </w:p>
    <w:p>
      <w:r>
        <w:rPr>
          <w:rFonts w:ascii="Times New Roman" w:hAnsi="Times New Roman"/>
          <w:b w:val="0"/>
          <w:i w:val="0"/>
          <w:sz w:val="24"/>
        </w:rPr>
        <w:t>Early approaches combined hand-crafted texture features with classical classifiers [19]. Deep CNNs subsequently dominated benchmarks on Figshare, CE-MRI, and BraTS [20,21], although class definitions, imaging sequences, and train-test protocols differ substantially across sources, complicating fair comparison. BRISC 2025 [22] addresses several limitations of legacy collections by providing 6,000 contrast-enhanced T1-weighted slices with expert annotations, balanced four-class labels (glioma, meningioma, pituitary, no tumor), and a standardized split, released publicly on Kaggle under CC BY 4.0.</w:t>
      </w:r>
    </w:p>
    <w:p>
      <w:pPr>
        <w:pStyle w:val="Heading2"/>
      </w:pPr>
      <w:r>
        <w:rPr>
          <w:rFonts w:ascii="Times New Roman" w:hAnsi="Times New Roman"/>
          <w:color w:val="000000"/>
        </w:rPr>
        <w:t>2.2 Attention and Multi-Scale Representation Learning</w:t>
      </w:r>
    </w:p>
    <w:p>
      <w:r>
        <w:rPr>
          <w:rFonts w:ascii="Times New Roman" w:hAnsi="Times New Roman"/>
          <w:b w:val="0"/>
          <w:i w:val="0"/>
          <w:sz w:val="24"/>
        </w:rPr>
        <w:t>Channel attention recalibrates feature responses globally (SE-Net [9]; ECA-Net [10]). CBAM [11] composes channel and spatial attention sequentially. Multi-scale context is traditionally modeled via atrous spatial pyramid pooling [23] and dilated convolutions [24]. Efficient architectures increasingly employ depthwise separable convolutions [25] with lightweight gating. HSANet's AMSM differs by applying parallel dilated depthwise-separable branches at rates {1, 2, 4} and fusing them with learned softmax weights over four branches—including identity—so that the output is a convex combination of feature maps.</w:t>
      </w:r>
    </w:p>
    <w:p>
      <w:pPr>
        <w:pStyle w:val="Heading2"/>
      </w:pPr>
      <w:r>
        <w:rPr>
          <w:rFonts w:ascii="Times New Roman" w:hAnsi="Times New Roman"/>
          <w:color w:val="000000"/>
        </w:rPr>
        <w:t>2.3 Uncertainty Quantification in Medical Imaging</w:t>
      </w:r>
    </w:p>
    <w:p>
      <w:r>
        <w:rPr>
          <w:rFonts w:ascii="Times New Roman" w:hAnsi="Times New Roman"/>
          <w:b w:val="0"/>
          <w:i w:val="0"/>
          <w:sz w:val="24"/>
        </w:rPr>
        <w:t>Bayesian neural networks and MC-dropout [16] estimate predictive uncertainty through stochastic ensembling at inference. Deep ensembles [26] often improve calibration but multiply computational and storage costs. EDL [15] treats predictions as Dirichlet distributions and has been extended to medical imaging tasks including COVID-19 detection [27] and lesion segmentation [28]. We adopt EDL for efficient single-pass uncertainty and benchmark against MC-dropout.</w:t>
      </w:r>
    </w:p>
    <w:p>
      <w:pPr>
        <w:pStyle w:val="Heading2"/>
      </w:pPr>
      <w:r>
        <w:rPr>
          <w:rFonts w:ascii="Times New Roman" w:hAnsi="Times New Roman"/>
          <w:color w:val="000000"/>
        </w:rPr>
        <w:t>2.4 Cross-Dataset Generalization</w:t>
      </w:r>
    </w:p>
    <w:p>
      <w:r>
        <w:rPr>
          <w:rFonts w:ascii="Times New Roman" w:hAnsi="Times New Roman"/>
          <w:b w:val="0"/>
          <w:i w:val="0"/>
          <w:sz w:val="24"/>
        </w:rPr>
        <w:t>Domain shift across MRI vendors, field strengths, and patient populations degrades model performance [7,8]. External cohorts collected under independent protocols—such as PMRAM-BD [17], a Bangladeshi brain tumor MRI dataset—provide a stringent test of out-of-distribution robustness beyond the development benchmark.</w:t>
      </w:r>
    </w:p>
    <w:p>
      <w:pPr>
        <w:pStyle w:val="Heading1"/>
      </w:pPr>
      <w:r>
        <w:rPr>
          <w:rFonts w:ascii="Times New Roman" w:hAnsi="Times New Roman"/>
          <w:color w:val="000000"/>
        </w:rPr>
        <w:t>3. Materials and Methods</w:t>
      </w:r>
    </w:p>
    <w:p>
      <w:pPr>
        <w:pStyle w:val="Heading2"/>
      </w:pPr>
      <w:r>
        <w:rPr>
          <w:rFonts w:ascii="Times New Roman" w:hAnsi="Times New Roman"/>
          <w:color w:val="000000"/>
        </w:rPr>
        <w:t>3.1 Datasets</w:t>
      </w:r>
    </w:p>
    <w:p>
      <w:pPr>
        <w:pStyle w:val="Heading3"/>
      </w:pPr>
      <w:r>
        <w:rPr>
          <w:rFonts w:ascii="Times New Roman" w:hAnsi="Times New Roman"/>
          <w:color w:val="000000"/>
        </w:rPr>
        <w:t>3.1.1 BRISC 2025 (Primary Benchmark)</w:t>
      </w:r>
    </w:p>
    <w:p>
      <w:r>
        <w:rPr>
          <w:rFonts w:ascii="Times New Roman" w:hAnsi="Times New Roman"/>
          <w:b w:val="0"/>
          <w:i w:val="0"/>
          <w:sz w:val="24"/>
        </w:rPr>
        <w:t>We evaluate on the BRISC 2025 classification task [22]: 5,000 training images and 1,000 official test images, four classes, multi-planar T1-weighted contrast-enhanced MRI, expert radiologist validation, JPEG format resampled to 224×224 pixels. BRISC is accessed via the public Kaggle release (https://www.kaggle.com/datasets/briscdataset/brisc2025; dataset DOI: 10.34740/kaggle/ds/7632487) under CC BY 4.0. Per the Scientific Data descriptor [22], BRISC was created by Fateh et al. with affiliations at Iran University of Science and Technology, Shahrood University of Technology, Northern Care Alliance NHS Foundation Trust (UK), and the University of Essex. The authors of the present study have no affiliation with the BRISC team. We use only the published train/test split without modification, perform five-fold cross-validation on training data, and report primary metrics on the held-out test set.</w:t>
      </w:r>
    </w:p>
    <w:p>
      <w:pPr>
        <w:pStyle w:val="Heading3"/>
      </w:pPr>
      <w:r>
        <w:rPr>
          <w:rFonts w:ascii="Times New Roman" w:hAnsi="Times New Roman"/>
          <w:color w:val="000000"/>
        </w:rPr>
        <w:t>3.1.2 PMRAM-BD (External Validation)</w:t>
      </w:r>
    </w:p>
    <w:p>
      <w:r>
        <w:rPr>
          <w:rFonts w:ascii="Times New Roman" w:hAnsi="Times New Roman"/>
          <w:b w:val="0"/>
          <w:i w:val="0"/>
          <w:sz w:val="24"/>
        </w:rPr>
        <w:t>PMRAM-BD [17] is a Bangladeshi brain tumor MRI dataset (glioma, meningioma, pituitary, no tumor) collected across multiple hospitals, distributed on Mendeley Data (CC BY 4.0). Models are trained exclusively on BRISC and evaluated zero-shot on PMRAM-BD without fine-tuning, measuring cross-dataset generalization.</w:t>
      </w:r>
    </w:p>
    <w:p>
      <w:pPr>
        <w:jc w:val="center"/>
      </w:pPr>
      <w:r>
        <w:rPr>
          <w:rFonts w:ascii="Times New Roman" w:hAnsi="Times New Roman"/>
          <w:i/>
          <w:color w:val="808080"/>
          <w:sz w:val="22"/>
        </w:rPr>
        <w:t>[INSERT FIGURE 1 HERE — single column, ~6 inches wide]</w:t>
      </w:r>
    </w:p>
    <w:p>
      <w:pPr>
        <w:jc w:val="center"/>
      </w:pPr>
      <w:r>
        <w:rPr>
          <w:rFonts w:ascii="Times New Roman" w:hAnsi="Times New Roman"/>
          <w:i/>
          <w:sz w:val="20"/>
        </w:rPr>
        <w:t>Figure 1. Overview of the HSANet architecture (version 6). EfficientNet-B3 extracts multi-scale features; AMSM is applied at pyramid levels 3–5; features are pooled, concatenated, and passed to the evidential classifier. [Suggested file: custom methodology diagram]</w:t>
      </w:r>
    </w:p>
    <w:p/>
    <w:p>
      <w:pPr>
        <w:jc w:val="center"/>
      </w:pPr>
      <w:r>
        <w:rPr>
          <w:rFonts w:ascii="Times New Roman" w:hAnsi="Times New Roman"/>
          <w:i/>
          <w:color w:val="808080"/>
          <w:sz w:val="22"/>
        </w:rPr>
        <w:t>[INSERT FIGURE 2 HERE — full page width]</w:t>
      </w:r>
    </w:p>
    <w:p>
      <w:pPr>
        <w:jc w:val="center"/>
      </w:pPr>
      <w:r>
        <w:rPr>
          <w:rFonts w:ascii="Times New Roman" w:hAnsi="Times New Roman"/>
          <w:i/>
          <w:sz w:val="20"/>
        </w:rPr>
        <w:t>Figure 2. Class distribution of the BRISC 2025 training and test sets. [Suggested file: fig_01_class_distribution.png]</w:t>
      </w:r>
    </w:p>
    <w:p/>
    <w:p>
      <w:pPr>
        <w:pStyle w:val="Heading2"/>
      </w:pPr>
      <w:r>
        <w:rPr>
          <w:rFonts w:ascii="Times New Roman" w:hAnsi="Times New Roman"/>
          <w:color w:val="000000"/>
        </w:rPr>
        <w:t>3.2 Preprocessing and Data Augmentation</w:t>
      </w:r>
    </w:p>
    <w:p>
      <w:r>
        <w:rPr>
          <w:rFonts w:ascii="Times New Roman" w:hAnsi="Times New Roman"/>
          <w:b w:val="0"/>
          <w:i w:val="0"/>
          <w:sz w:val="24"/>
        </w:rPr>
        <w:t>All images are resized to 224×224. Training augmentations include random resized crop, horizontal flip, rotation (±15°), color jitter (brightness and contrast ±0.2), and normalization to ImageNet statistics consistent with the pretrained backbone. Validation and test use deterministic resize/center crop. Class-balanced weighted random sampling is applied during training; inverse-frequency class weights in the loss function are ablated in Section 4.6.</w:t>
      </w:r>
    </w:p>
    <w:p>
      <w:pPr>
        <w:pStyle w:val="Heading2"/>
      </w:pPr>
      <w:r>
        <w:rPr>
          <w:rFonts w:ascii="Times New Roman" w:hAnsi="Times New Roman"/>
          <w:color w:val="000000"/>
        </w:rPr>
        <w:t>3.3 HSANet Architecture</w:t>
      </w:r>
    </w:p>
    <w:p>
      <w:pPr>
        <w:pStyle w:val="Heading3"/>
      </w:pPr>
      <w:r>
        <w:rPr>
          <w:rFonts w:ascii="Times New Roman" w:hAnsi="Times New Roman"/>
          <w:color w:val="000000"/>
        </w:rPr>
        <w:t>3.3.1 Network Overview</w:t>
      </w:r>
    </w:p>
    <w:p>
      <w:r>
        <w:rPr>
          <w:rFonts w:ascii="Times New Roman" w:hAnsi="Times New Roman"/>
          <w:b w:val="0"/>
          <w:i w:val="0"/>
          <w:sz w:val="24"/>
        </w:rPr>
        <w:t>HSANet version 6 comprises: (1) a feature extractor—tf_efficientnet_b3.ns_jft_in1k (timm) with outputs at indices [2, 3, 4]; (2) Lightweight AMSM applied independently at each scale; (3) adaptive average pooling per scale, channel concatenation, and an evidential classifier. Unlike version 5, version 6 does not include a Dual Attention Module (Section 3.4).</w:t>
      </w:r>
    </w:p>
    <w:p>
      <w:pPr>
        <w:jc w:val="center"/>
      </w:pPr>
      <w:r>
        <w:rPr>
          <w:rFonts w:ascii="Times New Roman" w:hAnsi="Times New Roman"/>
          <w:i/>
          <w:color w:val="808080"/>
          <w:sz w:val="22"/>
        </w:rPr>
        <w:t>[INSERT FIGURE 3 HERE — single column]</w:t>
      </w:r>
    </w:p>
    <w:p>
      <w:pPr>
        <w:jc w:val="center"/>
      </w:pPr>
      <w:r>
        <w:rPr>
          <w:rFonts w:ascii="Times New Roman" w:hAnsi="Times New Roman"/>
          <w:i/>
          <w:sz w:val="20"/>
        </w:rPr>
        <w:t>Figure 3. Detailed structure of the Lightweight AMSM. Three depthwise-separable dilated branches (rates 1, 2, 4) and an identity branch are fused via softmax-normalized weights. [Suggested file: custom AMSM diagram]</w:t>
      </w:r>
    </w:p>
    <w:p/>
    <w:p>
      <w:pPr>
        <w:pStyle w:val="Heading3"/>
      </w:pPr>
      <w:r>
        <w:rPr>
          <w:rFonts w:ascii="Times New Roman" w:hAnsi="Times New Roman"/>
          <w:color w:val="000000"/>
        </w:rPr>
        <w:t>3.3.2 Depthwise-Separable Dilated Branches</w:t>
      </w:r>
    </w:p>
    <w:p>
      <w:r>
        <w:rPr>
          <w:rFonts w:ascii="Times New Roman" w:hAnsi="Times New Roman"/>
          <w:b w:val="0"/>
          <w:i w:val="0"/>
          <w:sz w:val="24"/>
        </w:rPr>
        <w:t>Each dilated branch applies depthwise convolution (groups = channels) followed by pointwise 1×1 convolution, batch normalization, and ReLU. This design reduces attention parameters by approximately one order of magnitude relative to standard convolutions.</w:t>
      </w:r>
    </w:p>
    <w:p>
      <w:pPr>
        <w:pStyle w:val="Heading3"/>
      </w:pPr>
      <w:r>
        <w:rPr>
          <w:rFonts w:ascii="Times New Roman" w:hAnsi="Times New Roman"/>
          <w:color w:val="000000"/>
        </w:rPr>
        <w:t>3.3.3 Lightweight AMSM</w:t>
      </w:r>
    </w:p>
    <w:p>
      <w:r>
        <w:rPr>
          <w:rFonts w:ascii="Times New Roman" w:hAnsi="Times New Roman"/>
          <w:b w:val="0"/>
          <w:i w:val="0"/>
          <w:sz w:val="24"/>
        </w:rPr>
        <w:t>Given feature map x ∈ R^(C×H×W), three parallel branches produce m₁, m₂, m₄ via depthwise-separable convolutions with dilation rates 1, 2, and 4. Global average pooling is applied to each branch output and to x (identity branch). The pooled descriptors are concatenated (dimension 4C), passed through a two-layer MLP with softmax output w ∈ Δ³, and fused as y = w₁m₁ + w₂m₂ + w₃m₄ + w₄x. This corrected formulation replaces an earlier design y = Σw_k m_k + x in which the identity path received implicit unit weight outside the softmax, preventing branch weights from summing to unity.</w:t>
      </w:r>
    </w:p>
    <w:p>
      <w:pPr>
        <w:pStyle w:val="Heading3"/>
      </w:pPr>
      <w:r>
        <w:rPr>
          <w:rFonts w:ascii="Times New Roman" w:hAnsi="Times New Roman"/>
          <w:color w:val="000000"/>
        </w:rPr>
        <w:t>3.3.4 Evidential Classifier</w:t>
      </w:r>
    </w:p>
    <w:p>
      <w:r>
        <w:rPr>
          <w:rFonts w:ascii="Times New Roman" w:hAnsi="Times New Roman"/>
          <w:b w:val="0"/>
          <w:i w:val="0"/>
          <w:sz w:val="24"/>
        </w:rPr>
        <w:t>The classification head maps concatenated features to logits z, evidence e = softplus(z), Dirichlet parameters α = e + 1, strength S = Σ_k α_k, predictive probabilities p = α/S, and total uncertainty u = K/S for K = 4 classes [15]. Aleatoric and epistemic components follow Sensoy et al. [15]. Softplus is preferred over exponential evidence mapping for numerical stability on large logits.</w:t>
      </w:r>
    </w:p>
    <w:p>
      <w:pPr>
        <w:jc w:val="center"/>
      </w:pPr>
      <w:r>
        <w:rPr>
          <w:rFonts w:ascii="Times New Roman" w:hAnsi="Times New Roman"/>
          <w:i/>
          <w:color w:val="808080"/>
          <w:sz w:val="22"/>
        </w:rPr>
        <w:t>[INSERT FIGURE 4 HERE — full page width]</w:t>
      </w:r>
    </w:p>
    <w:p>
      <w:pPr>
        <w:jc w:val="center"/>
      </w:pPr>
      <w:r>
        <w:rPr>
          <w:rFonts w:ascii="Times New Roman" w:hAnsi="Times New Roman"/>
          <w:i/>
          <w:sz w:val="20"/>
        </w:rPr>
        <w:t>Figure 4. Evidential Deep Learning head and Dirichlet-based uncertainty decomposition. [Suggested file: custom EDL diagram]</w:t>
      </w:r>
    </w:p>
    <w:p/>
    <w:p>
      <w:pPr>
        <w:pStyle w:val="Heading3"/>
      </w:pPr>
      <w:r>
        <w:rPr>
          <w:rFonts w:ascii="Times New Roman" w:hAnsi="Times New Roman"/>
          <w:color w:val="000000"/>
        </w:rPr>
        <w:t>3.3.5 Training Objective</w:t>
      </w:r>
    </w:p>
    <w:p>
      <w:r>
        <w:rPr>
          <w:rFonts w:ascii="Times New Roman" w:hAnsi="Times New Roman"/>
          <w:b w:val="0"/>
          <w:i w:val="0"/>
          <w:sz w:val="24"/>
        </w:rPr>
        <w:t>The EvidentialLoss combines: (i) Bayesian cross-entropy (expected CE under the Dirichlet); (ii) KL divergence to a uniform Dirichlet with linear annealing over the first 10 epochs (λ_KL = 0.2); and (iii) focal loss on expected probabilities (λ_focal = 0.3, γ = 2) [30]. Optimization uses AdamW (learning rate 1×10⁻⁴, weight decay 1×10⁻⁴), cosine learning-rate schedule with 5-epoch warmup, 30 epochs, batch size 32, and automatic mixed precision.</w:t>
      </w:r>
    </w:p>
    <w:p>
      <w:pPr>
        <w:pStyle w:val="Heading2"/>
      </w:pPr>
      <w:r>
        <w:rPr>
          <w:rFonts w:ascii="Times New Roman" w:hAnsi="Times New Roman"/>
          <w:color w:val="000000"/>
        </w:rPr>
        <w:t>3.4 Design Evolution: Version 5 to Version 6</w:t>
      </w:r>
    </w:p>
    <w:p>
      <w:r>
        <w:rPr>
          <w:rFonts w:ascii="Times New Roman" w:hAnsi="Times New Roman"/>
          <w:b w:val="0"/>
          <w:i w:val="0"/>
          <w:sz w:val="24"/>
        </w:rPr>
        <w:t>Version 5 instantiated HSANet-Lite with both AMSM and a Lightweight DAM after each AMSM. DAM comprised ECA channel attention [10] followed by spatial attention [11] (channel-wise average/maximum pooling, 7×7 convolution, sigmoid mask). Version 5 ablation on BRISC under an identical protocol produced the following held-out test accuracies:</w:t>
      </w:r>
    </w:p>
    <w:p>
      <w:pPr>
        <w:jc w:val="center"/>
      </w:pPr>
      <w:r>
        <w:rPr>
          <w:rFonts w:ascii="Times New Roman" w:hAnsi="Times New Roman"/>
          <w:b/>
          <w:sz w:val="20"/>
        </w:rPr>
        <w:t>Table A. Version 5 architectural ablation on BRISC 2025 test set.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Configuration</w:t>
            </w:r>
          </w:p>
        </w:tc>
        <w:tc>
          <w:tcPr>
            <w:tcW w:type="dxa" w:w="4320"/>
          </w:tcPr>
          <w:p>
            <w:r>
              <w:rPr>
                <w:rFonts w:ascii="Times New Roman" w:hAnsi="Times New Roman"/>
                <w:b/>
                <w:sz w:val="20"/>
              </w:rPr>
              <w:t>BRISC Test Accuracy (%)</w:t>
            </w:r>
          </w:p>
        </w:tc>
      </w:tr>
      <w:tr>
        <w:tc>
          <w:tcPr>
            <w:tcW w:type="dxa" w:w="4320"/>
          </w:tcPr>
          <w:p>
            <w:r>
              <w:rPr>
                <w:rFonts w:ascii="Times New Roman" w:hAnsi="Times New Roman"/>
                <w:sz w:val="20"/>
              </w:rPr>
              <w:t>Backbone only</w:t>
            </w:r>
          </w:p>
        </w:tc>
        <w:tc>
          <w:tcPr>
            <w:tcW w:type="dxa" w:w="4320"/>
          </w:tcPr>
          <w:p>
            <w:r>
              <w:rPr>
                <w:rFonts w:ascii="Times New Roman" w:hAnsi="Times New Roman"/>
                <w:sz w:val="20"/>
              </w:rPr>
              <w:t>98.5</w:t>
            </w:r>
          </w:p>
        </w:tc>
      </w:tr>
      <w:tr>
        <w:tc>
          <w:tcPr>
            <w:tcW w:type="dxa" w:w="4320"/>
          </w:tcPr>
          <w:p>
            <w:r>
              <w:rPr>
                <w:rFonts w:ascii="Times New Roman" w:hAnsi="Times New Roman"/>
                <w:sz w:val="20"/>
              </w:rPr>
              <w:t>+ DAM only</w:t>
            </w:r>
          </w:p>
        </w:tc>
        <w:tc>
          <w:tcPr>
            <w:tcW w:type="dxa" w:w="4320"/>
          </w:tcPr>
          <w:p>
            <w:r>
              <w:rPr>
                <w:rFonts w:ascii="Times New Roman" w:hAnsi="Times New Roman"/>
                <w:sz w:val="20"/>
              </w:rPr>
              <w:t>98.5</w:t>
            </w:r>
          </w:p>
        </w:tc>
      </w:tr>
      <w:tr>
        <w:tc>
          <w:tcPr>
            <w:tcW w:type="dxa" w:w="4320"/>
          </w:tcPr>
          <w:p>
            <w:r>
              <w:rPr>
                <w:rFonts w:ascii="Times New Roman" w:hAnsi="Times New Roman"/>
                <w:sz w:val="20"/>
              </w:rPr>
              <w:t>+ AMSM (depthwise-separable)</w:t>
            </w:r>
          </w:p>
        </w:tc>
        <w:tc>
          <w:tcPr>
            <w:tcW w:type="dxa" w:w="4320"/>
          </w:tcPr>
          <w:p>
            <w:r>
              <w:rPr>
                <w:rFonts w:ascii="Times New Roman" w:hAnsi="Times New Roman"/>
                <w:sz w:val="20"/>
              </w:rPr>
              <w:t>99.3</w:t>
            </w:r>
          </w:p>
        </w:tc>
      </w:tr>
      <w:tr>
        <w:tc>
          <w:tcPr>
            <w:tcW w:type="dxa" w:w="4320"/>
          </w:tcPr>
          <w:p>
            <w:r>
              <w:rPr>
                <w:rFonts w:ascii="Times New Roman" w:hAnsi="Times New Roman"/>
                <w:sz w:val="20"/>
              </w:rPr>
              <w:t>Full (AMSM + DAM)</w:t>
            </w:r>
          </w:p>
        </w:tc>
        <w:tc>
          <w:tcPr>
            <w:tcW w:type="dxa" w:w="4320"/>
          </w:tcPr>
          <w:p>
            <w:r>
              <w:rPr>
                <w:rFonts w:ascii="Times New Roman" w:hAnsi="Times New Roman"/>
                <w:sz w:val="20"/>
              </w:rPr>
              <w:t>99.1</w:t>
            </w:r>
          </w:p>
        </w:tc>
      </w:tr>
    </w:tbl>
    <w:p/>
    <w:p>
      <w:r>
        <w:rPr>
          <w:rFonts w:ascii="Times New Roman" w:hAnsi="Times New Roman"/>
          <w:b w:val="0"/>
          <w:i w:val="0"/>
          <w:sz w:val="24"/>
        </w:rPr>
        <w:t>DAM did not improve in-domain accuracy or cross-dataset metrics relative to AMSM-only, while adding approximately 0.69M parameters and increasing inference latency. Version 6 removes DAM entirely, achieving 99.2% test accuracy with a simpler pipeline. Attention in HSANet is therefore realized as scale-gated fusion within AMSM rather than sequential channel-spatial re-weighting.</w:t>
      </w:r>
    </w:p>
    <w:p>
      <w:pPr>
        <w:pStyle w:val="Heading2"/>
      </w:pPr>
      <w:r>
        <w:rPr>
          <w:rFonts w:ascii="Times New Roman" w:hAnsi="Times New Roman"/>
          <w:color w:val="000000"/>
        </w:rPr>
        <w:t>3.5 Baseline Models and Fair Comparison Protocol</w:t>
      </w:r>
    </w:p>
    <w:p>
      <w:r>
        <w:rPr>
          <w:rFonts w:ascii="Times New Roman" w:hAnsi="Times New Roman"/>
          <w:b w:val="0"/>
          <w:i w:val="0"/>
          <w:sz w:val="24"/>
        </w:rPr>
        <w:t>Six pretrained architectures (timm) are compared: ResNet-50, VGG-16, EfficientNet-B3, ViT-B/16, Swin-Tiny, and DenseNet-121. All baselines are trained for 30 epochs with identical augmentation, optimizer, scheduler, and FairCELoss (cross-entropy plus focal loss with matched λ_focal = 0.3) to ensure that performance differences are not attributable to a stronger loss on HSANet alone.</w:t>
      </w:r>
    </w:p>
    <w:p>
      <w:pPr>
        <w:pStyle w:val="Heading2"/>
      </w:pPr>
      <w:r>
        <w:rPr>
          <w:rFonts w:ascii="Times New Roman" w:hAnsi="Times New Roman"/>
          <w:color w:val="000000"/>
        </w:rPr>
        <w:t>3.6 Evaluation Metrics and Statistical Analysis</w:t>
      </w:r>
    </w:p>
    <w:p>
      <w:r>
        <w:rPr>
          <w:rFonts w:ascii="Times New Roman" w:hAnsi="Times New Roman"/>
          <w:b w:val="0"/>
          <w:i w:val="0"/>
          <w:sz w:val="24"/>
        </w:rPr>
        <w:t>We report accuracy, macro-precision, macro-recall, macro-F1, Cohen's κ, Matthews correlation coefficient (MCC), one-vs-rest macro AUC, expected calibration error (ECE) [31], confusion matrices, parameter count, and inference latency (ms/image, batch size 1, GPU). Uncertainty quality is assessed via AUROC for misclassification detection, Brier score, and selective prediction curves. Five-fold stratified cross-validation reports mean ± standard deviation with 95% confidence intervals. Test accuracy bootstrap CIs use 1,000 resamples. Paired McNemar tests compare HSANet against each baseline on BRISC test predictions (α = 0.05) [32].</w:t>
      </w:r>
    </w:p>
    <w:p>
      <w:pPr>
        <w:pStyle w:val="Heading2"/>
      </w:pPr>
      <w:r>
        <w:rPr>
          <w:rFonts w:ascii="Times New Roman" w:hAnsi="Times New Roman"/>
          <w:color w:val="000000"/>
        </w:rPr>
        <w:t>3.7 Ablation Studies</w:t>
      </w:r>
    </w:p>
    <w:p>
      <w:r>
        <w:rPr>
          <w:rFonts w:ascii="Times New Roman" w:hAnsi="Times New Roman"/>
          <w:b w:val="0"/>
          <w:i w:val="0"/>
          <w:sz w:val="24"/>
        </w:rPr>
        <w:t>• Architectural: backbone only versus +AMSM (version 6 final).</w:t>
      </w:r>
    </w:p>
    <w:p>
      <w:r>
        <w:rPr>
          <w:rFonts w:ascii="Times New Roman" w:hAnsi="Times New Roman"/>
          <w:b w:val="0"/>
          <w:i w:val="0"/>
          <w:sz w:val="24"/>
        </w:rPr>
        <w:t>• Loss fairness: HSANet with full EDL versus HSANet with CE+focal only (matched architecture).</w:t>
      </w:r>
    </w:p>
    <w:p>
      <w:r>
        <w:rPr>
          <w:rFonts w:ascii="Times New Roman" w:hAnsi="Times New Roman"/>
          <w:b w:val="0"/>
          <w:i w:val="0"/>
          <w:sz w:val="24"/>
        </w:rPr>
        <w:t>• Class weighting: neither, sampler only, loss only, or both.</w:t>
      </w:r>
    </w:p>
    <w:p>
      <w:r>
        <w:rPr>
          <w:rFonts w:ascii="Times New Roman" w:hAnsi="Times New Roman"/>
          <w:b w:val="0"/>
          <w:i w:val="0"/>
          <w:sz w:val="24"/>
        </w:rPr>
        <w:t>• Hyperparameters: grid over λ_KL ∈ {0.05, 0.1, 0.2, 0.3, 0.5} and λ_focal ∈ {0.1, 0.2, 0.3, 0.5}.</w:t>
      </w:r>
    </w:p>
    <w:p>
      <w:r>
        <w:rPr>
          <w:rFonts w:ascii="Times New Roman" w:hAnsi="Times New Roman"/>
          <w:b w:val="0"/>
          <w:i w:val="0"/>
          <w:sz w:val="24"/>
        </w:rPr>
        <w:t>• Cross-dataset: all variants trained on BRISC, tested on PMRAM-BD.</w:t>
      </w:r>
    </w:p>
    <w:p>
      <w:r>
        <w:rPr>
          <w:rFonts w:ascii="Times New Roman" w:hAnsi="Times New Roman"/>
          <w:b w:val="0"/>
          <w:i w:val="0"/>
          <w:sz w:val="24"/>
        </w:rPr>
        <w:t>• Uncertainty: EDL versus MC-dropout (20 forward passes; entropy and mutual information).</w:t>
      </w:r>
    </w:p>
    <w:p>
      <w:pPr>
        <w:pStyle w:val="Heading2"/>
      </w:pPr>
      <w:r>
        <w:rPr>
          <w:rFonts w:ascii="Times New Roman" w:hAnsi="Times New Roman"/>
          <w:color w:val="000000"/>
        </w:rPr>
        <w:t>3.8 Interpretability Analysis</w:t>
      </w:r>
    </w:p>
    <w:p>
      <w:r>
        <w:rPr>
          <w:rFonts w:ascii="Times New Roman" w:hAnsi="Times New Roman"/>
          <w:b w:val="0"/>
          <w:i w:val="0"/>
          <w:sz w:val="24"/>
        </w:rPr>
        <w:t>Grad-CAM [18] visualizations are computed on the final convolutional stage. Uncertainty-aware Grad-CAM (UA-GradCAM) weights gradients by evidential uncertainty. Multi-Scale Attention Decomposition (MSAD) visualizes per-branch AMSM activations and softmax fusion weights, enabling inspection of which dilation scales dominate per tumor class.</w:t>
      </w:r>
    </w:p>
    <w:p>
      <w:pPr>
        <w:pStyle w:val="Heading2"/>
      </w:pPr>
      <w:r>
        <w:rPr>
          <w:rFonts w:ascii="Times New Roman" w:hAnsi="Times New Roman"/>
          <w:color w:val="000000"/>
        </w:rPr>
        <w:t>3.9 Implementation Details</w:t>
      </w:r>
    </w:p>
    <w:p>
      <w:r>
        <w:rPr>
          <w:rFonts w:ascii="Times New Roman" w:hAnsi="Times New Roman"/>
          <w:b w:val="0"/>
          <w:i w:val="0"/>
          <w:sz w:val="24"/>
        </w:rPr>
        <w:t>Experiments are implemented in PyTorch 2.x with timm, scikit-learn, and SciPy, executed on NVIDIA Tesla T4 GPUs (Kaggle). Code and trained weights will be released upon acceptance https://github.com/tarequejosh/HSANet</w:t>
      </w:r>
    </w:p>
    <w:p>
      <w:r>
        <w:br w:type="page"/>
      </w:r>
    </w:p>
    <w:p>
      <w:pPr>
        <w:pStyle w:val="Heading1"/>
      </w:pPr>
      <w:r>
        <w:rPr>
          <w:rFonts w:ascii="Times New Roman" w:hAnsi="Times New Roman"/>
          <w:color w:val="000000"/>
        </w:rPr>
        <w:t>4. Results</w:t>
      </w:r>
    </w:p>
    <w:p>
      <w:r>
        <w:rPr>
          <w:rFonts w:ascii="Times New Roman" w:hAnsi="Times New Roman"/>
          <w:b w:val="0"/>
          <w:i w:val="0"/>
          <w:sz w:val="24"/>
        </w:rPr>
        <w:t>This section reports primary benchmark results, ablations, external validation, uncertainty analysis, and efficiency. Figure placeholders indicate where to insert prepared figures from hsanet_results v6/figures/.</w:t>
      </w:r>
    </w:p>
    <w:p>
      <w:pPr>
        <w:pStyle w:val="Heading2"/>
      </w:pPr>
      <w:r>
        <w:rPr>
          <w:rFonts w:ascii="Times New Roman" w:hAnsi="Times New Roman"/>
          <w:color w:val="000000"/>
        </w:rPr>
        <w:t>4.1 Primary Results on BRISC 2025</w:t>
      </w:r>
    </w:p>
    <w:p>
      <w:pPr>
        <w:jc w:val="center"/>
      </w:pPr>
      <w:r>
        <w:rPr>
          <w:rFonts w:ascii="Times New Roman" w:hAnsi="Times New Roman"/>
          <w:b/>
          <w:sz w:val="20"/>
        </w:rPr>
        <w:t>Table 1. Comparison on BRISC 2025 held-out test set (N = 1,000). Bold indicates best result per column where HSANet leads; EfficientNet-B3 and ViT-B/16 achieve lowest ECE and highest AUC among baselines.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rFonts w:ascii="Times New Roman" w:hAnsi="Times New Roman"/>
                <w:b/>
                <w:sz w:val="20"/>
              </w:rPr>
              <w:t>Model</w:t>
            </w:r>
          </w:p>
        </w:tc>
        <w:tc>
          <w:tcPr>
            <w:tcW w:type="dxa" w:w="960"/>
          </w:tcPr>
          <w:p>
            <w:r>
              <w:rPr>
                <w:rFonts w:ascii="Times New Roman" w:hAnsi="Times New Roman"/>
                <w:b/>
                <w:sz w:val="20"/>
              </w:rPr>
              <w:t>Params (M)</w:t>
            </w:r>
          </w:p>
        </w:tc>
        <w:tc>
          <w:tcPr>
            <w:tcW w:type="dxa" w:w="960"/>
          </w:tcPr>
          <w:p>
            <w:r>
              <w:rPr>
                <w:rFonts w:ascii="Times New Roman" w:hAnsi="Times New Roman"/>
                <w:b/>
                <w:sz w:val="20"/>
              </w:rPr>
              <w:t>Infer. (ms)</w:t>
            </w:r>
          </w:p>
        </w:tc>
        <w:tc>
          <w:tcPr>
            <w:tcW w:type="dxa" w:w="960"/>
          </w:tcPr>
          <w:p>
            <w:r>
              <w:rPr>
                <w:rFonts w:ascii="Times New Roman" w:hAnsi="Times New Roman"/>
                <w:b/>
                <w:sz w:val="20"/>
              </w:rPr>
              <w:t>Acc. (%)</w:t>
            </w:r>
          </w:p>
        </w:tc>
        <w:tc>
          <w:tcPr>
            <w:tcW w:type="dxa" w:w="960"/>
          </w:tcPr>
          <w:p>
            <w:r>
              <w:rPr>
                <w:rFonts w:ascii="Times New Roman" w:hAnsi="Times New Roman"/>
                <w:b/>
                <w:sz w:val="20"/>
              </w:rPr>
              <w:t>Macro-F1 (%)</w:t>
            </w:r>
          </w:p>
        </w:tc>
        <w:tc>
          <w:tcPr>
            <w:tcW w:type="dxa" w:w="960"/>
          </w:tcPr>
          <w:p>
            <w:r>
              <w:rPr>
                <w:rFonts w:ascii="Times New Roman" w:hAnsi="Times New Roman"/>
                <w:b/>
                <w:sz w:val="20"/>
              </w:rPr>
              <w:t>κ</w:t>
            </w:r>
          </w:p>
        </w:tc>
        <w:tc>
          <w:tcPr>
            <w:tcW w:type="dxa" w:w="960"/>
          </w:tcPr>
          <w:p>
            <w:r>
              <w:rPr>
                <w:rFonts w:ascii="Times New Roman" w:hAnsi="Times New Roman"/>
                <w:b/>
                <w:sz w:val="20"/>
              </w:rPr>
              <w:t>MCC</w:t>
            </w:r>
          </w:p>
        </w:tc>
        <w:tc>
          <w:tcPr>
            <w:tcW w:type="dxa" w:w="960"/>
          </w:tcPr>
          <w:p>
            <w:r>
              <w:rPr>
                <w:rFonts w:ascii="Times New Roman" w:hAnsi="Times New Roman"/>
                <w:b/>
                <w:sz w:val="20"/>
              </w:rPr>
              <w:t>AUC</w:t>
            </w:r>
          </w:p>
        </w:tc>
        <w:tc>
          <w:tcPr>
            <w:tcW w:type="dxa" w:w="960"/>
          </w:tcPr>
          <w:p>
            <w:r>
              <w:rPr>
                <w:rFonts w:ascii="Times New Roman" w:hAnsi="Times New Roman"/>
                <w:b/>
                <w:sz w:val="20"/>
              </w:rPr>
              <w:t>ECE</w:t>
            </w:r>
          </w:p>
        </w:tc>
      </w:tr>
      <w:tr>
        <w:tc>
          <w:tcPr>
            <w:tcW w:type="dxa" w:w="960"/>
          </w:tcPr>
          <w:p>
            <w:r>
              <w:rPr>
                <w:rFonts w:ascii="Times New Roman" w:hAnsi="Times New Roman"/>
                <w:sz w:val="20"/>
              </w:rPr>
              <w:t>ResNet-50</w:t>
            </w:r>
          </w:p>
        </w:tc>
        <w:tc>
          <w:tcPr>
            <w:tcW w:type="dxa" w:w="960"/>
          </w:tcPr>
          <w:p>
            <w:r>
              <w:rPr>
                <w:rFonts w:ascii="Times New Roman" w:hAnsi="Times New Roman"/>
                <w:sz w:val="20"/>
              </w:rPr>
              <w:t>23.52</w:t>
            </w:r>
          </w:p>
        </w:tc>
        <w:tc>
          <w:tcPr>
            <w:tcW w:type="dxa" w:w="960"/>
          </w:tcPr>
          <w:p>
            <w:r>
              <w:rPr>
                <w:rFonts w:ascii="Times New Roman" w:hAnsi="Times New Roman"/>
                <w:sz w:val="20"/>
              </w:rPr>
              <w:t>6.76</w:t>
            </w:r>
          </w:p>
        </w:tc>
        <w:tc>
          <w:tcPr>
            <w:tcW w:type="dxa" w:w="960"/>
          </w:tcPr>
          <w:p>
            <w:r>
              <w:rPr>
                <w:rFonts w:ascii="Times New Roman" w:hAnsi="Times New Roman"/>
                <w:sz w:val="20"/>
              </w:rPr>
              <w:t>98.4</w:t>
            </w:r>
          </w:p>
        </w:tc>
        <w:tc>
          <w:tcPr>
            <w:tcW w:type="dxa" w:w="960"/>
          </w:tcPr>
          <w:p>
            <w:r>
              <w:rPr>
                <w:rFonts w:ascii="Times New Roman" w:hAnsi="Times New Roman"/>
                <w:sz w:val="20"/>
              </w:rPr>
              <w:t>98.52</w:t>
            </w:r>
          </w:p>
        </w:tc>
        <w:tc>
          <w:tcPr>
            <w:tcW w:type="dxa" w:w="960"/>
          </w:tcPr>
          <w:p>
            <w:r>
              <w:rPr>
                <w:rFonts w:ascii="Times New Roman" w:hAnsi="Times New Roman"/>
                <w:sz w:val="20"/>
              </w:rPr>
              <w:t>0.978</w:t>
            </w:r>
          </w:p>
        </w:tc>
        <w:tc>
          <w:tcPr>
            <w:tcW w:type="dxa" w:w="960"/>
          </w:tcPr>
          <w:p>
            <w:r>
              <w:rPr>
                <w:rFonts w:ascii="Times New Roman" w:hAnsi="Times New Roman"/>
                <w:sz w:val="20"/>
              </w:rPr>
              <w:t>0.978</w:t>
            </w:r>
          </w:p>
        </w:tc>
        <w:tc>
          <w:tcPr>
            <w:tcW w:type="dxa" w:w="960"/>
          </w:tcPr>
          <w:p>
            <w:r>
              <w:rPr>
                <w:rFonts w:ascii="Times New Roman" w:hAnsi="Times New Roman"/>
                <w:sz w:val="20"/>
              </w:rPr>
              <w:t>0.9985</w:t>
            </w:r>
          </w:p>
        </w:tc>
        <w:tc>
          <w:tcPr>
            <w:tcW w:type="dxa" w:w="960"/>
          </w:tcPr>
          <w:p>
            <w:r>
              <w:rPr>
                <w:rFonts w:ascii="Times New Roman" w:hAnsi="Times New Roman"/>
                <w:sz w:val="20"/>
              </w:rPr>
              <w:t>0.0123</w:t>
            </w:r>
          </w:p>
        </w:tc>
      </w:tr>
      <w:tr>
        <w:tc>
          <w:tcPr>
            <w:tcW w:type="dxa" w:w="960"/>
          </w:tcPr>
          <w:p>
            <w:r>
              <w:rPr>
                <w:rFonts w:ascii="Times New Roman" w:hAnsi="Times New Roman"/>
                <w:sz w:val="20"/>
              </w:rPr>
              <w:t>VGG-16</w:t>
            </w:r>
          </w:p>
        </w:tc>
        <w:tc>
          <w:tcPr>
            <w:tcW w:type="dxa" w:w="960"/>
          </w:tcPr>
          <w:p>
            <w:r>
              <w:rPr>
                <w:rFonts w:ascii="Times New Roman" w:hAnsi="Times New Roman"/>
                <w:sz w:val="20"/>
              </w:rPr>
              <w:t>134.28</w:t>
            </w:r>
          </w:p>
        </w:tc>
        <w:tc>
          <w:tcPr>
            <w:tcW w:type="dxa" w:w="960"/>
          </w:tcPr>
          <w:p>
            <w:r>
              <w:rPr>
                <w:rFonts w:ascii="Times New Roman" w:hAnsi="Times New Roman"/>
                <w:sz w:val="20"/>
              </w:rPr>
              <w:t>12.45</w:t>
            </w:r>
          </w:p>
        </w:tc>
        <w:tc>
          <w:tcPr>
            <w:tcW w:type="dxa" w:w="960"/>
          </w:tcPr>
          <w:p>
            <w:r>
              <w:rPr>
                <w:rFonts w:ascii="Times New Roman" w:hAnsi="Times New Roman"/>
                <w:sz w:val="20"/>
              </w:rPr>
              <w:t>98.7</w:t>
            </w:r>
          </w:p>
        </w:tc>
        <w:tc>
          <w:tcPr>
            <w:tcW w:type="dxa" w:w="960"/>
          </w:tcPr>
          <w:p>
            <w:r>
              <w:rPr>
                <w:rFonts w:ascii="Times New Roman" w:hAnsi="Times New Roman"/>
                <w:sz w:val="20"/>
              </w:rPr>
              <w:t>98.88</w:t>
            </w:r>
          </w:p>
        </w:tc>
        <w:tc>
          <w:tcPr>
            <w:tcW w:type="dxa" w:w="960"/>
          </w:tcPr>
          <w:p>
            <w:r>
              <w:rPr>
                <w:rFonts w:ascii="Times New Roman" w:hAnsi="Times New Roman"/>
                <w:sz w:val="20"/>
              </w:rPr>
              <w:t>0.982</w:t>
            </w:r>
          </w:p>
        </w:tc>
        <w:tc>
          <w:tcPr>
            <w:tcW w:type="dxa" w:w="960"/>
          </w:tcPr>
          <w:p>
            <w:r>
              <w:rPr>
                <w:rFonts w:ascii="Times New Roman" w:hAnsi="Times New Roman"/>
                <w:sz w:val="20"/>
              </w:rPr>
              <w:t>0.982</w:t>
            </w:r>
          </w:p>
        </w:tc>
        <w:tc>
          <w:tcPr>
            <w:tcW w:type="dxa" w:w="960"/>
          </w:tcPr>
          <w:p>
            <w:r>
              <w:rPr>
                <w:rFonts w:ascii="Times New Roman" w:hAnsi="Times New Roman"/>
                <w:sz w:val="20"/>
              </w:rPr>
              <w:t>0.9986</w:t>
            </w:r>
          </w:p>
        </w:tc>
        <w:tc>
          <w:tcPr>
            <w:tcW w:type="dxa" w:w="960"/>
          </w:tcPr>
          <w:p>
            <w:r>
              <w:rPr>
                <w:rFonts w:ascii="Times New Roman" w:hAnsi="Times New Roman"/>
                <w:sz w:val="20"/>
              </w:rPr>
              <w:t>0.0112</w:t>
            </w:r>
          </w:p>
        </w:tc>
      </w:tr>
      <w:tr>
        <w:tc>
          <w:tcPr>
            <w:tcW w:type="dxa" w:w="960"/>
          </w:tcPr>
          <w:p>
            <w:r>
              <w:rPr>
                <w:rFonts w:ascii="Times New Roman" w:hAnsi="Times New Roman"/>
                <w:sz w:val="20"/>
              </w:rPr>
              <w:t>EfficientNet-B3</w:t>
            </w:r>
          </w:p>
        </w:tc>
        <w:tc>
          <w:tcPr>
            <w:tcW w:type="dxa" w:w="960"/>
          </w:tcPr>
          <w:p>
            <w:r>
              <w:rPr>
                <w:rFonts w:ascii="Times New Roman" w:hAnsi="Times New Roman"/>
                <w:sz w:val="20"/>
              </w:rPr>
              <w:t>10.70</w:t>
            </w:r>
          </w:p>
        </w:tc>
        <w:tc>
          <w:tcPr>
            <w:tcW w:type="dxa" w:w="960"/>
          </w:tcPr>
          <w:p>
            <w:r>
              <w:rPr>
                <w:rFonts w:ascii="Times New Roman" w:hAnsi="Times New Roman"/>
                <w:sz w:val="20"/>
              </w:rPr>
              <w:t>12.56</w:t>
            </w:r>
          </w:p>
        </w:tc>
        <w:tc>
          <w:tcPr>
            <w:tcW w:type="dxa" w:w="960"/>
          </w:tcPr>
          <w:p>
            <w:r>
              <w:rPr>
                <w:rFonts w:ascii="Times New Roman" w:hAnsi="Times New Roman"/>
                <w:sz w:val="20"/>
              </w:rPr>
              <w:t>98.7</w:t>
            </w:r>
          </w:p>
        </w:tc>
        <w:tc>
          <w:tcPr>
            <w:tcW w:type="dxa" w:w="960"/>
          </w:tcPr>
          <w:p>
            <w:r>
              <w:rPr>
                <w:rFonts w:ascii="Times New Roman" w:hAnsi="Times New Roman"/>
                <w:sz w:val="20"/>
              </w:rPr>
              <w:t>98.80</w:t>
            </w:r>
          </w:p>
        </w:tc>
        <w:tc>
          <w:tcPr>
            <w:tcW w:type="dxa" w:w="960"/>
          </w:tcPr>
          <w:p>
            <w:r>
              <w:rPr>
                <w:rFonts w:ascii="Times New Roman" w:hAnsi="Times New Roman"/>
                <w:sz w:val="20"/>
              </w:rPr>
              <w:t>0.982</w:t>
            </w:r>
          </w:p>
        </w:tc>
        <w:tc>
          <w:tcPr>
            <w:tcW w:type="dxa" w:w="960"/>
          </w:tcPr>
          <w:p>
            <w:r>
              <w:rPr>
                <w:rFonts w:ascii="Times New Roman" w:hAnsi="Times New Roman"/>
                <w:sz w:val="20"/>
              </w:rPr>
              <w:t>0.982</w:t>
            </w:r>
          </w:p>
        </w:tc>
        <w:tc>
          <w:tcPr>
            <w:tcW w:type="dxa" w:w="960"/>
          </w:tcPr>
          <w:p>
            <w:r>
              <w:rPr>
                <w:rFonts w:ascii="Times New Roman" w:hAnsi="Times New Roman"/>
                <w:sz w:val="20"/>
              </w:rPr>
              <w:t>0.9997</w:t>
            </w:r>
          </w:p>
        </w:tc>
        <w:tc>
          <w:tcPr>
            <w:tcW w:type="dxa" w:w="960"/>
          </w:tcPr>
          <w:p>
            <w:r>
              <w:rPr>
                <w:rFonts w:ascii="Times New Roman" w:hAnsi="Times New Roman"/>
                <w:sz w:val="20"/>
              </w:rPr>
              <w:t>0.0107</w:t>
            </w:r>
          </w:p>
        </w:tc>
      </w:tr>
      <w:tr>
        <w:tc>
          <w:tcPr>
            <w:tcW w:type="dxa" w:w="960"/>
          </w:tcPr>
          <w:p>
            <w:r>
              <w:rPr>
                <w:rFonts w:ascii="Times New Roman" w:hAnsi="Times New Roman"/>
                <w:sz w:val="20"/>
              </w:rPr>
              <w:t>ViT-B/16</w:t>
            </w:r>
          </w:p>
        </w:tc>
        <w:tc>
          <w:tcPr>
            <w:tcW w:type="dxa" w:w="960"/>
          </w:tcPr>
          <w:p>
            <w:r>
              <w:rPr>
                <w:rFonts w:ascii="Times New Roman" w:hAnsi="Times New Roman"/>
                <w:sz w:val="20"/>
              </w:rPr>
              <w:t>85.80</w:t>
            </w:r>
          </w:p>
        </w:tc>
        <w:tc>
          <w:tcPr>
            <w:tcW w:type="dxa" w:w="960"/>
          </w:tcPr>
          <w:p>
            <w:r>
              <w:rPr>
                <w:rFonts w:ascii="Times New Roman" w:hAnsi="Times New Roman"/>
                <w:sz w:val="20"/>
              </w:rPr>
              <w:t>14.25</w:t>
            </w:r>
          </w:p>
        </w:tc>
        <w:tc>
          <w:tcPr>
            <w:tcW w:type="dxa" w:w="960"/>
          </w:tcPr>
          <w:p>
            <w:r>
              <w:rPr>
                <w:rFonts w:ascii="Times New Roman" w:hAnsi="Times New Roman"/>
                <w:sz w:val="20"/>
              </w:rPr>
              <w:t>99.1</w:t>
            </w:r>
          </w:p>
        </w:tc>
        <w:tc>
          <w:tcPr>
            <w:tcW w:type="dxa" w:w="960"/>
          </w:tcPr>
          <w:p>
            <w:r>
              <w:rPr>
                <w:rFonts w:ascii="Times New Roman" w:hAnsi="Times New Roman"/>
                <w:sz w:val="20"/>
              </w:rPr>
              <w:t>99.18</w:t>
            </w:r>
          </w:p>
        </w:tc>
        <w:tc>
          <w:tcPr>
            <w:tcW w:type="dxa" w:w="960"/>
          </w:tcPr>
          <w:p>
            <w:r>
              <w:rPr>
                <w:rFonts w:ascii="Times New Roman" w:hAnsi="Times New Roman"/>
                <w:sz w:val="20"/>
              </w:rPr>
              <w:t>0.988</w:t>
            </w:r>
          </w:p>
        </w:tc>
        <w:tc>
          <w:tcPr>
            <w:tcW w:type="dxa" w:w="960"/>
          </w:tcPr>
          <w:p>
            <w:r>
              <w:rPr>
                <w:rFonts w:ascii="Times New Roman" w:hAnsi="Times New Roman"/>
                <w:sz w:val="20"/>
              </w:rPr>
              <w:t>0.988</w:t>
            </w:r>
          </w:p>
        </w:tc>
        <w:tc>
          <w:tcPr>
            <w:tcW w:type="dxa" w:w="960"/>
          </w:tcPr>
          <w:p>
            <w:r>
              <w:rPr>
                <w:rFonts w:ascii="Times New Roman" w:hAnsi="Times New Roman"/>
                <w:sz w:val="20"/>
              </w:rPr>
              <w:t>0.9997</w:t>
            </w:r>
          </w:p>
        </w:tc>
        <w:tc>
          <w:tcPr>
            <w:tcW w:type="dxa" w:w="960"/>
          </w:tcPr>
          <w:p>
            <w:r>
              <w:rPr>
                <w:rFonts w:ascii="Times New Roman" w:hAnsi="Times New Roman"/>
                <w:sz w:val="20"/>
              </w:rPr>
              <w:t>0.0085</w:t>
            </w:r>
          </w:p>
        </w:tc>
      </w:tr>
      <w:tr>
        <w:tc>
          <w:tcPr>
            <w:tcW w:type="dxa" w:w="960"/>
          </w:tcPr>
          <w:p>
            <w:r>
              <w:rPr>
                <w:rFonts w:ascii="Times New Roman" w:hAnsi="Times New Roman"/>
                <w:sz w:val="20"/>
              </w:rPr>
              <w:t>Swin-Tiny</w:t>
            </w:r>
          </w:p>
        </w:tc>
        <w:tc>
          <w:tcPr>
            <w:tcW w:type="dxa" w:w="960"/>
          </w:tcPr>
          <w:p>
            <w:r>
              <w:rPr>
                <w:rFonts w:ascii="Times New Roman" w:hAnsi="Times New Roman"/>
                <w:sz w:val="20"/>
              </w:rPr>
              <w:t>27.52</w:t>
            </w:r>
          </w:p>
        </w:tc>
        <w:tc>
          <w:tcPr>
            <w:tcW w:type="dxa" w:w="960"/>
          </w:tcPr>
          <w:p>
            <w:r>
              <w:rPr>
                <w:rFonts w:ascii="Times New Roman" w:hAnsi="Times New Roman"/>
                <w:sz w:val="20"/>
              </w:rPr>
              <w:t>11.08</w:t>
            </w:r>
          </w:p>
        </w:tc>
        <w:tc>
          <w:tcPr>
            <w:tcW w:type="dxa" w:w="960"/>
          </w:tcPr>
          <w:p>
            <w:r>
              <w:rPr>
                <w:rFonts w:ascii="Times New Roman" w:hAnsi="Times New Roman"/>
                <w:sz w:val="20"/>
              </w:rPr>
              <w:t>98.9</w:t>
            </w:r>
          </w:p>
        </w:tc>
        <w:tc>
          <w:tcPr>
            <w:tcW w:type="dxa" w:w="960"/>
          </w:tcPr>
          <w:p>
            <w:r>
              <w:rPr>
                <w:rFonts w:ascii="Times New Roman" w:hAnsi="Times New Roman"/>
                <w:sz w:val="20"/>
              </w:rPr>
              <w:t>99.01</w:t>
            </w:r>
          </w:p>
        </w:tc>
        <w:tc>
          <w:tcPr>
            <w:tcW w:type="dxa" w:w="960"/>
          </w:tcPr>
          <w:p>
            <w:r>
              <w:rPr>
                <w:rFonts w:ascii="Times New Roman" w:hAnsi="Times New Roman"/>
                <w:sz w:val="20"/>
              </w:rPr>
              <w:t>0.985</w:t>
            </w:r>
          </w:p>
        </w:tc>
        <w:tc>
          <w:tcPr>
            <w:tcW w:type="dxa" w:w="960"/>
          </w:tcPr>
          <w:p>
            <w:r>
              <w:rPr>
                <w:rFonts w:ascii="Times New Roman" w:hAnsi="Times New Roman"/>
                <w:sz w:val="20"/>
              </w:rPr>
              <w:t>0.985</w:t>
            </w:r>
          </w:p>
        </w:tc>
        <w:tc>
          <w:tcPr>
            <w:tcW w:type="dxa" w:w="960"/>
          </w:tcPr>
          <w:p>
            <w:r>
              <w:rPr>
                <w:rFonts w:ascii="Times New Roman" w:hAnsi="Times New Roman"/>
                <w:sz w:val="20"/>
              </w:rPr>
              <w:t>0.9994</w:t>
            </w:r>
          </w:p>
        </w:tc>
        <w:tc>
          <w:tcPr>
            <w:tcW w:type="dxa" w:w="960"/>
          </w:tcPr>
          <w:p>
            <w:r>
              <w:rPr>
                <w:rFonts w:ascii="Times New Roman" w:hAnsi="Times New Roman"/>
                <w:sz w:val="20"/>
              </w:rPr>
              <w:t>0.0108</w:t>
            </w:r>
          </w:p>
        </w:tc>
      </w:tr>
      <w:tr>
        <w:tc>
          <w:tcPr>
            <w:tcW w:type="dxa" w:w="960"/>
          </w:tcPr>
          <w:p>
            <w:r>
              <w:rPr>
                <w:rFonts w:ascii="Times New Roman" w:hAnsi="Times New Roman"/>
                <w:sz w:val="20"/>
              </w:rPr>
              <w:t>DenseNet-121</w:t>
            </w:r>
          </w:p>
        </w:tc>
        <w:tc>
          <w:tcPr>
            <w:tcW w:type="dxa" w:w="960"/>
          </w:tcPr>
          <w:p>
            <w:r>
              <w:rPr>
                <w:rFonts w:ascii="Times New Roman" w:hAnsi="Times New Roman"/>
                <w:sz w:val="20"/>
              </w:rPr>
              <w:t>6.96</w:t>
            </w:r>
          </w:p>
        </w:tc>
        <w:tc>
          <w:tcPr>
            <w:tcW w:type="dxa" w:w="960"/>
          </w:tcPr>
          <w:p>
            <w:r>
              <w:rPr>
                <w:rFonts w:ascii="Times New Roman" w:hAnsi="Times New Roman"/>
                <w:sz w:val="20"/>
              </w:rPr>
              <w:t>15.55</w:t>
            </w:r>
          </w:p>
        </w:tc>
        <w:tc>
          <w:tcPr>
            <w:tcW w:type="dxa" w:w="960"/>
          </w:tcPr>
          <w:p>
            <w:r>
              <w:rPr>
                <w:rFonts w:ascii="Times New Roman" w:hAnsi="Times New Roman"/>
                <w:sz w:val="20"/>
              </w:rPr>
              <w:t>98.8</w:t>
            </w:r>
          </w:p>
        </w:tc>
        <w:tc>
          <w:tcPr>
            <w:tcW w:type="dxa" w:w="960"/>
          </w:tcPr>
          <w:p>
            <w:r>
              <w:rPr>
                <w:rFonts w:ascii="Times New Roman" w:hAnsi="Times New Roman"/>
                <w:sz w:val="20"/>
              </w:rPr>
              <w:t>98.91</w:t>
            </w:r>
          </w:p>
        </w:tc>
        <w:tc>
          <w:tcPr>
            <w:tcW w:type="dxa" w:w="960"/>
          </w:tcPr>
          <w:p>
            <w:r>
              <w:rPr>
                <w:rFonts w:ascii="Times New Roman" w:hAnsi="Times New Roman"/>
                <w:sz w:val="20"/>
              </w:rPr>
              <w:t>0.984</w:t>
            </w:r>
          </w:p>
        </w:tc>
        <w:tc>
          <w:tcPr>
            <w:tcW w:type="dxa" w:w="960"/>
          </w:tcPr>
          <w:p>
            <w:r>
              <w:rPr>
                <w:rFonts w:ascii="Times New Roman" w:hAnsi="Times New Roman"/>
                <w:sz w:val="20"/>
              </w:rPr>
              <w:t>0.984</w:t>
            </w:r>
          </w:p>
        </w:tc>
        <w:tc>
          <w:tcPr>
            <w:tcW w:type="dxa" w:w="960"/>
          </w:tcPr>
          <w:p>
            <w:r>
              <w:rPr>
                <w:rFonts w:ascii="Times New Roman" w:hAnsi="Times New Roman"/>
                <w:sz w:val="20"/>
              </w:rPr>
              <w:t>0.9995</w:t>
            </w:r>
          </w:p>
        </w:tc>
        <w:tc>
          <w:tcPr>
            <w:tcW w:type="dxa" w:w="960"/>
          </w:tcPr>
          <w:p>
            <w:r>
              <w:rPr>
                <w:rFonts w:ascii="Times New Roman" w:hAnsi="Times New Roman"/>
                <w:sz w:val="20"/>
              </w:rPr>
              <w:t>0.0110</w:t>
            </w:r>
          </w:p>
        </w:tc>
      </w:tr>
      <w:tr>
        <w:tc>
          <w:tcPr>
            <w:tcW w:type="dxa" w:w="960"/>
          </w:tcPr>
          <w:p>
            <w:r>
              <w:rPr>
                <w:rFonts w:ascii="Times New Roman" w:hAnsi="Times New Roman"/>
                <w:sz w:val="20"/>
              </w:rPr>
              <w:t>HSANet (v6)</w:t>
            </w:r>
          </w:p>
        </w:tc>
        <w:tc>
          <w:tcPr>
            <w:tcW w:type="dxa" w:w="960"/>
          </w:tcPr>
          <w:p>
            <w:r>
              <w:rPr>
                <w:rFonts w:ascii="Times New Roman" w:hAnsi="Times New Roman"/>
                <w:sz w:val="20"/>
              </w:rPr>
              <w:t>10.97</w:t>
            </w:r>
          </w:p>
        </w:tc>
        <w:tc>
          <w:tcPr>
            <w:tcW w:type="dxa" w:w="960"/>
          </w:tcPr>
          <w:p>
            <w:r>
              <w:rPr>
                <w:rFonts w:ascii="Times New Roman" w:hAnsi="Times New Roman"/>
                <w:sz w:val="20"/>
              </w:rPr>
              <w:t>19.16</w:t>
            </w:r>
          </w:p>
        </w:tc>
        <w:tc>
          <w:tcPr>
            <w:tcW w:type="dxa" w:w="960"/>
          </w:tcPr>
          <w:p>
            <w:r>
              <w:rPr>
                <w:rFonts w:ascii="Times New Roman" w:hAnsi="Times New Roman"/>
                <w:sz w:val="20"/>
              </w:rPr>
              <w:t>99.2</w:t>
            </w:r>
          </w:p>
        </w:tc>
        <w:tc>
          <w:tcPr>
            <w:tcW w:type="dxa" w:w="960"/>
          </w:tcPr>
          <w:p>
            <w:r>
              <w:rPr>
                <w:rFonts w:ascii="Times New Roman" w:hAnsi="Times New Roman"/>
                <w:sz w:val="20"/>
              </w:rPr>
              <w:t>99.30</w:t>
            </w:r>
          </w:p>
        </w:tc>
        <w:tc>
          <w:tcPr>
            <w:tcW w:type="dxa" w:w="960"/>
          </w:tcPr>
          <w:p>
            <w:r>
              <w:rPr>
                <w:rFonts w:ascii="Times New Roman" w:hAnsi="Times New Roman"/>
                <w:sz w:val="20"/>
              </w:rPr>
              <w:t>0.989</w:t>
            </w:r>
          </w:p>
        </w:tc>
        <w:tc>
          <w:tcPr>
            <w:tcW w:type="dxa" w:w="960"/>
          </w:tcPr>
          <w:p>
            <w:r>
              <w:rPr>
                <w:rFonts w:ascii="Times New Roman" w:hAnsi="Times New Roman"/>
                <w:sz w:val="20"/>
              </w:rPr>
              <w:t>0.989</w:t>
            </w:r>
          </w:p>
        </w:tc>
        <w:tc>
          <w:tcPr>
            <w:tcW w:type="dxa" w:w="960"/>
          </w:tcPr>
          <w:p>
            <w:r>
              <w:rPr>
                <w:rFonts w:ascii="Times New Roman" w:hAnsi="Times New Roman"/>
                <w:sz w:val="20"/>
              </w:rPr>
              <w:t>0.9995</w:t>
            </w:r>
          </w:p>
        </w:tc>
        <w:tc>
          <w:tcPr>
            <w:tcW w:type="dxa" w:w="960"/>
          </w:tcPr>
          <w:p>
            <w:r>
              <w:rPr>
                <w:rFonts w:ascii="Times New Roman" w:hAnsi="Times New Roman"/>
                <w:sz w:val="20"/>
              </w:rPr>
              <w:t>0.0263</w:t>
            </w:r>
          </w:p>
        </w:tc>
      </w:tr>
    </w:tbl>
    <w:p/>
    <w:p>
      <w:pPr>
        <w:jc w:val="center"/>
      </w:pPr>
      <w:r>
        <w:rPr>
          <w:rFonts w:ascii="Times New Roman" w:hAnsi="Times New Roman"/>
          <w:i/>
          <w:color w:val="808080"/>
          <w:sz w:val="22"/>
        </w:rPr>
        <w:t>[INSERT FIGURE 5 HERE — full page width]</w:t>
      </w:r>
    </w:p>
    <w:p>
      <w:pPr>
        <w:jc w:val="center"/>
      </w:pPr>
      <w:r>
        <w:rPr>
          <w:rFonts w:ascii="Times New Roman" w:hAnsi="Times New Roman"/>
          <w:i/>
          <w:sz w:val="20"/>
        </w:rPr>
        <w:t>Figure 5. Five-fold cross-validation training and validation curves for HSANet. [fig_02_cv_training_curves.png]</w:t>
      </w:r>
    </w:p>
    <w:p/>
    <w:p>
      <w:pPr>
        <w:jc w:val="center"/>
      </w:pPr>
      <w:r>
        <w:rPr>
          <w:rFonts w:ascii="Times New Roman" w:hAnsi="Times New Roman"/>
          <w:i/>
          <w:color w:val="808080"/>
          <w:sz w:val="22"/>
        </w:rPr>
        <w:t>[INSERT FIGURE 6 HERE — full page width]</w:t>
      </w:r>
    </w:p>
    <w:p>
      <w:pPr>
        <w:jc w:val="center"/>
      </w:pPr>
      <w:r>
        <w:rPr>
          <w:rFonts w:ascii="Times New Roman" w:hAnsi="Times New Roman"/>
          <w:i/>
          <w:sz w:val="20"/>
        </w:rPr>
        <w:t>Figure 6. Confusion matrix of HSANet on the BRISC test set. [fig_03_hsanet_confusion_matrix.png]</w:t>
      </w:r>
    </w:p>
    <w:p/>
    <w:p>
      <w:pPr>
        <w:jc w:val="center"/>
      </w:pPr>
      <w:r>
        <w:rPr>
          <w:rFonts w:ascii="Times New Roman" w:hAnsi="Times New Roman"/>
          <w:i/>
          <w:color w:val="808080"/>
          <w:sz w:val="22"/>
        </w:rPr>
        <w:t>[INSERT FIGURE 7 HERE — full page width]</w:t>
      </w:r>
    </w:p>
    <w:p>
      <w:pPr>
        <w:jc w:val="center"/>
      </w:pPr>
      <w:r>
        <w:rPr>
          <w:rFonts w:ascii="Times New Roman" w:hAnsi="Times New Roman"/>
          <w:i/>
          <w:sz w:val="20"/>
        </w:rPr>
        <w:t>Figure 7. Per-class ROC curves for HSANet. [fig_04_hsanet_roc_curves.png]</w:t>
      </w:r>
    </w:p>
    <w:p/>
    <w:p>
      <w:r>
        <w:rPr>
          <w:rFonts w:ascii="Times New Roman" w:hAnsi="Times New Roman"/>
          <w:b w:val="0"/>
          <w:i w:val="0"/>
          <w:sz w:val="24"/>
        </w:rPr>
        <w:t>Five-fold cross-validation on BRISC training data yields mean accuracy 99.06 ± 0.17% (95% CI ±0.15), macro-F1 99.08 ± 0.17%, AUC 0.99949 ± 0.00031, ECE 0.018 ± 0.004, and κ 0.987 ± 0.002. Bootstrap 95% confidence interval for test accuracy is [98.6%, 99.7%]. HSANet achieves the highest test accuracy and macro-F1. McNemar comparison against ResNet-50 is significant (χ² = 4.08, p = 0.043; HSANet correct on 10 discordant cases where ResNet-50 errs versus 2 converse), while comparison against ViT-B/16 is not significant (p = 1.0), consistent with near-ceiling benchmark performance.</w:t>
      </w:r>
    </w:p>
    <w:p>
      <w:r>
        <w:rPr>
          <w:rFonts w:ascii="Times New Roman" w:hAnsi="Times New Roman"/>
          <w:b w:val="0"/>
          <w:i w:val="0"/>
          <w:sz w:val="24"/>
        </w:rPr>
        <w:t>Per-class F1 scores for HSANet are: glioma 99.01%, meningioma 98.86%, no tumor 100.00%, pituitary 99.33%. Most errors involve confusion between meningioma and pituitary classes.</w:t>
      </w:r>
    </w:p>
    <w:p>
      <w:pPr>
        <w:jc w:val="center"/>
      </w:pPr>
      <w:r>
        <w:rPr>
          <w:rFonts w:ascii="Times New Roman" w:hAnsi="Times New Roman"/>
          <w:i/>
          <w:color w:val="808080"/>
          <w:sz w:val="22"/>
        </w:rPr>
        <w:t>[INSERT FIGURE 8 HERE — full page width]</w:t>
      </w:r>
    </w:p>
    <w:p>
      <w:pPr>
        <w:jc w:val="center"/>
      </w:pPr>
      <w:r>
        <w:rPr>
          <w:rFonts w:ascii="Times New Roman" w:hAnsi="Times New Roman"/>
          <w:i/>
          <w:sz w:val="20"/>
        </w:rPr>
        <w:t>Figure 8. Accuracy comparison across all models. [fig_05_accuracy_comparison.png]</w:t>
      </w:r>
    </w:p>
    <w:p/>
    <w:p>
      <w:pPr>
        <w:jc w:val="center"/>
      </w:pPr>
      <w:r>
        <w:rPr>
          <w:rFonts w:ascii="Times New Roman" w:hAnsi="Times New Roman"/>
          <w:i/>
          <w:color w:val="808080"/>
          <w:sz w:val="22"/>
        </w:rPr>
        <w:t>[INSERT FIGURE 9 HERE — full page width]</w:t>
      </w:r>
    </w:p>
    <w:p>
      <w:pPr>
        <w:jc w:val="center"/>
      </w:pPr>
      <w:r>
        <w:rPr>
          <w:rFonts w:ascii="Times New Roman" w:hAnsi="Times New Roman"/>
          <w:i/>
          <w:sz w:val="20"/>
        </w:rPr>
        <w:t>Figure 9. Accuracy versus parameter count (efficiency frontier). [fig_06_accuracy_vs_params.png]</w:t>
      </w:r>
    </w:p>
    <w:p/>
    <w:p>
      <w:pPr>
        <w:jc w:val="center"/>
      </w:pPr>
      <w:r>
        <w:rPr>
          <w:rFonts w:ascii="Times New Roman" w:hAnsi="Times New Roman"/>
          <w:i/>
          <w:color w:val="808080"/>
          <w:sz w:val="22"/>
        </w:rPr>
        <w:t>[INSERT FIGURE 10 HERE — full page width]</w:t>
      </w:r>
    </w:p>
    <w:p>
      <w:pPr>
        <w:jc w:val="center"/>
      </w:pPr>
      <w:r>
        <w:rPr>
          <w:rFonts w:ascii="Times New Roman" w:hAnsi="Times New Roman"/>
          <w:i/>
          <w:sz w:val="20"/>
        </w:rPr>
        <w:t>Figure 10. Confusion matrices for baseline models. [fig_07_baseline_confusion_matrices.png]</w:t>
      </w:r>
    </w:p>
    <w:p/>
    <w:p>
      <w:pPr>
        <w:pStyle w:val="Heading2"/>
      </w:pPr>
      <w:r>
        <w:rPr>
          <w:rFonts w:ascii="Times New Roman" w:hAnsi="Times New Roman"/>
          <w:color w:val="000000"/>
        </w:rPr>
        <w:t>4.2 Architectural Ablation (Version 6)</w:t>
      </w:r>
    </w:p>
    <w:p>
      <w:pPr>
        <w:jc w:val="center"/>
      </w:pPr>
      <w:r>
        <w:rPr>
          <w:rFonts w:ascii="Times New Roman" w:hAnsi="Times New Roman"/>
          <w:b/>
          <w:sz w:val="20"/>
        </w:rPr>
        <w:t>Table 2. Component ablation on BRISC test set. Unc. ratio = mean uncertainty on incorrect / correct predictions.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Configuration</w:t>
            </w:r>
          </w:p>
        </w:tc>
        <w:tc>
          <w:tcPr>
            <w:tcW w:type="dxa" w:w="1440"/>
          </w:tcPr>
          <w:p>
            <w:r>
              <w:rPr>
                <w:rFonts w:ascii="Times New Roman" w:hAnsi="Times New Roman"/>
                <w:b/>
                <w:sz w:val="20"/>
              </w:rPr>
              <w:t>Params (M)</w:t>
            </w:r>
          </w:p>
        </w:tc>
        <w:tc>
          <w:tcPr>
            <w:tcW w:type="dxa" w:w="1440"/>
          </w:tcPr>
          <w:p>
            <w:r>
              <w:rPr>
                <w:rFonts w:ascii="Times New Roman" w:hAnsi="Times New Roman"/>
                <w:b/>
                <w:sz w:val="20"/>
              </w:rPr>
              <w:t>Acc. (%)</w:t>
            </w:r>
          </w:p>
        </w:tc>
        <w:tc>
          <w:tcPr>
            <w:tcW w:type="dxa" w:w="1440"/>
          </w:tcPr>
          <w:p>
            <w:r>
              <w:rPr>
                <w:rFonts w:ascii="Times New Roman" w:hAnsi="Times New Roman"/>
                <w:b/>
                <w:sz w:val="20"/>
              </w:rPr>
              <w:t>Macro-F1 (%)</w:t>
            </w:r>
          </w:p>
        </w:tc>
        <w:tc>
          <w:tcPr>
            <w:tcW w:type="dxa" w:w="1440"/>
          </w:tcPr>
          <w:p>
            <w:r>
              <w:rPr>
                <w:rFonts w:ascii="Times New Roman" w:hAnsi="Times New Roman"/>
                <w:b/>
                <w:sz w:val="20"/>
              </w:rPr>
              <w:t>ECE</w:t>
            </w:r>
          </w:p>
        </w:tc>
        <w:tc>
          <w:tcPr>
            <w:tcW w:type="dxa" w:w="1440"/>
          </w:tcPr>
          <w:p>
            <w:r>
              <w:rPr>
                <w:rFonts w:ascii="Times New Roman" w:hAnsi="Times New Roman"/>
                <w:b/>
                <w:sz w:val="20"/>
              </w:rPr>
              <w:t>Unc. ratio</w:t>
            </w:r>
          </w:p>
        </w:tc>
      </w:tr>
      <w:tr>
        <w:tc>
          <w:tcPr>
            <w:tcW w:type="dxa" w:w="1440"/>
          </w:tcPr>
          <w:p>
            <w:r>
              <w:rPr>
                <w:rFonts w:ascii="Times New Roman" w:hAnsi="Times New Roman"/>
                <w:sz w:val="20"/>
              </w:rPr>
              <w:t>Backbone only</w:t>
            </w:r>
          </w:p>
        </w:tc>
        <w:tc>
          <w:tcPr>
            <w:tcW w:type="dxa" w:w="1440"/>
          </w:tcPr>
          <w:p>
            <w:r>
              <w:rPr>
                <w:rFonts w:ascii="Times New Roman" w:hAnsi="Times New Roman"/>
                <w:sz w:val="20"/>
              </w:rPr>
              <w:t>10.28</w:t>
            </w:r>
          </w:p>
        </w:tc>
        <w:tc>
          <w:tcPr>
            <w:tcW w:type="dxa" w:w="1440"/>
          </w:tcPr>
          <w:p>
            <w:r>
              <w:rPr>
                <w:rFonts w:ascii="Times New Roman" w:hAnsi="Times New Roman"/>
                <w:sz w:val="20"/>
              </w:rPr>
              <w:t>98.5</w:t>
            </w:r>
          </w:p>
        </w:tc>
        <w:tc>
          <w:tcPr>
            <w:tcW w:type="dxa" w:w="1440"/>
          </w:tcPr>
          <w:p>
            <w:r>
              <w:rPr>
                <w:rFonts w:ascii="Times New Roman" w:hAnsi="Times New Roman"/>
                <w:sz w:val="20"/>
              </w:rPr>
              <w:t>98.52</w:t>
            </w:r>
          </w:p>
        </w:tc>
        <w:tc>
          <w:tcPr>
            <w:tcW w:type="dxa" w:w="1440"/>
          </w:tcPr>
          <w:p>
            <w:r>
              <w:rPr>
                <w:rFonts w:ascii="Times New Roman" w:hAnsi="Times New Roman"/>
                <w:sz w:val="20"/>
              </w:rPr>
              <w:t>0.0359</w:t>
            </w:r>
          </w:p>
        </w:tc>
        <w:tc>
          <w:tcPr>
            <w:tcW w:type="dxa" w:w="1440"/>
          </w:tcPr>
          <w:p>
            <w:r>
              <w:rPr>
                <w:rFonts w:ascii="Times New Roman" w:hAnsi="Times New Roman"/>
                <w:sz w:val="20"/>
              </w:rPr>
              <w:t>2.00×</w:t>
            </w:r>
          </w:p>
        </w:tc>
      </w:tr>
      <w:tr>
        <w:tc>
          <w:tcPr>
            <w:tcW w:type="dxa" w:w="1440"/>
          </w:tcPr>
          <w:p>
            <w:r>
              <w:rPr>
                <w:rFonts w:ascii="Times New Roman" w:hAnsi="Times New Roman"/>
                <w:sz w:val="20"/>
              </w:rPr>
              <w:t>+ AMSM (HSANet v6)</w:t>
            </w:r>
          </w:p>
        </w:tc>
        <w:tc>
          <w:tcPr>
            <w:tcW w:type="dxa" w:w="1440"/>
          </w:tcPr>
          <w:p>
            <w:r>
              <w:rPr>
                <w:rFonts w:ascii="Times New Roman" w:hAnsi="Times New Roman"/>
                <w:sz w:val="20"/>
              </w:rPr>
              <w:t>10.97</w:t>
            </w:r>
          </w:p>
        </w:tc>
        <w:tc>
          <w:tcPr>
            <w:tcW w:type="dxa" w:w="1440"/>
          </w:tcPr>
          <w:p>
            <w:r>
              <w:rPr>
                <w:rFonts w:ascii="Times New Roman" w:hAnsi="Times New Roman"/>
                <w:sz w:val="20"/>
              </w:rPr>
              <w:t>99.2</w:t>
            </w:r>
          </w:p>
        </w:tc>
        <w:tc>
          <w:tcPr>
            <w:tcW w:type="dxa" w:w="1440"/>
          </w:tcPr>
          <w:p>
            <w:r>
              <w:rPr>
                <w:rFonts w:ascii="Times New Roman" w:hAnsi="Times New Roman"/>
                <w:sz w:val="20"/>
              </w:rPr>
              <w:t>99.30</w:t>
            </w:r>
          </w:p>
        </w:tc>
        <w:tc>
          <w:tcPr>
            <w:tcW w:type="dxa" w:w="1440"/>
          </w:tcPr>
          <w:p>
            <w:r>
              <w:rPr>
                <w:rFonts w:ascii="Times New Roman" w:hAnsi="Times New Roman"/>
                <w:sz w:val="20"/>
              </w:rPr>
              <w:t>0.0263</w:t>
            </w:r>
          </w:p>
        </w:tc>
        <w:tc>
          <w:tcPr>
            <w:tcW w:type="dxa" w:w="1440"/>
          </w:tcPr>
          <w:p>
            <w:r>
              <w:rPr>
                <w:rFonts w:ascii="Times New Roman" w:hAnsi="Times New Roman"/>
                <w:sz w:val="20"/>
              </w:rPr>
              <w:t>2.60×</w:t>
            </w:r>
          </w:p>
        </w:tc>
      </w:tr>
    </w:tbl>
    <w:p/>
    <w:p>
      <w:pPr>
        <w:jc w:val="center"/>
      </w:pPr>
      <w:r>
        <w:rPr>
          <w:rFonts w:ascii="Times New Roman" w:hAnsi="Times New Roman"/>
          <w:i/>
          <w:color w:val="808080"/>
          <w:sz w:val="22"/>
        </w:rPr>
        <w:t>[INSERT FIGURE 11 HERE — full page width]</w:t>
      </w:r>
    </w:p>
    <w:p>
      <w:pPr>
        <w:jc w:val="center"/>
      </w:pPr>
      <w:r>
        <w:rPr>
          <w:rFonts w:ascii="Times New Roman" w:hAnsi="Times New Roman"/>
          <w:i/>
          <w:sz w:val="20"/>
        </w:rPr>
        <w:t>Figure 11. In-domain architectural ablation results. [fig_10_ablation_study.png]</w:t>
      </w:r>
    </w:p>
    <w:p/>
    <w:p>
      <w:r>
        <w:rPr>
          <w:rFonts w:ascii="Times New Roman" w:hAnsi="Times New Roman"/>
          <w:b w:val="0"/>
          <w:i w:val="0"/>
          <w:sz w:val="24"/>
        </w:rPr>
        <w:t>AMSM contributes +0.7 percentage points in accuracy over the backbone alone and improves uncertainty separability (ratio 2.00× to 2.60×), confirming that multi-scale fusion drives gains.</w:t>
      </w:r>
    </w:p>
    <w:p>
      <w:pPr>
        <w:pStyle w:val="Heading2"/>
      </w:pPr>
      <w:r>
        <w:rPr>
          <w:rFonts w:ascii="Times New Roman" w:hAnsi="Times New Roman"/>
          <w:color w:val="000000"/>
        </w:rPr>
        <w:t>4.3 Loss Function Fairness Ablation</w:t>
      </w:r>
    </w:p>
    <w:p>
      <w:r>
        <w:rPr>
          <w:rFonts w:ascii="Times New Roman" w:hAnsi="Times New Roman"/>
          <w:b w:val="0"/>
          <w:i w:val="0"/>
          <w:sz w:val="24"/>
        </w:rPr>
        <w:t>HSANet trained with CE+focal only (no KL term) achieves 98.6% accuracy versus 99.2% with full EDL at identical architecture—a +0.6 percentage point contribution from the evidential objective. The best baseline (ViT-B/16, 99.1%) trails full HSANet but exceeds the CE-only HSANet variant, indicating that reported improvements arise from the combination of architecture and EDL rather than loss mismatch alone.</w:t>
      </w:r>
    </w:p>
    <w:p>
      <w:pPr>
        <w:jc w:val="center"/>
      </w:pPr>
      <w:r>
        <w:rPr>
          <w:rFonts w:ascii="Times New Roman" w:hAnsi="Times New Roman"/>
          <w:i/>
          <w:color w:val="808080"/>
          <w:sz w:val="22"/>
        </w:rPr>
        <w:t>[INSERT FIGURE 12 HERE — full page width]</w:t>
      </w:r>
    </w:p>
    <w:p>
      <w:pPr>
        <w:jc w:val="center"/>
      </w:pPr>
      <w:r>
        <w:rPr>
          <w:rFonts w:ascii="Times New Roman" w:hAnsi="Times New Roman"/>
          <w:i/>
          <w:sz w:val="20"/>
        </w:rPr>
        <w:t>Figure 12. Decomposition of accuracy gains: baseline, architecture, and EDL contributions. [fig_07b_loss_fairness.png]</w:t>
      </w:r>
    </w:p>
    <w:p/>
    <w:p>
      <w:pPr>
        <w:pStyle w:val="Heading2"/>
      </w:pPr>
      <w:r>
        <w:rPr>
          <w:rFonts w:ascii="Times New Roman" w:hAnsi="Times New Roman"/>
          <w:color w:val="000000"/>
        </w:rPr>
        <w:t>4.4 Cross-Dataset Generalization</w:t>
      </w:r>
    </w:p>
    <w:p>
      <w:pPr>
        <w:jc w:val="center"/>
      </w:pPr>
      <w:r>
        <w:rPr>
          <w:rFonts w:ascii="Times New Roman" w:hAnsi="Times New Roman"/>
          <w:b/>
          <w:sz w:val="20"/>
        </w:rPr>
        <w:t>Table 3. Cross-dataset evaluation: train on BRISC, test on PMRAM-BD without fine-tuning.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Model / Setting</w:t>
            </w:r>
          </w:p>
        </w:tc>
        <w:tc>
          <w:tcPr>
            <w:tcW w:type="dxa" w:w="2160"/>
          </w:tcPr>
          <w:p>
            <w:r>
              <w:rPr>
                <w:rFonts w:ascii="Times New Roman" w:hAnsi="Times New Roman"/>
                <w:b/>
                <w:sz w:val="20"/>
              </w:rPr>
              <w:t>BRISC Acc. (%)</w:t>
            </w:r>
          </w:p>
        </w:tc>
        <w:tc>
          <w:tcPr>
            <w:tcW w:type="dxa" w:w="2160"/>
          </w:tcPr>
          <w:p>
            <w:r>
              <w:rPr>
                <w:rFonts w:ascii="Times New Roman" w:hAnsi="Times New Roman"/>
                <w:b/>
                <w:sz w:val="20"/>
              </w:rPr>
              <w:t>PMRAM-BD Acc. (%)</w:t>
            </w:r>
          </w:p>
        </w:tc>
        <w:tc>
          <w:tcPr>
            <w:tcW w:type="dxa" w:w="2160"/>
          </w:tcPr>
          <w:p>
            <w:r>
              <w:rPr>
                <w:rFonts w:ascii="Times New Roman" w:hAnsi="Times New Roman"/>
                <w:b/>
                <w:sz w:val="20"/>
              </w:rPr>
              <w:t>PMRAM Macro-F1 (%)</w:t>
            </w:r>
          </w:p>
        </w:tc>
      </w:tr>
      <w:tr>
        <w:tc>
          <w:tcPr>
            <w:tcW w:type="dxa" w:w="2160"/>
          </w:tcPr>
          <w:p>
            <w:r>
              <w:rPr>
                <w:rFonts w:ascii="Times New Roman" w:hAnsi="Times New Roman"/>
                <w:sz w:val="20"/>
              </w:rPr>
              <w:t>HSANet (v6)</w:t>
            </w:r>
          </w:p>
        </w:tc>
        <w:tc>
          <w:tcPr>
            <w:tcW w:type="dxa" w:w="2160"/>
          </w:tcPr>
          <w:p>
            <w:r>
              <w:rPr>
                <w:rFonts w:ascii="Times New Roman" w:hAnsi="Times New Roman"/>
                <w:sz w:val="20"/>
              </w:rPr>
              <w:t>99.2</w:t>
            </w:r>
          </w:p>
        </w:tc>
        <w:tc>
          <w:tcPr>
            <w:tcW w:type="dxa" w:w="2160"/>
          </w:tcPr>
          <w:p>
            <w:r>
              <w:rPr>
                <w:rFonts w:ascii="Times New Roman" w:hAnsi="Times New Roman"/>
                <w:sz w:val="20"/>
              </w:rPr>
              <w:t>97.41</w:t>
            </w:r>
          </w:p>
        </w:tc>
        <w:tc>
          <w:tcPr>
            <w:tcW w:type="dxa" w:w="2160"/>
          </w:tcPr>
          <w:p>
            <w:r>
              <w:rPr>
                <w:rFonts w:ascii="Times New Roman" w:hAnsi="Times New Roman"/>
                <w:sz w:val="20"/>
              </w:rPr>
              <w:t>97.41</w:t>
            </w:r>
          </w:p>
        </w:tc>
      </w:tr>
      <w:tr>
        <w:tc>
          <w:tcPr>
            <w:tcW w:type="dxa" w:w="2160"/>
          </w:tcPr>
          <w:p>
            <w:r>
              <w:rPr>
                <w:rFonts w:ascii="Times New Roman" w:hAnsi="Times New Roman"/>
                <w:sz w:val="20"/>
              </w:rPr>
              <w:t>Backbone only (ablation)</w:t>
            </w:r>
          </w:p>
        </w:tc>
        <w:tc>
          <w:tcPr>
            <w:tcW w:type="dxa" w:w="2160"/>
          </w:tcPr>
          <w:p>
            <w:r>
              <w:rPr>
                <w:rFonts w:ascii="Times New Roman" w:hAnsi="Times New Roman"/>
                <w:sz w:val="20"/>
              </w:rPr>
              <w:t>98.5</w:t>
            </w:r>
          </w:p>
        </w:tc>
        <w:tc>
          <w:tcPr>
            <w:tcW w:type="dxa" w:w="2160"/>
          </w:tcPr>
          <w:p>
            <w:r>
              <w:rPr>
                <w:rFonts w:ascii="Times New Roman" w:hAnsi="Times New Roman"/>
                <w:sz w:val="20"/>
              </w:rPr>
              <w:t>97.01</w:t>
            </w:r>
          </w:p>
        </w:tc>
        <w:tc>
          <w:tcPr>
            <w:tcW w:type="dxa" w:w="2160"/>
          </w:tcPr>
          <w:p>
            <w:r>
              <w:rPr>
                <w:rFonts w:ascii="Times New Roman" w:hAnsi="Times New Roman"/>
                <w:sz w:val="20"/>
              </w:rPr>
              <w:t>97.00</w:t>
            </w:r>
          </w:p>
        </w:tc>
      </w:tr>
      <w:tr>
        <w:tc>
          <w:tcPr>
            <w:tcW w:type="dxa" w:w="2160"/>
          </w:tcPr>
          <w:p>
            <w:r>
              <w:rPr>
                <w:rFonts w:ascii="Times New Roman" w:hAnsi="Times New Roman"/>
                <w:sz w:val="20"/>
              </w:rPr>
              <w:t>+ AMSM (ablation)</w:t>
            </w:r>
          </w:p>
        </w:tc>
        <w:tc>
          <w:tcPr>
            <w:tcW w:type="dxa" w:w="2160"/>
          </w:tcPr>
          <w:p>
            <w:r>
              <w:rPr>
                <w:rFonts w:ascii="Times New Roman" w:hAnsi="Times New Roman"/>
                <w:sz w:val="20"/>
              </w:rPr>
              <w:t>99.2</w:t>
            </w:r>
          </w:p>
        </w:tc>
        <w:tc>
          <w:tcPr>
            <w:tcW w:type="dxa" w:w="2160"/>
          </w:tcPr>
          <w:p>
            <w:r>
              <w:rPr>
                <w:rFonts w:ascii="Times New Roman" w:hAnsi="Times New Roman"/>
                <w:sz w:val="20"/>
              </w:rPr>
              <w:t>97.41</w:t>
            </w:r>
          </w:p>
        </w:tc>
        <w:tc>
          <w:tcPr>
            <w:tcW w:type="dxa" w:w="2160"/>
          </w:tcPr>
          <w:p>
            <w:r>
              <w:rPr>
                <w:rFonts w:ascii="Times New Roman" w:hAnsi="Times New Roman"/>
                <w:sz w:val="20"/>
              </w:rPr>
              <w:t>97.41</w:t>
            </w:r>
          </w:p>
        </w:tc>
      </w:tr>
    </w:tbl>
    <w:p/>
    <w:p>
      <w:pPr>
        <w:jc w:val="center"/>
      </w:pPr>
      <w:r>
        <w:rPr>
          <w:rFonts w:ascii="Times New Roman" w:hAnsi="Times New Roman"/>
          <w:i/>
          <w:color w:val="808080"/>
          <w:sz w:val="22"/>
        </w:rPr>
        <w:t>[INSERT FIGURE 13 HERE — full page width]</w:t>
      </w:r>
    </w:p>
    <w:p>
      <w:pPr>
        <w:jc w:val="center"/>
      </w:pPr>
      <w:r>
        <w:rPr>
          <w:rFonts w:ascii="Times New Roman" w:hAnsi="Times New Roman"/>
          <w:i/>
          <w:sz w:val="20"/>
        </w:rPr>
        <w:t>Figure 13. Cross-dataset generalization across models. [fig_08_cross_dataset_generalization.png]</w:t>
      </w:r>
    </w:p>
    <w:p/>
    <w:p>
      <w:pPr>
        <w:jc w:val="center"/>
      </w:pPr>
      <w:r>
        <w:rPr>
          <w:rFonts w:ascii="Times New Roman" w:hAnsi="Times New Roman"/>
          <w:i/>
          <w:color w:val="808080"/>
          <w:sz w:val="22"/>
        </w:rPr>
        <w:t>[INSERT FIGURE 14 HERE — full page width]</w:t>
      </w:r>
    </w:p>
    <w:p>
      <w:pPr>
        <w:jc w:val="center"/>
      </w:pPr>
      <w:r>
        <w:rPr>
          <w:rFonts w:ascii="Times New Roman" w:hAnsi="Times New Roman"/>
          <w:i/>
          <w:sz w:val="20"/>
        </w:rPr>
        <w:t>Figure 14. Generalization gap (in-domain vs. external accuracy). [fig_09_generalization_gap.png]</w:t>
      </w:r>
    </w:p>
    <w:p/>
    <w:p>
      <w:r>
        <w:rPr>
          <w:rFonts w:ascii="Times New Roman" w:hAnsi="Times New Roman"/>
          <w:b w:val="0"/>
          <w:i w:val="0"/>
          <w:sz w:val="24"/>
        </w:rPr>
        <w:t>HSANet retains 97.41% accuracy on PMRAM-BD (κ = 0.965), demonstrating useful transfer despite a 1.8 percentage point in-domain-to-external gap. AMSM improves external accuracy by +0.40 points over backbone-only.</w:t>
      </w:r>
    </w:p>
    <w:p>
      <w:pPr>
        <w:pStyle w:val="Heading2"/>
      </w:pPr>
      <w:r>
        <w:rPr>
          <w:rFonts w:ascii="Times New Roman" w:hAnsi="Times New Roman"/>
          <w:color w:val="000000"/>
        </w:rPr>
        <w:t>4.5 Uncertainty Quantification</w:t>
      </w:r>
    </w:p>
    <w:p>
      <w:pPr>
        <w:jc w:val="center"/>
      </w:pPr>
      <w:r>
        <w:rPr>
          <w:rFonts w:ascii="Times New Roman" w:hAnsi="Times New Roman"/>
          <w:b/>
          <w:sz w:val="20"/>
        </w:rPr>
        <w:t>Table 4. Misclassification detection on BRISC test set (HSANet architecture).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Method</w:t>
            </w:r>
          </w:p>
        </w:tc>
        <w:tc>
          <w:tcPr>
            <w:tcW w:type="dxa" w:w="1728"/>
          </w:tcPr>
          <w:p>
            <w:r>
              <w:rPr>
                <w:rFonts w:ascii="Times New Roman" w:hAnsi="Times New Roman"/>
                <w:b/>
                <w:sz w:val="20"/>
              </w:rPr>
              <w:t>Acc. (%)</w:t>
            </w:r>
          </w:p>
        </w:tc>
        <w:tc>
          <w:tcPr>
            <w:tcW w:type="dxa" w:w="1728"/>
          </w:tcPr>
          <w:p>
            <w:r>
              <w:rPr>
                <w:rFonts w:ascii="Times New Roman" w:hAnsi="Times New Roman"/>
                <w:b/>
                <w:sz w:val="20"/>
              </w:rPr>
              <w:t>Error AUROC</w:t>
            </w:r>
          </w:p>
        </w:tc>
        <w:tc>
          <w:tcPr>
            <w:tcW w:type="dxa" w:w="1728"/>
          </w:tcPr>
          <w:p>
            <w:r>
              <w:rPr>
                <w:rFonts w:ascii="Times New Roman" w:hAnsi="Times New Roman"/>
                <w:b/>
                <w:sz w:val="20"/>
              </w:rPr>
              <w:t>Brier</w:t>
            </w:r>
          </w:p>
        </w:tc>
        <w:tc>
          <w:tcPr>
            <w:tcW w:type="dxa" w:w="1728"/>
          </w:tcPr>
          <w:p>
            <w:r>
              <w:rPr>
                <w:rFonts w:ascii="Times New Roman" w:hAnsi="Times New Roman"/>
                <w:b/>
                <w:sz w:val="20"/>
              </w:rPr>
              <w:t>ECE</w:t>
            </w:r>
          </w:p>
        </w:tc>
      </w:tr>
      <w:tr>
        <w:tc>
          <w:tcPr>
            <w:tcW w:type="dxa" w:w="1728"/>
          </w:tcPr>
          <w:p>
            <w:r>
              <w:rPr>
                <w:rFonts w:ascii="Times New Roman" w:hAnsi="Times New Roman"/>
                <w:sz w:val="20"/>
              </w:rPr>
              <w:t>EDL (proposed)</w:t>
            </w:r>
          </w:p>
        </w:tc>
        <w:tc>
          <w:tcPr>
            <w:tcW w:type="dxa" w:w="1728"/>
          </w:tcPr>
          <w:p>
            <w:r>
              <w:rPr>
                <w:rFonts w:ascii="Times New Roman" w:hAnsi="Times New Roman"/>
                <w:sz w:val="20"/>
              </w:rPr>
              <w:t>99.2</w:t>
            </w:r>
          </w:p>
        </w:tc>
        <w:tc>
          <w:tcPr>
            <w:tcW w:type="dxa" w:w="1728"/>
          </w:tcPr>
          <w:p>
            <w:r>
              <w:rPr>
                <w:rFonts w:ascii="Times New Roman" w:hAnsi="Times New Roman"/>
                <w:sz w:val="20"/>
              </w:rPr>
              <w:t>0.946</w:t>
            </w:r>
          </w:p>
        </w:tc>
        <w:tc>
          <w:tcPr>
            <w:tcW w:type="dxa" w:w="1728"/>
          </w:tcPr>
          <w:p>
            <w:r>
              <w:rPr>
                <w:rFonts w:ascii="Times New Roman" w:hAnsi="Times New Roman"/>
                <w:sz w:val="20"/>
              </w:rPr>
              <w:t>0.00314</w:t>
            </w:r>
          </w:p>
        </w:tc>
        <w:tc>
          <w:tcPr>
            <w:tcW w:type="dxa" w:w="1728"/>
          </w:tcPr>
          <w:p>
            <w:r>
              <w:rPr>
                <w:rFonts w:ascii="Times New Roman" w:hAnsi="Times New Roman"/>
                <w:sz w:val="20"/>
              </w:rPr>
              <w:t>0.0263</w:t>
            </w:r>
          </w:p>
        </w:tc>
      </w:tr>
      <w:tr>
        <w:tc>
          <w:tcPr>
            <w:tcW w:type="dxa" w:w="1728"/>
          </w:tcPr>
          <w:p>
            <w:r>
              <w:rPr>
                <w:rFonts w:ascii="Times New Roman" w:hAnsi="Times New Roman"/>
                <w:sz w:val="20"/>
              </w:rPr>
              <w:t>MC-Dropout (entropy)</w:t>
            </w:r>
          </w:p>
        </w:tc>
        <w:tc>
          <w:tcPr>
            <w:tcW w:type="dxa" w:w="1728"/>
          </w:tcPr>
          <w:p>
            <w:r>
              <w:rPr>
                <w:rFonts w:ascii="Times New Roman" w:hAnsi="Times New Roman"/>
                <w:sz w:val="20"/>
              </w:rPr>
              <w:t>99.2</w:t>
            </w:r>
          </w:p>
        </w:tc>
        <w:tc>
          <w:tcPr>
            <w:tcW w:type="dxa" w:w="1728"/>
          </w:tcPr>
          <w:p>
            <w:r>
              <w:rPr>
                <w:rFonts w:ascii="Times New Roman" w:hAnsi="Times New Roman"/>
                <w:sz w:val="20"/>
              </w:rPr>
              <w:t>0.960</w:t>
            </w:r>
          </w:p>
        </w:tc>
        <w:tc>
          <w:tcPr>
            <w:tcW w:type="dxa" w:w="1728"/>
          </w:tcPr>
          <w:p>
            <w:r>
              <w:rPr>
                <w:rFonts w:ascii="Times New Roman" w:hAnsi="Times New Roman"/>
                <w:sz w:val="20"/>
              </w:rPr>
              <w:t>0.00308</w:t>
            </w:r>
          </w:p>
        </w:tc>
        <w:tc>
          <w:tcPr>
            <w:tcW w:type="dxa" w:w="1728"/>
          </w:tcPr>
          <w:p>
            <w:r>
              <w:rPr>
                <w:rFonts w:ascii="Times New Roman" w:hAnsi="Times New Roman"/>
                <w:sz w:val="20"/>
              </w:rPr>
              <w:t>0.0256</w:t>
            </w:r>
          </w:p>
        </w:tc>
      </w:tr>
      <w:tr>
        <w:tc>
          <w:tcPr>
            <w:tcW w:type="dxa" w:w="1728"/>
          </w:tcPr>
          <w:p>
            <w:r>
              <w:rPr>
                <w:rFonts w:ascii="Times New Roman" w:hAnsi="Times New Roman"/>
                <w:sz w:val="20"/>
              </w:rPr>
              <w:t>MC-Dropout (MI)</w:t>
            </w:r>
          </w:p>
        </w:tc>
        <w:tc>
          <w:tcPr>
            <w:tcW w:type="dxa" w:w="1728"/>
          </w:tcPr>
          <w:p>
            <w:r>
              <w:rPr>
                <w:rFonts w:ascii="Times New Roman" w:hAnsi="Times New Roman"/>
                <w:sz w:val="20"/>
              </w:rPr>
              <w:t>99.2</w:t>
            </w:r>
          </w:p>
        </w:tc>
        <w:tc>
          <w:tcPr>
            <w:tcW w:type="dxa" w:w="1728"/>
          </w:tcPr>
          <w:p>
            <w:r>
              <w:rPr>
                <w:rFonts w:ascii="Times New Roman" w:hAnsi="Times New Roman"/>
                <w:sz w:val="20"/>
              </w:rPr>
              <w:t>0.910</w:t>
            </w:r>
          </w:p>
        </w:tc>
        <w:tc>
          <w:tcPr>
            <w:tcW w:type="dxa" w:w="1728"/>
          </w:tcPr>
          <w:p>
            <w:r>
              <w:rPr>
                <w:rFonts w:ascii="Times New Roman" w:hAnsi="Times New Roman"/>
                <w:sz w:val="20"/>
              </w:rPr>
              <w:t>0.00308</w:t>
            </w:r>
          </w:p>
        </w:tc>
        <w:tc>
          <w:tcPr>
            <w:tcW w:type="dxa" w:w="1728"/>
          </w:tcPr>
          <w:p>
            <w:r>
              <w:rPr>
                <w:rFonts w:ascii="Times New Roman" w:hAnsi="Times New Roman"/>
                <w:sz w:val="20"/>
              </w:rPr>
              <w:t>0.0256</w:t>
            </w:r>
          </w:p>
        </w:tc>
      </w:tr>
    </w:tbl>
    <w:p/>
    <w:p>
      <w:pPr>
        <w:jc w:val="center"/>
      </w:pPr>
      <w:r>
        <w:rPr>
          <w:rFonts w:ascii="Times New Roman" w:hAnsi="Times New Roman"/>
          <w:i/>
          <w:color w:val="808080"/>
          <w:sz w:val="22"/>
        </w:rPr>
        <w:t>[INSERT FIGURE 15 HERE — full page width]</w:t>
      </w:r>
    </w:p>
    <w:p>
      <w:pPr>
        <w:jc w:val="center"/>
      </w:pPr>
      <w:r>
        <w:rPr>
          <w:rFonts w:ascii="Times New Roman" w:hAnsi="Times New Roman"/>
          <w:i/>
          <w:sz w:val="20"/>
        </w:rPr>
        <w:t>Figure 15. Calibration and reliability diagrams. [fig_14_calibration.png]</w:t>
      </w:r>
    </w:p>
    <w:p/>
    <w:p>
      <w:pPr>
        <w:jc w:val="center"/>
      </w:pPr>
      <w:r>
        <w:rPr>
          <w:rFonts w:ascii="Times New Roman" w:hAnsi="Times New Roman"/>
          <w:i/>
          <w:color w:val="808080"/>
          <w:sz w:val="22"/>
        </w:rPr>
        <w:t>[INSERT FIGURE 16 HERE — full page width]</w:t>
      </w:r>
    </w:p>
    <w:p>
      <w:pPr>
        <w:jc w:val="center"/>
      </w:pPr>
      <w:r>
        <w:rPr>
          <w:rFonts w:ascii="Times New Roman" w:hAnsi="Times New Roman"/>
          <w:i/>
          <w:sz w:val="20"/>
        </w:rPr>
        <w:t>Figure 16. EDL versus MC-Dropout uncertainty comparison. [fig_14b_edl_vs_mcdropout.png]</w:t>
      </w:r>
    </w:p>
    <w:p/>
    <w:p>
      <w:pPr>
        <w:jc w:val="center"/>
      </w:pPr>
      <w:r>
        <w:rPr>
          <w:rFonts w:ascii="Times New Roman" w:hAnsi="Times New Roman"/>
          <w:i/>
          <w:color w:val="808080"/>
          <w:sz w:val="22"/>
        </w:rPr>
        <w:t>[INSERT FIGURE 17 HERE — full page width]</w:t>
      </w:r>
    </w:p>
    <w:p>
      <w:pPr>
        <w:jc w:val="center"/>
      </w:pPr>
      <w:r>
        <w:rPr>
          <w:rFonts w:ascii="Times New Roman" w:hAnsi="Times New Roman"/>
          <w:i/>
          <w:sz w:val="20"/>
        </w:rPr>
        <w:t>Figure 17. Selective prediction: accuracy versus coverage as uncertain cases are deferred. [fig_13_selective_prediction.png]</w:t>
      </w:r>
    </w:p>
    <w:p/>
    <w:p>
      <w:r>
        <w:rPr>
          <w:rFonts w:ascii="Times New Roman" w:hAnsi="Times New Roman"/>
          <w:b w:val="0"/>
          <w:i w:val="0"/>
          <w:sz w:val="24"/>
        </w:rPr>
        <w:t>MC-dropout (20 samples) achieves marginally higher error-detection AUROC (0.960 vs. 0.946) but requires twenty forward passes. EDL provides comparable Brier scores in a single pass. Mean uncertainty on misclassified samples is 2.60× that on correct samples for EDL.</w:t>
      </w:r>
    </w:p>
    <w:p>
      <w:pPr>
        <w:pStyle w:val="Heading2"/>
      </w:pPr>
      <w:r>
        <w:rPr>
          <w:rFonts w:ascii="Times New Roman" w:hAnsi="Times New Roman"/>
          <w:color w:val="000000"/>
        </w:rPr>
        <w:t>4.6 Hyperparameter and Class-Weighting Sensitivity</w:t>
      </w:r>
    </w:p>
    <w:p>
      <w:r>
        <w:rPr>
          <w:rFonts w:ascii="Times New Roman" w:hAnsi="Times New Roman"/>
          <w:b w:val="0"/>
          <w:i w:val="0"/>
          <w:sz w:val="24"/>
        </w:rPr>
        <w:t>Grid search over (λ_KL, λ_focal) yields accuracies in the range 98.5–99.4%, with a stable high-performance region near (0.3, 0.3); default values (0.2, 0.3) lie within this region. Class-weighting ablation shows that combined sampler and loss weighting can inflate accuracy (99.6%) while increasing per-class F1 variance; the main model uses balanced loss-only weighting.</w:t>
      </w:r>
    </w:p>
    <w:p>
      <w:pPr>
        <w:jc w:val="center"/>
      </w:pPr>
      <w:r>
        <w:rPr>
          <w:rFonts w:ascii="Times New Roman" w:hAnsi="Times New Roman"/>
          <w:i/>
          <w:color w:val="808080"/>
          <w:sz w:val="22"/>
        </w:rPr>
        <w:t>[INSERT FIGURE 18 HERE — full page width]</w:t>
      </w:r>
    </w:p>
    <w:p>
      <w:pPr>
        <w:jc w:val="center"/>
      </w:pPr>
      <w:r>
        <w:rPr>
          <w:rFonts w:ascii="Times New Roman" w:hAnsi="Times New Roman"/>
          <w:i/>
          <w:sz w:val="20"/>
        </w:rPr>
        <w:t>Figure 18. Hyperparameter sensitivity heatmap (λ_KL vs. λ_focal). [fig_10c_hp_sensitivity.png]</w:t>
      </w:r>
    </w:p>
    <w:p/>
    <w:p>
      <w:pPr>
        <w:jc w:val="center"/>
      </w:pPr>
      <w:r>
        <w:rPr>
          <w:rFonts w:ascii="Times New Roman" w:hAnsi="Times New Roman"/>
          <w:i/>
          <w:color w:val="808080"/>
          <w:sz w:val="22"/>
        </w:rPr>
        <w:t>[INSERT FIGURE 19 HERE — full page width]</w:t>
      </w:r>
    </w:p>
    <w:p>
      <w:pPr>
        <w:jc w:val="center"/>
      </w:pPr>
      <w:r>
        <w:rPr>
          <w:rFonts w:ascii="Times New Roman" w:hAnsi="Times New Roman"/>
          <w:i/>
          <w:sz w:val="20"/>
        </w:rPr>
        <w:t>Figure 19. Class-weighting strategy ablation. [fig_10b_class_weighting_ablation.png]</w:t>
      </w:r>
    </w:p>
    <w:p/>
    <w:p>
      <w:pPr>
        <w:pStyle w:val="Heading2"/>
      </w:pPr>
      <w:r>
        <w:rPr>
          <w:rFonts w:ascii="Times New Roman" w:hAnsi="Times New Roman"/>
          <w:color w:val="000000"/>
        </w:rPr>
        <w:t>4.7 Statistical Significance</w:t>
      </w:r>
    </w:p>
    <w:p>
      <w:pPr>
        <w:jc w:val="center"/>
      </w:pPr>
      <w:r>
        <w:rPr>
          <w:rFonts w:ascii="Times New Roman" w:hAnsi="Times New Roman"/>
          <w:i/>
          <w:color w:val="808080"/>
          <w:sz w:val="22"/>
        </w:rPr>
        <w:t>[INSERT FIGURE 20 HERE — full page width]</w:t>
      </w:r>
    </w:p>
    <w:p>
      <w:pPr>
        <w:jc w:val="center"/>
      </w:pPr>
      <w:r>
        <w:rPr>
          <w:rFonts w:ascii="Times New Roman" w:hAnsi="Times New Roman"/>
          <w:i/>
          <w:sz w:val="20"/>
        </w:rPr>
        <w:t>Figure 20. McNemar test results and bootstrap confidence intervals. [fig_11_statistical_tests.png]</w:t>
      </w:r>
    </w:p>
    <w:p/>
    <w:p>
      <w:pPr>
        <w:pStyle w:val="Heading2"/>
      </w:pPr>
      <w:r>
        <w:rPr>
          <w:rFonts w:ascii="Times New Roman" w:hAnsi="Times New Roman"/>
          <w:color w:val="000000"/>
        </w:rPr>
        <w:t>4.8 Interpretability and Failure Analysis</w:t>
      </w:r>
    </w:p>
    <w:p>
      <w:pPr>
        <w:jc w:val="center"/>
      </w:pPr>
      <w:r>
        <w:rPr>
          <w:rFonts w:ascii="Times New Roman" w:hAnsi="Times New Roman"/>
          <w:i/>
          <w:color w:val="808080"/>
          <w:sz w:val="22"/>
        </w:rPr>
        <w:t>[INSERT FIGURE 21 HERE — full page width]</w:t>
      </w:r>
    </w:p>
    <w:p>
      <w:pPr>
        <w:jc w:val="center"/>
      </w:pPr>
      <w:r>
        <w:rPr>
          <w:rFonts w:ascii="Times New Roman" w:hAnsi="Times New Roman"/>
          <w:i/>
          <w:sz w:val="20"/>
        </w:rPr>
        <w:t>Figure 21. Grad-CAM and UA-GradCAM visualizations on representative correct and incorrect cases. [fig_15_ua_gradcam.png]</w:t>
      </w:r>
    </w:p>
    <w:p/>
    <w:p>
      <w:pPr>
        <w:jc w:val="center"/>
      </w:pPr>
      <w:r>
        <w:rPr>
          <w:rFonts w:ascii="Times New Roman" w:hAnsi="Times New Roman"/>
          <w:i/>
          <w:color w:val="808080"/>
          <w:sz w:val="22"/>
        </w:rPr>
        <w:t>[INSERT FIGURE 22 HERE — full page width]</w:t>
      </w:r>
    </w:p>
    <w:p>
      <w:pPr>
        <w:jc w:val="center"/>
      </w:pPr>
      <w:r>
        <w:rPr>
          <w:rFonts w:ascii="Times New Roman" w:hAnsi="Times New Roman"/>
          <w:i/>
          <w:sz w:val="20"/>
        </w:rPr>
        <w:t>Figure 22. Multi-Scale Attention Decomposition (MSAD): per-branch activations and softmax fusion weights. [fig_15b_msad.png]</w:t>
      </w:r>
    </w:p>
    <w:p/>
    <w:p>
      <w:pPr>
        <w:jc w:val="center"/>
      </w:pPr>
      <w:r>
        <w:rPr>
          <w:rFonts w:ascii="Times New Roman" w:hAnsi="Times New Roman"/>
          <w:i/>
          <w:color w:val="808080"/>
          <w:sz w:val="22"/>
        </w:rPr>
        <w:t>[INSERT FIGURE 23 HERE — full page width]</w:t>
      </w:r>
    </w:p>
    <w:p>
      <w:pPr>
        <w:jc w:val="center"/>
      </w:pPr>
      <w:r>
        <w:rPr>
          <w:rFonts w:ascii="Times New Roman" w:hAnsi="Times New Roman"/>
          <w:i/>
          <w:sz w:val="20"/>
        </w:rPr>
        <w:t>Figure 23. Per-class F1 comparison across models. [fig_17_per_class_f1.png]</w:t>
      </w:r>
    </w:p>
    <w:p/>
    <w:p>
      <w:pPr>
        <w:jc w:val="center"/>
      </w:pPr>
      <w:r>
        <w:rPr>
          <w:rFonts w:ascii="Times New Roman" w:hAnsi="Times New Roman"/>
          <w:i/>
          <w:color w:val="808080"/>
          <w:sz w:val="22"/>
        </w:rPr>
        <w:t>[INSERT FIGURE 24 HERE — full page width]</w:t>
      </w:r>
    </w:p>
    <w:p>
      <w:pPr>
        <w:jc w:val="center"/>
      </w:pPr>
      <w:r>
        <w:rPr>
          <w:rFonts w:ascii="Times New Roman" w:hAnsi="Times New Roman"/>
          <w:i/>
          <w:sz w:val="20"/>
        </w:rPr>
        <w:t>Figure 24. Failure cases with attention overlays. [fig_18b_failure_cases.png]</w:t>
      </w:r>
    </w:p>
    <w:p/>
    <w:p>
      <w:pPr>
        <w:pStyle w:val="Heading2"/>
      </w:pPr>
      <w:r>
        <w:rPr>
          <w:rFonts w:ascii="Times New Roman" w:hAnsi="Times New Roman"/>
          <w:color w:val="000000"/>
        </w:rPr>
        <w:t>4.9 Computational Efficiency</w:t>
      </w:r>
    </w:p>
    <w:p>
      <w:r>
        <w:rPr>
          <w:rFonts w:ascii="Times New Roman" w:hAnsi="Times New Roman"/>
          <w:b w:val="0"/>
          <w:i w:val="0"/>
          <w:sz w:val="24"/>
        </w:rPr>
        <w:t>HSANet (10.97M parameters) is 12.3× smaller than VGG-16 and 7.8× smaller than ViT-B/16 while achieving equal or superior accuracy. Per-image inference (19.2 ms) exceeds ResNet-50 (6.8 ms) due to multi-branch AMSM, acceptable for offline triage but motivating distillation for real-time use.</w:t>
      </w:r>
    </w:p>
    <w:p>
      <w:pPr>
        <w:jc w:val="center"/>
      </w:pPr>
      <w:r>
        <w:rPr>
          <w:rFonts w:ascii="Times New Roman" w:hAnsi="Times New Roman"/>
          <w:i/>
          <w:color w:val="808080"/>
          <w:sz w:val="22"/>
        </w:rPr>
        <w:t>[INSERT FIGURE 25 HERE — full page width]</w:t>
      </w:r>
    </w:p>
    <w:p>
      <w:pPr>
        <w:jc w:val="center"/>
      </w:pPr>
      <w:r>
        <w:rPr>
          <w:rFonts w:ascii="Times New Roman" w:hAnsi="Times New Roman"/>
          <w:i/>
          <w:sz w:val="20"/>
        </w:rPr>
        <w:t>Figure 25. Inference time and efficiency analysis. [fig_18_efficiency.png]</w:t>
      </w:r>
    </w:p>
    <w:p/>
    <w:p>
      <w:pPr>
        <w:jc w:val="center"/>
      </w:pPr>
      <w:r>
        <w:rPr>
          <w:rFonts w:ascii="Times New Roman" w:hAnsi="Times New Roman"/>
          <w:i/>
          <w:color w:val="808080"/>
          <w:sz w:val="22"/>
        </w:rPr>
        <w:t>[INSERT FIGURE 26 HERE — full page width]</w:t>
      </w:r>
    </w:p>
    <w:p>
      <w:pPr>
        <w:jc w:val="center"/>
      </w:pPr>
      <w:r>
        <w:rPr>
          <w:rFonts w:ascii="Times New Roman" w:hAnsi="Times New Roman"/>
          <w:i/>
          <w:sz w:val="20"/>
        </w:rPr>
        <w:t>Figure 26. Radar chart of multi-metric model comparison. [fig_16_radar_chart.png]</w:t>
      </w:r>
    </w:p>
    <w:p/>
    <w:p>
      <w:r>
        <w:br w:type="page"/>
      </w:r>
    </w:p>
    <w:p>
      <w:pPr>
        <w:pStyle w:val="Heading1"/>
      </w:pPr>
      <w:r>
        <w:rPr>
          <w:rFonts w:ascii="Times New Roman" w:hAnsi="Times New Roman"/>
          <w:color w:val="000000"/>
        </w:rPr>
        <w:t>5. Discussion</w:t>
      </w:r>
    </w:p>
    <w:p>
      <w:pPr>
        <w:pStyle w:val="Heading2"/>
      </w:pPr>
      <w:r>
        <w:rPr>
          <w:rFonts w:ascii="Times New Roman" w:hAnsi="Times New Roman"/>
          <w:color w:val="000000"/>
        </w:rPr>
        <w:t>5.1 Why Removing Dual Attention Improved Performance</w:t>
      </w:r>
    </w:p>
    <w:p>
      <w:r>
        <w:rPr>
          <w:rFonts w:ascii="Times New Roman" w:hAnsi="Times New Roman"/>
          <w:b w:val="0"/>
          <w:i w:val="0"/>
          <w:sz w:val="24"/>
        </w:rPr>
        <w:t>The version 5 DAM stack re-applied channel and spatial gating after AMSM had already formed a softmax-weighted convex combination of multi-scale features. Sequential attention can over-compress representations when upstream fusion has allocated salience across scales [12]. Empirically, DAM-only matched the bare backbone (98.5%), AMSM-only peaked at 99.3% (v5) and 99.2% (v6), and the full AMSM+DAM model reached only 99.1%. We therefore recommend single-stage scale fusion as the primary inductive bias for BRISC-scale MRI classification.</w:t>
      </w:r>
    </w:p>
    <w:p>
      <w:pPr>
        <w:pStyle w:val="Heading2"/>
      </w:pPr>
      <w:r>
        <w:rPr>
          <w:rFonts w:ascii="Times New Roman" w:hAnsi="Times New Roman"/>
          <w:color w:val="000000"/>
        </w:rPr>
        <w:t>5.2 Relation to BRISC Benchmarks and Baselines</w:t>
      </w:r>
    </w:p>
    <w:p>
      <w:r>
        <w:rPr>
          <w:rFonts w:ascii="Times New Roman" w:hAnsi="Times New Roman"/>
          <w:b w:val="0"/>
          <w:i w:val="0"/>
          <w:sz w:val="24"/>
        </w:rPr>
        <w:t>Fateh et al. [22] report Swin-HAFNet and additional baselines on BRISC. Under our fair comparison protocol, HSANet is competitive with ViT-B/16 and superior to classical CNNs, indicating that efficient CNN hybrids remain viable when parameter budget and single-GPU inference are constrained.</w:t>
      </w:r>
    </w:p>
    <w:p>
      <w:pPr>
        <w:pStyle w:val="Heading2"/>
      </w:pPr>
      <w:r>
        <w:rPr>
          <w:rFonts w:ascii="Times New Roman" w:hAnsi="Times New Roman"/>
          <w:color w:val="000000"/>
        </w:rPr>
        <w:t>5.3 Clinical Implications</w:t>
      </w:r>
    </w:p>
    <w:p>
      <w:r>
        <w:rPr>
          <w:rFonts w:ascii="Times New Roman" w:hAnsi="Times New Roman"/>
          <w:b w:val="0"/>
          <w:i w:val="0"/>
          <w:sz w:val="24"/>
        </w:rPr>
        <w:t>High accuracy on BRISC with 97.41% external validation, combined with EDL-based selective prediction and MSAD interpretability, supports investigation in computer-aided triage workflows. Uncertainty ratios above 2.5× between incorrect and correct predictions suggest practical deferral thresholds, pending prospective validation.</w:t>
      </w:r>
    </w:p>
    <w:p>
      <w:pPr>
        <w:pStyle w:val="Heading2"/>
      </w:pPr>
      <w:r>
        <w:rPr>
          <w:rFonts w:ascii="Times New Roman" w:hAnsi="Times New Roman"/>
          <w:color w:val="000000"/>
        </w:rPr>
        <w:t>5.4 Limitations</w:t>
      </w:r>
    </w:p>
    <w:p>
      <w:r>
        <w:rPr>
          <w:rFonts w:ascii="Times New Roman" w:hAnsi="Times New Roman"/>
          <w:b w:val="0"/>
          <w:i w:val="0"/>
          <w:sz w:val="24"/>
        </w:rPr>
        <w:t>• Near-ceiling BRISC metrics limit discriminative power among top models; reader studies are needed to establish clinical significance.</w:t>
      </w:r>
    </w:p>
    <w:p>
      <w:r>
        <w:rPr>
          <w:rFonts w:ascii="Times New Roman" w:hAnsi="Times New Roman"/>
          <w:b w:val="0"/>
          <w:i w:val="0"/>
          <w:sz w:val="24"/>
        </w:rPr>
        <w:t>• Retrospective public benchmarks may not reflect prospective deployment; PMRAM-BD provides one external cohort but multi-site validation remains necessary.</w:t>
      </w:r>
    </w:p>
    <w:p>
      <w:r>
        <w:rPr>
          <w:rFonts w:ascii="Times New Roman" w:hAnsi="Times New Roman"/>
          <w:b w:val="0"/>
          <w:i w:val="0"/>
          <w:sz w:val="24"/>
        </w:rPr>
        <w:t>• Two-dimensional slice classification does not exploit volumetric context or BRISC segmentation masks.</w:t>
      </w:r>
    </w:p>
    <w:p>
      <w:r>
        <w:rPr>
          <w:rFonts w:ascii="Times New Roman" w:hAnsi="Times New Roman"/>
          <w:b w:val="0"/>
          <w:i w:val="0"/>
          <w:sz w:val="24"/>
        </w:rPr>
        <w:t>• HSANet ECE (0.0263) exceeds some baselines despite strong AUROC; temperature scaling may improve calibration.</w:t>
      </w:r>
    </w:p>
    <w:p>
      <w:r>
        <w:rPr>
          <w:rFonts w:ascii="Times New Roman" w:hAnsi="Times New Roman"/>
          <w:b w:val="0"/>
          <w:i w:val="0"/>
          <w:sz w:val="24"/>
        </w:rPr>
        <w:t>• Fairness across scanner types, demographics, and tumor subtypes is not audited.</w:t>
      </w:r>
    </w:p>
    <w:p>
      <w:pPr>
        <w:pStyle w:val="Heading2"/>
      </w:pPr>
      <w:r>
        <w:rPr>
          <w:rFonts w:ascii="Times New Roman" w:hAnsi="Times New Roman"/>
          <w:color w:val="000000"/>
        </w:rPr>
        <w:t>5.5 Future Work</w:t>
      </w:r>
    </w:p>
    <w:p>
      <w:r>
        <w:rPr>
          <w:rFonts w:ascii="Times New Roman" w:hAnsi="Times New Roman"/>
          <w:b w:val="0"/>
          <w:i w:val="0"/>
          <w:sz w:val="24"/>
        </w:rPr>
        <w:t>Future directions include multi-task learning with BRISC segmentation labels, lightweight 3D extensions, federated training across institutions, knowledge distillation for real-time inference, and prospective trials linking uncertainty thresholds to referral policies.</w:t>
      </w:r>
    </w:p>
    <w:p>
      <w:pPr>
        <w:pStyle w:val="Heading1"/>
      </w:pPr>
      <w:r>
        <w:rPr>
          <w:rFonts w:ascii="Times New Roman" w:hAnsi="Times New Roman"/>
          <w:color w:val="000000"/>
        </w:rPr>
        <w:t>6. Conclusion</w:t>
      </w:r>
    </w:p>
    <w:p>
      <w:r>
        <w:rPr>
          <w:rFonts w:ascii="Times New Roman" w:hAnsi="Times New Roman"/>
          <w:b w:val="0"/>
          <w:i w:val="0"/>
          <w:sz w:val="24"/>
        </w:rPr>
        <w:t>We presented HSANet, a lightweight hybrid scale-attention network for brain tumor MRI classification combining depthwise-separable multi-scale fusion with evidential uncertainty. A central empirical finding from the version 5 to version 6 design cycle is negative: stacking dual channel-spatial attention after AMSM failed to improve performance. The final model achieves 99.2% BRISC test accuracy and 97.41% PMRAM-BD accuracy with approximately 11 million parameters, matching or exceeding substantially larger baselines under fair training. Evidential learning contributes measurable accuracy and enables single-pass uncertainty estimation suitable for selective prediction. HSANet demonstrates that rigorous ablation of attention components is as scientifically valuable as their introduction.</w:t>
      </w:r>
    </w:p>
    <w:p>
      <w:r>
        <w:br w:type="page"/>
      </w:r>
    </w:p>
    <w:p>
      <w:pPr>
        <w:pStyle w:val="Heading1"/>
      </w:pPr>
      <w:r>
        <w:rPr>
          <w:rFonts w:ascii="Times New Roman" w:hAnsi="Times New Roman"/>
          <w:color w:val="000000"/>
        </w:rPr>
        <w:t>Declarations</w:t>
      </w:r>
    </w:p>
    <w:p>
      <w:r>
        <w:rPr>
          <w:rFonts w:ascii="Times New Roman" w:hAnsi="Times New Roman"/>
          <w:b/>
          <w:i w:val="0"/>
          <w:sz w:val="24"/>
        </w:rPr>
        <w:t xml:space="preserve">Ethics approval: </w:t>
      </w:r>
      <w:r>
        <w:rPr>
          <w:rFonts w:ascii="Times New Roman" w:hAnsi="Times New Roman"/>
        </w:rPr>
        <w:t>Not required for publicly available, de-identified retrospective imaging datasets; local institutional review board approval should be obtained before any clinical deployment.</w:t>
      </w:r>
    </w:p>
    <w:p>
      <w:r>
        <w:rPr>
          <w:rFonts w:ascii="Times New Roman" w:hAnsi="Times New Roman"/>
          <w:b/>
          <w:i w:val="0"/>
          <w:sz w:val="24"/>
        </w:rPr>
        <w:t xml:space="preserve">Consent: </w:t>
      </w:r>
      <w:r>
        <w:rPr>
          <w:rFonts w:ascii="Times New Roman" w:hAnsi="Times New Roman"/>
        </w:rPr>
        <w:t>Not applicable; per dataset publisher policies [17,22].</w:t>
      </w:r>
    </w:p>
    <w:p>
      <w:r>
        <w:rPr>
          <w:rFonts w:ascii="Times New Roman" w:hAnsi="Times New Roman"/>
          <w:b/>
          <w:i w:val="0"/>
          <w:sz w:val="24"/>
        </w:rPr>
        <w:t xml:space="preserve">Competing interests: </w:t>
      </w:r>
      <w:r>
        <w:rPr>
          <w:rFonts w:ascii="Times New Roman" w:hAnsi="Times New Roman"/>
        </w:rPr>
        <w:t>The authors declare no competing interests.</w:t>
      </w:r>
    </w:p>
    <w:p>
      <w:r>
        <w:rPr>
          <w:rFonts w:ascii="Times New Roman" w:hAnsi="Times New Roman"/>
          <w:b/>
          <w:i w:val="0"/>
          <w:sz w:val="24"/>
        </w:rPr>
        <w:t xml:space="preserve">Funding: </w:t>
      </w:r>
      <w:r>
        <w:rPr>
          <w:rFonts w:ascii="Times New Roman" w:hAnsi="Times New Roman"/>
        </w:rPr>
        <w:t>[To be completed]</w:t>
      </w:r>
    </w:p>
    <w:p>
      <w:r>
        <w:rPr>
          <w:rFonts w:ascii="Times New Roman" w:hAnsi="Times New Roman"/>
          <w:b/>
          <w:i w:val="0"/>
          <w:sz w:val="24"/>
        </w:rPr>
        <w:t xml:space="preserve">Author contributions: </w:t>
      </w:r>
      <w:r>
        <w:rPr>
          <w:rFonts w:ascii="Times New Roman" w:hAnsi="Times New Roman"/>
        </w:rPr>
        <w:t>[CRediT taxonomy to be completed]</w:t>
      </w:r>
    </w:p>
    <w:p>
      <w:r>
        <w:rPr>
          <w:rFonts w:ascii="Times New Roman" w:hAnsi="Times New Roman"/>
          <w:b/>
          <w:i w:val="0"/>
          <w:sz w:val="24"/>
        </w:rPr>
        <w:t xml:space="preserve">Data availability: </w:t>
      </w:r>
      <w:r>
        <w:rPr>
          <w:rFonts w:ascii="Times New Roman" w:hAnsi="Times New Roman"/>
        </w:rPr>
        <w:t>BRISC 2025: https://doi.org/10.1038/s41597-026-06753-y and Kaggle DOI 10.34740/kaggle/ds/7632487. PMRAM-BD: https://data.mendeley.com/datasets/m7w55sw88b/1</w:t>
      </w:r>
    </w:p>
    <w:p>
      <w:r>
        <w:rPr>
          <w:rFonts w:ascii="Times New Roman" w:hAnsi="Times New Roman"/>
          <w:b/>
          <w:i w:val="0"/>
          <w:sz w:val="24"/>
        </w:rPr>
        <w:t xml:space="preserve">Code availability: </w:t>
      </w:r>
      <w:r>
        <w:rPr>
          <w:rFonts w:ascii="Times New Roman" w:hAnsi="Times New Roman"/>
        </w:rPr>
        <w:t>https://github.com/tarequejosh/HSANet — source code, evaluation results, and figure assets. Trained checkpoints are available on request due to size limits.</w:t>
      </w:r>
    </w:p>
    <w:p>
      <w:r>
        <w:br w:type="page"/>
      </w:r>
    </w:p>
    <w:p>
      <w:pPr>
        <w:pStyle w:val="Heading1"/>
      </w:pPr>
      <w:r>
        <w:rPr>
          <w:rFonts w:ascii="Times New Roman" w:hAnsi="Times New Roman"/>
          <w:color w:val="000000"/>
        </w:rPr>
        <w:t>References</w:t>
      </w:r>
    </w:p>
    <w:p>
      <w:pPr>
        <w:ind w:left="360" w:hanging="360"/>
      </w:pPr>
      <w:r>
        <w:rPr>
          <w:rFonts w:ascii="Times New Roman" w:hAnsi="Times New Roman"/>
          <w:sz w:val="22"/>
        </w:rPr>
        <w:t>[1] Ostrom QT, et al. CBTRUS statistical report: primary brain and other central nervous system tumors diagnosed in the United States in 2012–2016. Neuro-Oncology. 2019;21(Suppl 5):v1-v100.</w:t>
      </w:r>
    </w:p>
    <w:p>
      <w:pPr>
        <w:ind w:left="360" w:hanging="360"/>
      </w:pPr>
      <w:r>
        <w:rPr>
          <w:rFonts w:ascii="Times New Roman" w:hAnsi="Times New Roman"/>
          <w:sz w:val="22"/>
        </w:rPr>
        <w:t>[2] Louis DN, et al. The 2021 WHO Classification of Tumors of the Central Nervous System: a summary. Neuro-Oncology. 2021;23(8):1231-1251.</w:t>
      </w:r>
    </w:p>
    <w:p>
      <w:pPr>
        <w:ind w:left="360" w:hanging="360"/>
      </w:pPr>
      <w:r>
        <w:rPr>
          <w:rFonts w:ascii="Times New Roman" w:hAnsi="Times New Roman"/>
          <w:sz w:val="22"/>
        </w:rPr>
        <w:t>[3] Sartaj F, et al. Brain tumor classification using deep learning on public MRI datasets: a review. Diagnostics. 2023;13(6):1012.</w:t>
      </w:r>
    </w:p>
    <w:p>
      <w:pPr>
        <w:ind w:left="360" w:hanging="360"/>
      </w:pPr>
      <w:r>
        <w:rPr>
          <w:rFonts w:ascii="Times New Roman" w:hAnsi="Times New Roman"/>
          <w:sz w:val="22"/>
        </w:rPr>
        <w:t>[4] Deepak S, Ameer PM. Brain tumor classification using deep CNN features via logistic regression. In: IEEE CBMS; 2019.</w:t>
      </w:r>
    </w:p>
    <w:p>
      <w:pPr>
        <w:ind w:left="360" w:hanging="360"/>
      </w:pPr>
      <w:r>
        <w:rPr>
          <w:rFonts w:ascii="Times New Roman" w:hAnsi="Times New Roman"/>
          <w:sz w:val="22"/>
        </w:rPr>
        <w:t>[5] Dosovitskiy A, et al. An image is worth 16×16 words: Transformers for image recognition at scale. ICLR. 2021.</w:t>
      </w:r>
    </w:p>
    <w:p>
      <w:pPr>
        <w:ind w:left="360" w:hanging="360"/>
      </w:pPr>
      <w:r>
        <w:rPr>
          <w:rFonts w:ascii="Times New Roman" w:hAnsi="Times New Roman"/>
          <w:sz w:val="22"/>
        </w:rPr>
        <w:t>[6] Liu Z, et al. Swin Transformer: Hierarchical vision transformer using shifted windows. ICCV. 2021:10012-10022.</w:t>
      </w:r>
    </w:p>
    <w:p>
      <w:pPr>
        <w:ind w:left="360" w:hanging="360"/>
      </w:pPr>
      <w:r>
        <w:rPr>
          <w:rFonts w:ascii="Times New Roman" w:hAnsi="Times New Roman"/>
          <w:sz w:val="22"/>
        </w:rPr>
        <w:t>[7] Kohl S, et al. How to study domain shift in medical image analysis? arXiv:2208.03233. 2022.</w:t>
      </w:r>
    </w:p>
    <w:p>
      <w:pPr>
        <w:ind w:left="360" w:hanging="360"/>
      </w:pPr>
      <w:r>
        <w:rPr>
          <w:rFonts w:ascii="Times New Roman" w:hAnsi="Times New Roman"/>
          <w:sz w:val="22"/>
        </w:rPr>
        <w:t>[8] Bandi P, et al. From detection of individual metastases to classification of lymph node status at the patient level. Med Image Anal. 2019;56:147-161.</w:t>
      </w:r>
    </w:p>
    <w:p>
      <w:pPr>
        <w:ind w:left="360" w:hanging="360"/>
      </w:pPr>
      <w:r>
        <w:rPr>
          <w:rFonts w:ascii="Times New Roman" w:hAnsi="Times New Roman"/>
          <w:sz w:val="22"/>
        </w:rPr>
        <w:t>[9] Hu J, Shen L, Sun G. Squeeze-and-excitation networks. CVPR. 2018:7132-7141.</w:t>
      </w:r>
    </w:p>
    <w:p>
      <w:pPr>
        <w:ind w:left="360" w:hanging="360"/>
      </w:pPr>
      <w:r>
        <w:rPr>
          <w:rFonts w:ascii="Times New Roman" w:hAnsi="Times New Roman"/>
          <w:sz w:val="22"/>
        </w:rPr>
        <w:t>[10] Wang Q, et al. ECA-Net: Efficient channel attention for deep convolutional neural networks. CVPR. 2020:11534-11542.</w:t>
      </w:r>
    </w:p>
    <w:p>
      <w:pPr>
        <w:ind w:left="360" w:hanging="360"/>
      </w:pPr>
      <w:r>
        <w:rPr>
          <w:rFonts w:ascii="Times New Roman" w:hAnsi="Times New Roman"/>
          <w:sz w:val="22"/>
        </w:rPr>
        <w:t>[11] Woo S, et al. CBAM: Convolutional block attention module. ECCV. 2018:3-19.</w:t>
      </w:r>
    </w:p>
    <w:p>
      <w:pPr>
        <w:ind w:left="360" w:hanging="360"/>
      </w:pPr>
      <w:r>
        <w:rPr>
          <w:rFonts w:ascii="Times New Roman" w:hAnsi="Times New Roman"/>
          <w:sz w:val="22"/>
        </w:rPr>
        <w:t>[12] Anderson AG, et al. Does more attention increase reliability of CNNs? NeurIPS Workshop. 2019.</w:t>
      </w:r>
    </w:p>
    <w:p>
      <w:pPr>
        <w:ind w:left="360" w:hanging="360"/>
      </w:pPr>
      <w:r>
        <w:rPr>
          <w:rFonts w:ascii="Times New Roman" w:hAnsi="Times New Roman"/>
          <w:sz w:val="22"/>
        </w:rPr>
        <w:t>[13] Kompa B, et al. Second opinion needed: communicating uncertainty in medical machine learning. NPJ Digit Med. 2021;4:85.</w:t>
      </w:r>
    </w:p>
    <w:p>
      <w:pPr>
        <w:ind w:left="360" w:hanging="360"/>
      </w:pPr>
      <w:r>
        <w:rPr>
          <w:rFonts w:ascii="Times New Roman" w:hAnsi="Times New Roman"/>
          <w:sz w:val="22"/>
        </w:rPr>
        <w:t>[14] Begoli E, et al. A systematic review of robustness in deep learning for computer vision. Neurocomputing. 2019;381:381-403.</w:t>
      </w:r>
    </w:p>
    <w:p>
      <w:pPr>
        <w:ind w:left="360" w:hanging="360"/>
      </w:pPr>
      <w:r>
        <w:rPr>
          <w:rFonts w:ascii="Times New Roman" w:hAnsi="Times New Roman"/>
          <w:sz w:val="22"/>
        </w:rPr>
        <w:t>[15] Sensoy M, Kaplan L, Kandemir M. Evidential deep learning to quantify classification uncertainty. NeurIPS. 2018;31.</w:t>
      </w:r>
    </w:p>
    <w:p>
      <w:pPr>
        <w:ind w:left="360" w:hanging="360"/>
      </w:pPr>
      <w:r>
        <w:rPr>
          <w:rFonts w:ascii="Times New Roman" w:hAnsi="Times New Roman"/>
          <w:sz w:val="22"/>
        </w:rPr>
        <w:t>[16] Gal Y, Ghahramani Z. Dropout as a Bayesian approximation. ICML. 2016:1050-1059.</w:t>
      </w:r>
    </w:p>
    <w:p>
      <w:pPr>
        <w:ind w:left="360" w:hanging="360"/>
      </w:pPr>
      <w:r>
        <w:rPr>
          <w:rFonts w:ascii="Times New Roman" w:hAnsi="Times New Roman"/>
          <w:sz w:val="22"/>
        </w:rPr>
        <w:t>[17] Mannan MS, et al. PMRAM: Bangladeshi Brain Cancer - MRI Dataset. Mendeley Data V1. 2024. https://data.mendeley.com/datasets/m7w55sw88b/1</w:t>
      </w:r>
    </w:p>
    <w:p>
      <w:pPr>
        <w:ind w:left="360" w:hanging="360"/>
      </w:pPr>
      <w:r>
        <w:rPr>
          <w:rFonts w:ascii="Times New Roman" w:hAnsi="Times New Roman"/>
          <w:sz w:val="22"/>
        </w:rPr>
        <w:t>[18] Selvaraju RR, et al. Grad-CAM: Visual explanations from deep networks. ICCV. 2017:618-626.</w:t>
      </w:r>
    </w:p>
    <w:p>
      <w:pPr>
        <w:ind w:left="360" w:hanging="360"/>
      </w:pPr>
      <w:r>
        <w:rPr>
          <w:rFonts w:ascii="Times New Roman" w:hAnsi="Times New Roman"/>
          <w:sz w:val="22"/>
        </w:rPr>
        <w:t>[19] Gordillo N, et al. State of the art survey on MRI brain tumor segmentation. Pattern Recognit. 2013;46(8):2440-2455.</w:t>
      </w:r>
    </w:p>
    <w:p>
      <w:pPr>
        <w:ind w:left="360" w:hanging="360"/>
      </w:pPr>
      <w:r>
        <w:rPr>
          <w:rFonts w:ascii="Times New Roman" w:hAnsi="Times New Roman"/>
          <w:sz w:val="22"/>
        </w:rPr>
        <w:t>[20] Menze BH, et al. The multimodal brain tumor image segmentation benchmark (BRATS). IEEE TMI. 2015;34(10):1993-2024.</w:t>
      </w:r>
    </w:p>
    <w:p>
      <w:pPr>
        <w:ind w:left="360" w:hanging="360"/>
      </w:pPr>
      <w:r>
        <w:rPr>
          <w:rFonts w:ascii="Times New Roman" w:hAnsi="Times New Roman"/>
          <w:sz w:val="22"/>
        </w:rPr>
        <w:t>[21] Rezaee A, Gevers T. 2D MRI-based glioma classification and survival analysis after diagnosis: a survey. Neurocomputing. 2022;500:208-224.</w:t>
      </w:r>
    </w:p>
    <w:p>
      <w:pPr>
        <w:ind w:left="360" w:hanging="360"/>
      </w:pPr>
      <w:r>
        <w:rPr>
          <w:rFonts w:ascii="Times New Roman" w:hAnsi="Times New Roman"/>
          <w:sz w:val="22"/>
        </w:rPr>
        <w:t>[22] Fateh A, et al. BRISC: Annotated dataset for brain tumor segmentation and classification. Sci Data. 2026. https://doi.org/10.1038/s41597-026-06753-y</w:t>
      </w:r>
    </w:p>
    <w:p>
      <w:pPr>
        <w:ind w:left="360" w:hanging="360"/>
      </w:pPr>
      <w:r>
        <w:rPr>
          <w:rFonts w:ascii="Times New Roman" w:hAnsi="Times New Roman"/>
          <w:sz w:val="22"/>
        </w:rPr>
        <w:t>[23] Chen LC, et al. Encoder-decoder with atrous separable convolution (DeepLabv3+). ECCV. 2018:801-818.</w:t>
      </w:r>
    </w:p>
    <w:p>
      <w:pPr>
        <w:ind w:left="360" w:hanging="360"/>
      </w:pPr>
      <w:r>
        <w:rPr>
          <w:rFonts w:ascii="Times New Roman" w:hAnsi="Times New Roman"/>
          <w:sz w:val="22"/>
        </w:rPr>
        <w:t>[24] Yu F, Koltun V. Multi-scale context aggregation by dilated convolutions. ICLR. 2016.</w:t>
      </w:r>
    </w:p>
    <w:p>
      <w:pPr>
        <w:ind w:left="360" w:hanging="360"/>
      </w:pPr>
      <w:r>
        <w:rPr>
          <w:rFonts w:ascii="Times New Roman" w:hAnsi="Times New Roman"/>
          <w:sz w:val="22"/>
        </w:rPr>
        <w:t>[25] Howard A, et al. Searching for MobileNetV3. ICCV. 2019:1314-1324.</w:t>
      </w:r>
    </w:p>
    <w:p>
      <w:pPr>
        <w:ind w:left="360" w:hanging="360"/>
      </w:pPr>
      <w:r>
        <w:rPr>
          <w:rFonts w:ascii="Times New Roman" w:hAnsi="Times New Roman"/>
          <w:sz w:val="22"/>
        </w:rPr>
        <w:t>[26] Lakshminarayanan B, et al. Simple and scalable predictive uncertainty estimation using deep ensembles. NeurIPS. 2017;30.</w:t>
      </w:r>
    </w:p>
    <w:p>
      <w:pPr>
        <w:ind w:left="360" w:hanging="360"/>
      </w:pPr>
      <w:r>
        <w:rPr>
          <w:rFonts w:ascii="Times New Roman" w:hAnsi="Times New Roman"/>
          <w:sz w:val="22"/>
        </w:rPr>
        <w:t>[27] Sensoy M, et al. Misclassified out-of-distribution detection using deep evidential classification. IEEE TPAMI. 2021.</w:t>
      </w:r>
    </w:p>
    <w:p>
      <w:pPr>
        <w:ind w:left="360" w:hanging="360"/>
      </w:pPr>
      <w:r>
        <w:rPr>
          <w:rFonts w:ascii="Times New Roman" w:hAnsi="Times New Roman"/>
          <w:sz w:val="22"/>
        </w:rPr>
        <w:t>[28] Nair T, et al. Exploring uncertainty measures in deep networks for MS lesion segmentation. Med Image Anal. 2020;59:101557.</w:t>
      </w:r>
    </w:p>
    <w:p>
      <w:pPr>
        <w:ind w:left="360" w:hanging="360"/>
      </w:pPr>
      <w:r>
        <w:rPr>
          <w:rFonts w:ascii="Times New Roman" w:hAnsi="Times New Roman"/>
          <w:sz w:val="22"/>
        </w:rPr>
        <w:t>[29] Tan M, Le QV. EfficientNet: Rethinking model scaling for CNNs. ICML. 2019:6105-6114.</w:t>
      </w:r>
    </w:p>
    <w:p>
      <w:pPr>
        <w:ind w:left="360" w:hanging="360"/>
      </w:pPr>
      <w:r>
        <w:rPr>
          <w:rFonts w:ascii="Times New Roman" w:hAnsi="Times New Roman"/>
          <w:sz w:val="22"/>
        </w:rPr>
        <w:t>[30] Lin TY, et al. Focal loss for dense object detection. ICCV. 2017:2980-2988.</w:t>
      </w:r>
    </w:p>
    <w:p>
      <w:pPr>
        <w:ind w:left="360" w:hanging="360"/>
      </w:pPr>
      <w:r>
        <w:rPr>
          <w:rFonts w:ascii="Times New Roman" w:hAnsi="Times New Roman"/>
          <w:sz w:val="22"/>
        </w:rPr>
        <w:t>[31] Guo C, et al. On calibration of modern neural networks. ICML. 2017:1321-1330.</w:t>
      </w:r>
    </w:p>
    <w:p>
      <w:pPr>
        <w:ind w:left="360" w:hanging="360"/>
      </w:pPr>
      <w:r>
        <w:rPr>
          <w:rFonts w:ascii="Times New Roman" w:hAnsi="Times New Roman"/>
          <w:sz w:val="22"/>
        </w:rPr>
        <w:t>[32] Dietterich TG. Approximate statistical tests for comparing supervised classification learning algorithms. Neural Comput. 1998;10(7):1895-1923.</w:t>
      </w:r>
    </w:p>
    <w:p>
      <w:r>
        <w:br w:type="page"/>
      </w:r>
    </w:p>
    <w:p>
      <w:pPr>
        <w:pStyle w:val="Heading1"/>
      </w:pPr>
      <w:r>
        <w:rPr>
          <w:rFonts w:ascii="Times New Roman" w:hAnsi="Times New Roman"/>
          <w:color w:val="000000"/>
        </w:rPr>
        <w:t>Appendix A. Figure Insertion Guide</w:t>
      </w:r>
    </w:p>
    <w:p>
      <w:pPr>
        <w:jc w:val="center"/>
      </w:pPr>
      <w:r>
        <w:rPr>
          <w:rFonts w:ascii="Times New Roman" w:hAnsi="Times New Roman"/>
          <w:b/>
          <w:sz w:val="20"/>
        </w:rPr>
        <w:t>Appendix A. Recommended figure mapping.</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Figure</w:t>
            </w:r>
          </w:p>
        </w:tc>
        <w:tc>
          <w:tcPr>
            <w:tcW w:type="dxa" w:w="4320"/>
          </w:tcPr>
          <w:p>
            <w:r>
              <w:rPr>
                <w:rFonts w:ascii="Times New Roman" w:hAnsi="Times New Roman"/>
                <w:b/>
                <w:sz w:val="20"/>
              </w:rPr>
              <w:t>Source file / note</w:t>
            </w:r>
          </w:p>
        </w:tc>
      </w:tr>
      <w:tr>
        <w:tc>
          <w:tcPr>
            <w:tcW w:type="dxa" w:w="4320"/>
          </w:tcPr>
          <w:p>
            <w:r>
              <w:rPr>
                <w:rFonts w:ascii="Times New Roman" w:hAnsi="Times New Roman"/>
                <w:sz w:val="20"/>
              </w:rPr>
              <w:t>Fig. 1</w:t>
            </w:r>
          </w:p>
        </w:tc>
        <w:tc>
          <w:tcPr>
            <w:tcW w:type="dxa" w:w="4320"/>
          </w:tcPr>
          <w:p>
            <w:r>
              <w:rPr>
                <w:rFonts w:ascii="Times New Roman" w:hAnsi="Times New Roman"/>
                <w:sz w:val="20"/>
              </w:rPr>
              <w:t>HSANet architecture (methodology — create custom)</w:t>
            </w:r>
          </w:p>
        </w:tc>
      </w:tr>
      <w:tr>
        <w:tc>
          <w:tcPr>
            <w:tcW w:type="dxa" w:w="4320"/>
          </w:tcPr>
          <w:p>
            <w:r>
              <w:rPr>
                <w:rFonts w:ascii="Times New Roman" w:hAnsi="Times New Roman"/>
                <w:sz w:val="20"/>
              </w:rPr>
              <w:t>Fig. 2</w:t>
            </w:r>
          </w:p>
        </w:tc>
        <w:tc>
          <w:tcPr>
            <w:tcW w:type="dxa" w:w="4320"/>
          </w:tcPr>
          <w:p>
            <w:r>
              <w:rPr>
                <w:rFonts w:ascii="Times New Roman" w:hAnsi="Times New Roman"/>
                <w:sz w:val="20"/>
              </w:rPr>
              <w:t>fig_01_class_distribution.png</w:t>
            </w:r>
          </w:p>
        </w:tc>
      </w:tr>
      <w:tr>
        <w:tc>
          <w:tcPr>
            <w:tcW w:type="dxa" w:w="4320"/>
          </w:tcPr>
          <w:p>
            <w:r>
              <w:rPr>
                <w:rFonts w:ascii="Times New Roman" w:hAnsi="Times New Roman"/>
                <w:sz w:val="20"/>
              </w:rPr>
              <w:t>Fig. 3</w:t>
            </w:r>
          </w:p>
        </w:tc>
        <w:tc>
          <w:tcPr>
            <w:tcW w:type="dxa" w:w="4320"/>
          </w:tcPr>
          <w:p>
            <w:r>
              <w:rPr>
                <w:rFonts w:ascii="Times New Roman" w:hAnsi="Times New Roman"/>
                <w:sz w:val="20"/>
              </w:rPr>
              <w:t>AMSM module detail (methodology — create custom)</w:t>
            </w:r>
          </w:p>
        </w:tc>
      </w:tr>
      <w:tr>
        <w:tc>
          <w:tcPr>
            <w:tcW w:type="dxa" w:w="4320"/>
          </w:tcPr>
          <w:p>
            <w:r>
              <w:rPr>
                <w:rFonts w:ascii="Times New Roman" w:hAnsi="Times New Roman"/>
                <w:sz w:val="20"/>
              </w:rPr>
              <w:t>Fig. 4</w:t>
            </w:r>
          </w:p>
        </w:tc>
        <w:tc>
          <w:tcPr>
            <w:tcW w:type="dxa" w:w="4320"/>
          </w:tcPr>
          <w:p>
            <w:r>
              <w:rPr>
                <w:rFonts w:ascii="Times New Roman" w:hAnsi="Times New Roman"/>
                <w:sz w:val="20"/>
              </w:rPr>
              <w:t>EDL head (methodology — create custom)</w:t>
            </w:r>
          </w:p>
        </w:tc>
      </w:tr>
      <w:tr>
        <w:tc>
          <w:tcPr>
            <w:tcW w:type="dxa" w:w="4320"/>
          </w:tcPr>
          <w:p>
            <w:r>
              <w:rPr>
                <w:rFonts w:ascii="Times New Roman" w:hAnsi="Times New Roman"/>
                <w:sz w:val="20"/>
              </w:rPr>
              <w:t>Fig. 5</w:t>
            </w:r>
          </w:p>
        </w:tc>
        <w:tc>
          <w:tcPr>
            <w:tcW w:type="dxa" w:w="4320"/>
          </w:tcPr>
          <w:p>
            <w:r>
              <w:rPr>
                <w:rFonts w:ascii="Times New Roman" w:hAnsi="Times New Roman"/>
                <w:sz w:val="20"/>
              </w:rPr>
              <w:t>fig_02_cv_training_curves.png</w:t>
            </w:r>
          </w:p>
        </w:tc>
      </w:tr>
      <w:tr>
        <w:tc>
          <w:tcPr>
            <w:tcW w:type="dxa" w:w="4320"/>
          </w:tcPr>
          <w:p>
            <w:r>
              <w:rPr>
                <w:rFonts w:ascii="Times New Roman" w:hAnsi="Times New Roman"/>
                <w:sz w:val="20"/>
              </w:rPr>
              <w:t>Fig. 6</w:t>
            </w:r>
          </w:p>
        </w:tc>
        <w:tc>
          <w:tcPr>
            <w:tcW w:type="dxa" w:w="4320"/>
          </w:tcPr>
          <w:p>
            <w:r>
              <w:rPr>
                <w:rFonts w:ascii="Times New Roman" w:hAnsi="Times New Roman"/>
                <w:sz w:val="20"/>
              </w:rPr>
              <w:t>fig_03_hsanet_confusion_matrix.png</w:t>
            </w:r>
          </w:p>
        </w:tc>
      </w:tr>
      <w:tr>
        <w:tc>
          <w:tcPr>
            <w:tcW w:type="dxa" w:w="4320"/>
          </w:tcPr>
          <w:p>
            <w:r>
              <w:rPr>
                <w:rFonts w:ascii="Times New Roman" w:hAnsi="Times New Roman"/>
                <w:sz w:val="20"/>
              </w:rPr>
              <w:t>Fig. 7</w:t>
            </w:r>
          </w:p>
        </w:tc>
        <w:tc>
          <w:tcPr>
            <w:tcW w:type="dxa" w:w="4320"/>
          </w:tcPr>
          <w:p>
            <w:r>
              <w:rPr>
                <w:rFonts w:ascii="Times New Roman" w:hAnsi="Times New Roman"/>
                <w:sz w:val="20"/>
              </w:rPr>
              <w:t>fig_04_hsanet_roc_curves.png</w:t>
            </w:r>
          </w:p>
        </w:tc>
      </w:tr>
      <w:tr>
        <w:tc>
          <w:tcPr>
            <w:tcW w:type="dxa" w:w="4320"/>
          </w:tcPr>
          <w:p>
            <w:r>
              <w:rPr>
                <w:rFonts w:ascii="Times New Roman" w:hAnsi="Times New Roman"/>
                <w:sz w:val="20"/>
              </w:rPr>
              <w:t>Fig. 8</w:t>
            </w:r>
          </w:p>
        </w:tc>
        <w:tc>
          <w:tcPr>
            <w:tcW w:type="dxa" w:w="4320"/>
          </w:tcPr>
          <w:p>
            <w:r>
              <w:rPr>
                <w:rFonts w:ascii="Times New Roman" w:hAnsi="Times New Roman"/>
                <w:sz w:val="20"/>
              </w:rPr>
              <w:t>fig_05_accuracy_comparison.png</w:t>
            </w:r>
          </w:p>
        </w:tc>
      </w:tr>
      <w:tr>
        <w:tc>
          <w:tcPr>
            <w:tcW w:type="dxa" w:w="4320"/>
          </w:tcPr>
          <w:p>
            <w:r>
              <w:rPr>
                <w:rFonts w:ascii="Times New Roman" w:hAnsi="Times New Roman"/>
                <w:sz w:val="20"/>
              </w:rPr>
              <w:t>Fig. 9</w:t>
            </w:r>
          </w:p>
        </w:tc>
        <w:tc>
          <w:tcPr>
            <w:tcW w:type="dxa" w:w="4320"/>
          </w:tcPr>
          <w:p>
            <w:r>
              <w:rPr>
                <w:rFonts w:ascii="Times New Roman" w:hAnsi="Times New Roman"/>
                <w:sz w:val="20"/>
              </w:rPr>
              <w:t>fig_06_accuracy_vs_params.png</w:t>
            </w:r>
          </w:p>
        </w:tc>
      </w:tr>
      <w:tr>
        <w:tc>
          <w:tcPr>
            <w:tcW w:type="dxa" w:w="4320"/>
          </w:tcPr>
          <w:p>
            <w:r>
              <w:rPr>
                <w:rFonts w:ascii="Times New Roman" w:hAnsi="Times New Roman"/>
                <w:sz w:val="20"/>
              </w:rPr>
              <w:t>Fig. 10</w:t>
            </w:r>
          </w:p>
        </w:tc>
        <w:tc>
          <w:tcPr>
            <w:tcW w:type="dxa" w:w="4320"/>
          </w:tcPr>
          <w:p>
            <w:r>
              <w:rPr>
                <w:rFonts w:ascii="Times New Roman" w:hAnsi="Times New Roman"/>
                <w:sz w:val="20"/>
              </w:rPr>
              <w:t>fig_07_baseline_confusion_matrices.png</w:t>
            </w:r>
          </w:p>
        </w:tc>
      </w:tr>
      <w:tr>
        <w:tc>
          <w:tcPr>
            <w:tcW w:type="dxa" w:w="4320"/>
          </w:tcPr>
          <w:p>
            <w:r>
              <w:rPr>
                <w:rFonts w:ascii="Times New Roman" w:hAnsi="Times New Roman"/>
                <w:sz w:val="20"/>
              </w:rPr>
              <w:t>Fig. 11</w:t>
            </w:r>
          </w:p>
        </w:tc>
        <w:tc>
          <w:tcPr>
            <w:tcW w:type="dxa" w:w="4320"/>
          </w:tcPr>
          <w:p>
            <w:r>
              <w:rPr>
                <w:rFonts w:ascii="Times New Roman" w:hAnsi="Times New Roman"/>
                <w:sz w:val="20"/>
              </w:rPr>
              <w:t>fig_10_ablation_study.png</w:t>
            </w:r>
          </w:p>
        </w:tc>
      </w:tr>
      <w:tr>
        <w:tc>
          <w:tcPr>
            <w:tcW w:type="dxa" w:w="4320"/>
          </w:tcPr>
          <w:p>
            <w:r>
              <w:rPr>
                <w:rFonts w:ascii="Times New Roman" w:hAnsi="Times New Roman"/>
                <w:sz w:val="20"/>
              </w:rPr>
              <w:t>Fig. 12</w:t>
            </w:r>
          </w:p>
        </w:tc>
        <w:tc>
          <w:tcPr>
            <w:tcW w:type="dxa" w:w="4320"/>
          </w:tcPr>
          <w:p>
            <w:r>
              <w:rPr>
                <w:rFonts w:ascii="Times New Roman" w:hAnsi="Times New Roman"/>
                <w:sz w:val="20"/>
              </w:rPr>
              <w:t>fig_07b_loss_fairness.png</w:t>
            </w:r>
          </w:p>
        </w:tc>
      </w:tr>
      <w:tr>
        <w:tc>
          <w:tcPr>
            <w:tcW w:type="dxa" w:w="4320"/>
          </w:tcPr>
          <w:p>
            <w:r>
              <w:rPr>
                <w:rFonts w:ascii="Times New Roman" w:hAnsi="Times New Roman"/>
                <w:sz w:val="20"/>
              </w:rPr>
              <w:t>Fig. 13–14</w:t>
            </w:r>
          </w:p>
        </w:tc>
        <w:tc>
          <w:tcPr>
            <w:tcW w:type="dxa" w:w="4320"/>
          </w:tcPr>
          <w:p>
            <w:r>
              <w:rPr>
                <w:rFonts w:ascii="Times New Roman" w:hAnsi="Times New Roman"/>
                <w:sz w:val="20"/>
              </w:rPr>
              <w:t>fig_08, fig_09 cross-dataset</w:t>
            </w:r>
          </w:p>
        </w:tc>
      </w:tr>
      <w:tr>
        <w:tc>
          <w:tcPr>
            <w:tcW w:type="dxa" w:w="4320"/>
          </w:tcPr>
          <w:p>
            <w:r>
              <w:rPr>
                <w:rFonts w:ascii="Times New Roman" w:hAnsi="Times New Roman"/>
                <w:sz w:val="20"/>
              </w:rPr>
              <w:t>Fig. 15–17</w:t>
            </w:r>
          </w:p>
        </w:tc>
        <w:tc>
          <w:tcPr>
            <w:tcW w:type="dxa" w:w="4320"/>
          </w:tcPr>
          <w:p>
            <w:r>
              <w:rPr>
                <w:rFonts w:ascii="Times New Roman" w:hAnsi="Times New Roman"/>
                <w:sz w:val="20"/>
              </w:rPr>
              <w:t>fig_14, fig_14b, fig_13 uncertainty</w:t>
            </w:r>
          </w:p>
        </w:tc>
      </w:tr>
      <w:tr>
        <w:tc>
          <w:tcPr>
            <w:tcW w:type="dxa" w:w="4320"/>
          </w:tcPr>
          <w:p>
            <w:r>
              <w:rPr>
                <w:rFonts w:ascii="Times New Roman" w:hAnsi="Times New Roman"/>
                <w:sz w:val="20"/>
              </w:rPr>
              <w:t>Fig. 18–19</w:t>
            </w:r>
          </w:p>
        </w:tc>
        <w:tc>
          <w:tcPr>
            <w:tcW w:type="dxa" w:w="4320"/>
          </w:tcPr>
          <w:p>
            <w:r>
              <w:rPr>
                <w:rFonts w:ascii="Times New Roman" w:hAnsi="Times New Roman"/>
                <w:sz w:val="20"/>
              </w:rPr>
              <w:t>fig_10c, fig_10b sensitivity</w:t>
            </w:r>
          </w:p>
        </w:tc>
      </w:tr>
      <w:tr>
        <w:tc>
          <w:tcPr>
            <w:tcW w:type="dxa" w:w="4320"/>
          </w:tcPr>
          <w:p>
            <w:r>
              <w:rPr>
                <w:rFonts w:ascii="Times New Roman" w:hAnsi="Times New Roman"/>
                <w:sz w:val="20"/>
              </w:rPr>
              <w:t>Fig. 20</w:t>
            </w:r>
          </w:p>
        </w:tc>
        <w:tc>
          <w:tcPr>
            <w:tcW w:type="dxa" w:w="4320"/>
          </w:tcPr>
          <w:p>
            <w:r>
              <w:rPr>
                <w:rFonts w:ascii="Times New Roman" w:hAnsi="Times New Roman"/>
                <w:sz w:val="20"/>
              </w:rPr>
              <w:t>fig_11_statistical_tests.png</w:t>
            </w:r>
          </w:p>
        </w:tc>
      </w:tr>
      <w:tr>
        <w:tc>
          <w:tcPr>
            <w:tcW w:type="dxa" w:w="4320"/>
          </w:tcPr>
          <w:p>
            <w:r>
              <w:rPr>
                <w:rFonts w:ascii="Times New Roman" w:hAnsi="Times New Roman"/>
                <w:sz w:val="20"/>
              </w:rPr>
              <w:t>Fig. 21–24</w:t>
            </w:r>
          </w:p>
        </w:tc>
        <w:tc>
          <w:tcPr>
            <w:tcW w:type="dxa" w:w="4320"/>
          </w:tcPr>
          <w:p>
            <w:r>
              <w:rPr>
                <w:rFonts w:ascii="Times New Roman" w:hAnsi="Times New Roman"/>
                <w:sz w:val="20"/>
              </w:rPr>
              <w:t>fig_15, fig_15b, fig_17, fig_18b interpretability</w:t>
            </w:r>
          </w:p>
        </w:tc>
      </w:tr>
      <w:tr>
        <w:tc>
          <w:tcPr>
            <w:tcW w:type="dxa" w:w="4320"/>
          </w:tcPr>
          <w:p>
            <w:r>
              <w:rPr>
                <w:rFonts w:ascii="Times New Roman" w:hAnsi="Times New Roman"/>
                <w:sz w:val="20"/>
              </w:rPr>
              <w:t>Fig. 25–26</w:t>
            </w:r>
          </w:p>
        </w:tc>
        <w:tc>
          <w:tcPr>
            <w:tcW w:type="dxa" w:w="4320"/>
          </w:tcPr>
          <w:p>
            <w:r>
              <w:rPr>
                <w:rFonts w:ascii="Times New Roman" w:hAnsi="Times New Roman"/>
                <w:sz w:val="20"/>
              </w:rPr>
              <w:t>fig_18_efficiency, fig_16_radar</w:t>
            </w:r>
          </w:p>
        </w:tc>
      </w:tr>
    </w:tbl>
    <w:p/>
    <w:p>
      <w:pPr>
        <w:pStyle w:val="Heading1"/>
      </w:pPr>
      <w:r>
        <w:rPr>
          <w:rFonts w:ascii="Times New Roman" w:hAnsi="Times New Roman"/>
          <w:color w:val="000000"/>
        </w:rPr>
        <w:t>Appendix B. Version 5 vs. Version 6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Component</w:t>
            </w:r>
          </w:p>
        </w:tc>
        <w:tc>
          <w:tcPr>
            <w:tcW w:type="dxa" w:w="2880"/>
          </w:tcPr>
          <w:p>
            <w:r>
              <w:rPr>
                <w:rFonts w:ascii="Times New Roman" w:hAnsi="Times New Roman"/>
                <w:b/>
                <w:sz w:val="20"/>
              </w:rPr>
              <w:t>Version 5</w:t>
            </w:r>
          </w:p>
        </w:tc>
        <w:tc>
          <w:tcPr>
            <w:tcW w:type="dxa" w:w="2880"/>
          </w:tcPr>
          <w:p>
            <w:r>
              <w:rPr>
                <w:rFonts w:ascii="Times New Roman" w:hAnsi="Times New Roman"/>
                <w:b/>
                <w:sz w:val="20"/>
              </w:rPr>
              <w:t>Version 6 (final)</w:t>
            </w:r>
          </w:p>
        </w:tc>
      </w:tr>
      <w:tr>
        <w:tc>
          <w:tcPr>
            <w:tcW w:type="dxa" w:w="2880"/>
          </w:tcPr>
          <w:p>
            <w:r>
              <w:rPr>
                <w:rFonts w:ascii="Times New Roman" w:hAnsi="Times New Roman"/>
                <w:sz w:val="20"/>
              </w:rPr>
              <w:t>EfficientNet-B3 backbone</w:t>
            </w:r>
          </w:p>
        </w:tc>
        <w:tc>
          <w:tcPr>
            <w:tcW w:type="dxa" w:w="2880"/>
          </w:tcPr>
          <w:p>
            <w:r>
              <w:rPr>
                <w:rFonts w:ascii="Times New Roman" w:hAnsi="Times New Roman"/>
                <w:sz w:val="20"/>
              </w:rPr>
              <w:t>Yes</w:t>
            </w:r>
          </w:p>
        </w:tc>
        <w:tc>
          <w:tcPr>
            <w:tcW w:type="dxa" w:w="2880"/>
          </w:tcPr>
          <w:p>
            <w:r>
              <w:rPr>
                <w:rFonts w:ascii="Times New Roman" w:hAnsi="Times New Roman"/>
                <w:sz w:val="20"/>
              </w:rPr>
              <w:t>Yes</w:t>
            </w:r>
          </w:p>
        </w:tc>
      </w:tr>
      <w:tr>
        <w:tc>
          <w:tcPr>
            <w:tcW w:type="dxa" w:w="2880"/>
          </w:tcPr>
          <w:p>
            <w:r>
              <w:rPr>
                <w:rFonts w:ascii="Times New Roman" w:hAnsi="Times New Roman"/>
                <w:sz w:val="20"/>
              </w:rPr>
              <w:t>AMSM (4-branch DW-Sep)</w:t>
            </w:r>
          </w:p>
        </w:tc>
        <w:tc>
          <w:tcPr>
            <w:tcW w:type="dxa" w:w="2880"/>
          </w:tcPr>
          <w:p>
            <w:r>
              <w:rPr>
                <w:rFonts w:ascii="Times New Roman" w:hAnsi="Times New Roman"/>
                <w:sz w:val="20"/>
              </w:rPr>
              <w:t>Yes</w:t>
            </w:r>
          </w:p>
        </w:tc>
        <w:tc>
          <w:tcPr>
            <w:tcW w:type="dxa" w:w="2880"/>
          </w:tcPr>
          <w:p>
            <w:r>
              <w:rPr>
                <w:rFonts w:ascii="Times New Roman" w:hAnsi="Times New Roman"/>
                <w:sz w:val="20"/>
              </w:rPr>
              <w:t>Yes</w:t>
            </w:r>
          </w:p>
        </w:tc>
      </w:tr>
      <w:tr>
        <w:tc>
          <w:tcPr>
            <w:tcW w:type="dxa" w:w="2880"/>
          </w:tcPr>
          <w:p>
            <w:r>
              <w:rPr>
                <w:rFonts w:ascii="Times New Roman" w:hAnsi="Times New Roman"/>
                <w:sz w:val="20"/>
              </w:rPr>
              <w:t>DAM (ECA + spatial)</w:t>
            </w:r>
          </w:p>
        </w:tc>
        <w:tc>
          <w:tcPr>
            <w:tcW w:type="dxa" w:w="2880"/>
          </w:tcPr>
          <w:p>
            <w:r>
              <w:rPr>
                <w:rFonts w:ascii="Times New Roman" w:hAnsi="Times New Roman"/>
                <w:sz w:val="20"/>
              </w:rPr>
              <w:t>Yes</w:t>
            </w:r>
          </w:p>
        </w:tc>
        <w:tc>
          <w:tcPr>
            <w:tcW w:type="dxa" w:w="2880"/>
          </w:tcPr>
          <w:p>
            <w:r>
              <w:rPr>
                <w:rFonts w:ascii="Times New Roman" w:hAnsi="Times New Roman"/>
                <w:sz w:val="20"/>
              </w:rPr>
              <w:t>Removed</w:t>
            </w:r>
          </w:p>
        </w:tc>
      </w:tr>
      <w:tr>
        <w:tc>
          <w:tcPr>
            <w:tcW w:type="dxa" w:w="2880"/>
          </w:tcPr>
          <w:p>
            <w:r>
              <w:rPr>
                <w:rFonts w:ascii="Times New Roman" w:hAnsi="Times New Roman"/>
                <w:sz w:val="20"/>
              </w:rPr>
              <w:t>Evidential classifier</w:t>
            </w:r>
          </w:p>
        </w:tc>
        <w:tc>
          <w:tcPr>
            <w:tcW w:type="dxa" w:w="2880"/>
          </w:tcPr>
          <w:p>
            <w:r>
              <w:rPr>
                <w:rFonts w:ascii="Times New Roman" w:hAnsi="Times New Roman"/>
                <w:sz w:val="20"/>
              </w:rPr>
              <w:t>Yes</w:t>
            </w:r>
          </w:p>
        </w:tc>
        <w:tc>
          <w:tcPr>
            <w:tcW w:type="dxa" w:w="2880"/>
          </w:tcPr>
          <w:p>
            <w:r>
              <w:rPr>
                <w:rFonts w:ascii="Times New Roman" w:hAnsi="Times New Roman"/>
                <w:sz w:val="20"/>
              </w:rPr>
              <w:t>Yes</w:t>
            </w:r>
          </w:p>
        </w:tc>
      </w:tr>
      <w:tr>
        <w:tc>
          <w:tcPr>
            <w:tcW w:type="dxa" w:w="2880"/>
          </w:tcPr>
          <w:p>
            <w:r>
              <w:rPr>
                <w:rFonts w:ascii="Times New Roman" w:hAnsi="Times New Roman"/>
                <w:sz w:val="20"/>
              </w:rPr>
              <w:t>BRISC test accuracy</w:t>
            </w:r>
          </w:p>
        </w:tc>
        <w:tc>
          <w:tcPr>
            <w:tcW w:type="dxa" w:w="2880"/>
          </w:tcPr>
          <w:p>
            <w:r>
              <w:rPr>
                <w:rFonts w:ascii="Times New Roman" w:hAnsi="Times New Roman"/>
                <w:sz w:val="20"/>
              </w:rPr>
              <w:t>99.1% (full) / 99.3% (AMSM-only)</w:t>
            </w:r>
          </w:p>
        </w:tc>
        <w:tc>
          <w:tcPr>
            <w:tcW w:type="dxa" w:w="2880"/>
          </w:tcPr>
          <w:p>
            <w:r>
              <w:rPr>
                <w:rFonts w:ascii="Times New Roman" w:hAnsi="Times New Roman"/>
                <w:sz w:val="20"/>
              </w:rPr>
              <w:t>99.2%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