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Palatino Linotype" w:cs="Palatino Linotype" w:eastAsia="Palatino Linotype" w:hAnsi="Palatino Linotype"/>
          <w:b/>
          <w:bCs/>
          <w:sz w:val="26"/>
          <w:szCs w:val="26"/>
        </w:rPr>
        <w:t xml:space="preserve">Programma annuale delle attività 2027</w:t>
      </w:r>
    </w:p>
    <w:p>
      <w:pPr>
        <w:spacing w:after="60" w:line="360"/>
        <w:jc w:val="center"/>
      </w:pPr>
      <w:r>
        <w:rPr>
          <w:rFonts w:ascii="Palatino Linotype" w:cs="Palatino Linotype" w:eastAsia="Palatino Linotype" w:hAnsi="Palatino Linotype"/>
          <w:b/>
          <w:bCs/>
          <w:sz w:val="26"/>
          <w:szCs w:val="26"/>
        </w:rPr>
        <w:t xml:space="preserve">Rete e comunità d'impresa «Caserta fa squadra»</w:t>
      </w:r>
    </w:p>
    <w:p>
      <w:pPr>
        <w:spacing w:after="240" w:line="360"/>
        <w:jc w:val="center"/>
      </w:pPr>
      <w:r>
        <w:rPr>
          <w:rFonts w:ascii="Palatino Linotype" w:cs="Palatino Linotype" w:eastAsia="Palatino Linotype" w:hAnsi="Palatino Linotype"/>
          <w:i/>
          <w:iCs/>
          <w:sz w:val="22"/>
          <w:szCs w:val="22"/>
        </w:rPr>
        <w:t xml:space="preserve">proposto da ProValue e approvato dal Comitato di gestione ai sensi dell'art. 5, comma 2, del contratto di rete</w:t>
      </w:r>
    </w:p>
    <w:p>
      <w:pPr>
        <w:keepNext/>
        <w:spacing w:after="80" w:before="220" w:line="360"/>
      </w:pPr>
      <w:r>
        <w:rPr>
          <w:rFonts w:ascii="Palatino Linotype" w:cs="Palatino Linotype" w:eastAsia="Palatino Linotype" w:hAnsi="Palatino Linotype"/>
          <w:b/>
          <w:bCs/>
          <w:sz w:val="22"/>
          <w:szCs w:val="22"/>
        </w:rPr>
        <w:t xml:space="preserve">1. Finalità del programma</w:t>
      </w:r>
    </w:p>
    <w:p>
      <w:pPr>
        <w:spacing w:after="100" w:line="360"/>
        <w:jc w:val="both"/>
      </w:pPr>
      <w:r>
        <w:rPr>
          <w:rFonts w:ascii="Palatino Linotype" w:cs="Palatino Linotype" w:eastAsia="Palatino Linotype" w:hAnsi="Palatino Linotype"/>
          <w:sz w:val="22"/>
          <w:szCs w:val="22"/>
        </w:rPr>
        <w:t xml:space="preserve">Il 2027 è il primo anno di attività della comunità d'impresa «Caserta fa squadra». Il programma ha tre scopi: far crescere la comunità e rendere abituale l'incontro tra le imprese attorno alla Juvecaserta; generare collaborazioni concrete tra gli aderenti; avviare il fondo «Giovani e territorio» con i primi progetti per lo sport giovanile e con il lavoro preparatorio sulle infrastrutture.</w:t>
      </w:r>
    </w:p>
    <w:p>
      <w:pPr>
        <w:spacing w:after="100" w:line="360"/>
        <w:jc w:val="both"/>
      </w:pPr>
      <w:r>
        <w:rPr>
          <w:rFonts w:ascii="Palatino Linotype" w:cs="Palatino Linotype" w:eastAsia="Palatino Linotype" w:hAnsi="Palatino Linotype"/>
          <w:sz w:val="22"/>
          <w:szCs w:val="22"/>
        </w:rPr>
        <w:t xml:space="preserve">L'anno solare comprende la seconda parte della stagione sportiva 2026/2027 e l'avvio della stagione 2027/2028. Il calendario delle attività legate alle gare si adegua ai calendari ufficiali del campionato.</w:t>
      </w:r>
    </w:p>
    <w:p>
      <w:pPr>
        <w:keepNext/>
        <w:spacing w:after="80" w:before="220" w:line="360"/>
      </w:pPr>
      <w:r>
        <w:rPr>
          <w:rFonts w:ascii="Palatino Linotype" w:cs="Palatino Linotype" w:eastAsia="Palatino Linotype" w:hAnsi="Palatino Linotype"/>
          <w:b/>
          <w:bCs/>
          <w:sz w:val="22"/>
          <w:szCs w:val="22"/>
        </w:rPr>
        <w:t xml:space="preserve">2. Obiettivi e indicatori</w:t>
      </w:r>
    </w:p>
    <w:p>
      <w:pPr>
        <w:keepNext/>
        <w:spacing w:after="100" w:line="360"/>
        <w:jc w:val="both"/>
      </w:pPr>
      <w:r>
        <w:rPr>
          <w:rFonts w:ascii="Palatino Linotype" w:cs="Palatino Linotype" w:eastAsia="Palatino Linotype" w:hAnsi="Palatino Linotype"/>
          <w:sz w:val="22"/>
          <w:szCs w:val="22"/>
        </w:rPr>
        <w:t xml:space="preserve">Gli obiettivi traducono in valori attesi per il 2027 gli indicatori previsti dall'art. 4 del contratto di rete.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70"/>
        <w:gridCol w:w="2100"/>
        <w:gridCol w:w="3100"/>
      </w:tblGrid>
      <w:tr>
        <w:trPr>
          <w:cantSplit/>
          <w:tblHeader/>
        </w:trPr>
        <w:tc>
          <w:tcPr>
            <w:tcW w:type="dxa" w:w="3870"/>
            <w:tcBorders>
              <w:top w:val="single" w:color="A6A6A6" w:sz="4"/>
              <w:left w:val="single" w:color="A6A6A6" w:sz="4"/>
              <w:bottom w:val="single" w:color="A6A6A6" w:sz="4"/>
              <w:right w:val="single" w:color="A6A6A6" w:sz="4"/>
            </w:tcBorders>
            <w:shd w:fill="E7E6E6" w:color="auto" w:val="clear"/>
            <w:tcMar>
              <w:top w:type="dxa" w:w="60"/>
              <w:left w:type="dxa" w:w="90"/>
              <w:bottom w:type="dxa" w:w="60"/>
              <w:right w:type="dxa" w:w="90"/>
            </w:tcMar>
          </w:tcPr>
          <w:p>
            <w:pPr>
              <w:spacing w:line="276"/>
              <w:jc w:val="center"/>
            </w:pPr>
            <w:r>
              <w:rPr>
                <w:rFonts w:ascii="Palatino Linotype" w:cs="Palatino Linotype" w:eastAsia="Palatino Linotype" w:hAnsi="Palatino Linotype"/>
                <w:b/>
                <w:bCs/>
                <w:sz w:val="19"/>
                <w:szCs w:val="19"/>
              </w:rPr>
              <w:t xml:space="preserve">Indicatore</w:t>
            </w:r>
          </w:p>
        </w:tc>
        <w:tc>
          <w:tcPr>
            <w:tcW w:type="dxa" w:w="2100"/>
            <w:tcBorders>
              <w:top w:val="single" w:color="A6A6A6" w:sz="4"/>
              <w:left w:val="single" w:color="A6A6A6" w:sz="4"/>
              <w:bottom w:val="single" w:color="A6A6A6" w:sz="4"/>
              <w:right w:val="single" w:color="A6A6A6" w:sz="4"/>
            </w:tcBorders>
            <w:shd w:fill="E7E6E6" w:color="auto" w:val="clear"/>
            <w:tcMar>
              <w:top w:type="dxa" w:w="60"/>
              <w:left w:type="dxa" w:w="90"/>
              <w:bottom w:type="dxa" w:w="60"/>
              <w:right w:type="dxa" w:w="90"/>
            </w:tcMar>
          </w:tcPr>
          <w:p>
            <w:pPr>
              <w:spacing w:line="276"/>
              <w:jc w:val="center"/>
            </w:pPr>
            <w:r>
              <w:rPr>
                <w:rFonts w:ascii="Palatino Linotype" w:cs="Palatino Linotype" w:eastAsia="Palatino Linotype" w:hAnsi="Palatino Linotype"/>
                <w:b/>
                <w:bCs/>
                <w:sz w:val="19"/>
                <w:szCs w:val="19"/>
              </w:rPr>
              <w:t xml:space="preserve">Obiettivo 2027</w:t>
            </w:r>
          </w:p>
        </w:tc>
        <w:tc>
          <w:tcPr>
            <w:tcW w:type="dxa" w:w="3100"/>
            <w:tcBorders>
              <w:top w:val="single" w:color="A6A6A6" w:sz="4"/>
              <w:left w:val="single" w:color="A6A6A6" w:sz="4"/>
              <w:bottom w:val="single" w:color="A6A6A6" w:sz="4"/>
              <w:right w:val="single" w:color="A6A6A6" w:sz="4"/>
            </w:tcBorders>
            <w:shd w:fill="E7E6E6" w:color="auto" w:val="clear"/>
            <w:tcMar>
              <w:top w:type="dxa" w:w="60"/>
              <w:left w:type="dxa" w:w="90"/>
              <w:bottom w:type="dxa" w:w="60"/>
              <w:right w:type="dxa" w:w="90"/>
            </w:tcMar>
          </w:tcPr>
          <w:p>
            <w:pPr>
              <w:spacing w:line="276"/>
              <w:jc w:val="center"/>
            </w:pPr>
            <w:r>
              <w:rPr>
                <w:rFonts w:ascii="Palatino Linotype" w:cs="Palatino Linotype" w:eastAsia="Palatino Linotype" w:hAnsi="Palatino Linotype"/>
                <w:b/>
                <w:bCs/>
                <w:sz w:val="19"/>
                <w:szCs w:val="19"/>
              </w:rPr>
              <w:t xml:space="preserve">Rilevazione</w:t>
            </w:r>
          </w:p>
        </w:tc>
      </w:tr>
      <w:tr>
        <w:trPr>
          <w:cantSplit/>
          <w:tblHeader w:val="off"/>
        </w:trPr>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Aderenti alla comunità</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50</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Elenco degli aderenti, al 31 dicembre</w:t>
            </w:r>
          </w:p>
        </w:tc>
      </w:tr>
      <w:tr>
        <w:trPr>
          <w:cantSplit/>
          <w:tblHeader w:val="off"/>
        </w:trPr>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Partecipanti alla Rete oltre ai fondatori</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5</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Atti di adesione iscritti</w:t>
            </w:r>
          </w:p>
        </w:tc>
      </w:tr>
      <w:tr>
        <w:trPr>
          <w:cantSplit/>
          <w:tblHeader w:val="off"/>
        </w:trPr>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Incontri in occasione delle gare casalinghe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10</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Registro delle presenze</w:t>
            </w:r>
          </w:p>
        </w:tc>
      </w:tr>
      <w:tr>
        <w:trPr>
          <w:cantSplit/>
          <w:tblHeader w:val="off"/>
        </w:trPr>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Tavoli di lavoro tematici</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6</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Verbali della Segreteria</w:t>
            </w:r>
          </w:p>
        </w:tc>
      </w:tr>
      <w:tr>
        <w:trPr>
          <w:cantSplit/>
          <w:tblHeader w:val="off"/>
        </w:trPr>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Moduli dell'Academy</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4</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Registro delle presenze</w:t>
            </w:r>
          </w:p>
        </w:tc>
      </w:tr>
      <w:tr>
        <w:trPr>
          <w:cantSplit/>
          <w:tblHeader w:val="off"/>
        </w:trPr>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Collaborazioni avviate tra aderenti</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30</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Questionari di giugno e dicembre</w:t>
            </w:r>
          </w:p>
        </w:tc>
      </w:tr>
      <w:tr>
        <w:trPr>
          <w:cantSplit/>
          <w:tblHeader w:val="off"/>
        </w:trPr>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Risorse raccolte dal fondo</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euro 40.000,00</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Rendiconto del fondo</w:t>
            </w:r>
          </w:p>
        </w:tc>
      </w:tr>
      <w:tr>
        <w:trPr>
          <w:cantSplit/>
          <w:tblHeader w:val="off"/>
        </w:trPr>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Giovani beneficiari dei progetti</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100</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Relazioni dei beneficiari</w:t>
            </w:r>
          </w:p>
        </w:tc>
      </w:tr>
      <w:tr>
        <w:trPr>
          <w:cantSplit/>
          <w:tblHeader w:val="off"/>
        </w:trPr>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Progetto infrastrutturale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Studio di fattibilità avviato</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Delibera del Comitato di gestione</w:t>
            </w:r>
          </w:p>
        </w:tc>
      </w:tr>
    </w:tbl>
    <w:p>
      <w:pPr>
        <w:keepNext/>
        <w:spacing w:after="80" w:before="220" w:line="360"/>
      </w:pPr>
      <w:r>
        <w:rPr>
          <w:rFonts w:ascii="Palatino Linotype" w:cs="Palatino Linotype" w:eastAsia="Palatino Linotype" w:hAnsi="Palatino Linotype"/>
          <w:b/>
          <w:bCs/>
          <w:sz w:val="22"/>
          <w:szCs w:val="22"/>
        </w:rPr>
        <w:t xml:space="preserve">3. Linee di attività</w:t>
      </w:r>
    </w:p>
    <w:p>
      <w:pPr>
        <w:spacing w:after="100" w:line="360"/>
        <w:jc w:val="both"/>
      </w:pPr>
      <w:r>
        <w:rPr>
          <w:rFonts w:ascii="Palatino Linotype" w:cs="Palatino Linotype" w:eastAsia="Palatino Linotype" w:hAnsi="Palatino Linotype"/>
          <w:b/>
          <w:bCs/>
          <w:sz w:val="22"/>
          <w:szCs w:val="22"/>
        </w:rPr>
        <w:t xml:space="preserve">3.1 Relazioni. </w:t>
      </w:r>
      <w:r>
        <w:rPr>
          <w:rFonts w:ascii="Palatino Linotype" w:cs="Palatino Linotype" w:eastAsia="Palatino Linotype" w:hAnsi="Palatino Linotype"/>
          <w:sz w:val="22"/>
          <w:szCs w:val="22"/>
        </w:rPr>
        <w:t xml:space="preserve">In almeno dieci gare casalinghe della Juvecaserta la comunità dispone di uno spazio d'incontro riservato agli aderenti, con un breve momento di presentazione delle imprese presenti. Nel corso dell'anno si svolgono sei tavoli di lavoro tematici, ciascuno dedicato a un tema scelto con gli aderenti, come filiere locali, accesso al credito, transizione energetica, mercati esteri, lavoro e competenze, digitale.</w:t>
      </w:r>
    </w:p>
    <w:p>
      <w:pPr>
        <w:spacing w:after="100" w:line="360"/>
        <w:jc w:val="both"/>
      </w:pPr>
      <w:r>
        <w:rPr>
          <w:rFonts w:ascii="Palatino Linotype" w:cs="Palatino Linotype" w:eastAsia="Palatino Linotype" w:hAnsi="Palatino Linotype"/>
          <w:b/>
          <w:bCs/>
          <w:sz w:val="22"/>
          <w:szCs w:val="22"/>
        </w:rPr>
        <w:t xml:space="preserve">3.2 Cultura d'impresa. </w:t>
      </w:r>
      <w:r>
        <w:rPr>
          <w:rFonts w:ascii="Palatino Linotype" w:cs="Palatino Linotype" w:eastAsia="Palatino Linotype" w:hAnsi="Palatino Linotype"/>
          <w:sz w:val="22"/>
          <w:szCs w:val="22"/>
        </w:rPr>
        <w:t xml:space="preserve">L'Academy «Caserta fa squadra» propone quattro moduli trimestrali, gratuiti per gli aderenti: sostenibilità e finanza sostenibile; credito e finanza d'impresa; compliance e gestione dei rischi; reputazione, digitale e intelligenza artificiale. I moduli sono tenuti da docenti, professionisti e imprenditori, anche esterni a ProValue, e non hanno finalità promozionali.</w:t>
      </w:r>
    </w:p>
    <w:p>
      <w:pPr>
        <w:spacing w:after="100" w:line="360"/>
        <w:jc w:val="both"/>
      </w:pPr>
      <w:r>
        <w:rPr>
          <w:rFonts w:ascii="Palatino Linotype" w:cs="Palatino Linotype" w:eastAsia="Palatino Linotype" w:hAnsi="Palatino Linotype"/>
          <w:b/>
          <w:bCs/>
          <w:sz w:val="22"/>
          <w:szCs w:val="22"/>
        </w:rPr>
        <w:t xml:space="preserve">3.3 Forum annuale. </w:t>
      </w:r>
      <w:r>
        <w:rPr>
          <w:rFonts w:ascii="Palatino Linotype" w:cs="Palatino Linotype" w:eastAsia="Palatino Linotype" w:hAnsi="Palatino Linotype"/>
          <w:sz w:val="22"/>
          <w:szCs w:val="22"/>
        </w:rPr>
        <w:t xml:space="preserve">Nell'autunno 2027, all'avvio della nuova stagione, si tiene il primo forum «Caserta fa squadra», aperto a imprese, istituzioni, università, sistema bancario e cittadini, con la presentazione dei risultati del primo anno.</w:t>
      </w:r>
    </w:p>
    <w:p>
      <w:pPr>
        <w:spacing w:after="100" w:line="360"/>
        <w:jc w:val="both"/>
      </w:pPr>
      <w:r>
        <w:rPr>
          <w:rFonts w:ascii="Palatino Linotype" w:cs="Palatino Linotype" w:eastAsia="Palatino Linotype" w:hAnsi="Palatino Linotype"/>
          <w:b/>
          <w:bCs/>
          <w:sz w:val="22"/>
          <w:szCs w:val="22"/>
        </w:rPr>
        <w:t xml:space="preserve">3.4 Giovani. </w:t>
      </w:r>
      <w:r>
        <w:rPr>
          <w:rFonts w:ascii="Palatino Linotype" w:cs="Palatino Linotype" w:eastAsia="Palatino Linotype" w:hAnsi="Palatino Linotype"/>
          <w:sz w:val="22"/>
          <w:szCs w:val="22"/>
        </w:rPr>
        <w:t xml:space="preserve">Il fondo finanzia borse sportive per ragazzi in condizioni economiche disagiate, un progetto nelle scuole sui valori dello sport e dell'impresa con il coinvolgimento di atleti e tecnici della Juvecaserta e un programma di tirocini estivi presso le imprese della comunità, denominato «Dal parquet all'impresa».</w:t>
      </w:r>
    </w:p>
    <w:p>
      <w:pPr>
        <w:spacing w:after="100" w:line="360"/>
        <w:jc w:val="both"/>
      </w:pPr>
      <w:r>
        <w:rPr>
          <w:rFonts w:ascii="Palatino Linotype" w:cs="Palatino Linotype" w:eastAsia="Palatino Linotype" w:hAnsi="Palatino Linotype"/>
          <w:b/>
          <w:bCs/>
          <w:sz w:val="22"/>
          <w:szCs w:val="22"/>
        </w:rPr>
        <w:t xml:space="preserve">3.5 Infrastrutture. </w:t>
      </w:r>
      <w:r>
        <w:rPr>
          <w:rFonts w:ascii="Palatino Linotype" w:cs="Palatino Linotype" w:eastAsia="Palatino Linotype" w:hAnsi="Palatino Linotype"/>
          <w:sz w:val="22"/>
          <w:szCs w:val="22"/>
        </w:rPr>
        <w:t xml:space="preserve">È costituito un tavolo tecnico sugli impianti per la pallacanestro cittadina, con il compito di ricostruire lo stato degli impianti esistenti, avviare il confronto con gli enti proprietari e territoriali e commissionare, con le risorse del fondo, uno studio di fattibilità tecnico economica. Una quota del fondo è accantonata per gli interventi degli anni successivi.</w:t>
      </w:r>
    </w:p>
    <w:p>
      <w:pPr>
        <w:spacing w:after="100" w:line="360"/>
        <w:jc w:val="both"/>
      </w:pPr>
      <w:r>
        <w:rPr>
          <w:rFonts w:ascii="Palatino Linotype" w:cs="Palatino Linotype" w:eastAsia="Palatino Linotype" w:hAnsi="Palatino Linotype"/>
          <w:b/>
          <w:bCs/>
          <w:sz w:val="22"/>
          <w:szCs w:val="22"/>
        </w:rPr>
        <w:t xml:space="preserve">3.6 Comunicazione e misura. </w:t>
      </w:r>
      <w:r>
        <w:rPr>
          <w:rFonts w:ascii="Palatino Linotype" w:cs="Palatino Linotype" w:eastAsia="Palatino Linotype" w:hAnsi="Palatino Linotype"/>
          <w:sz w:val="22"/>
          <w:szCs w:val="22"/>
        </w:rPr>
        <w:t xml:space="preserve">La Segreteria cura il sito della comunità, il calendario delle attività, la comunicazione con gli aderenti e con i media, i questionari semestrali e il Rapporto annuale d'impatto.</w:t>
      </w:r>
    </w:p>
    <w:p>
      <w:pPr>
        <w:keepNext/>
        <w:spacing w:after="80" w:before="220" w:line="360"/>
      </w:pPr>
      <w:r>
        <w:rPr>
          <w:rFonts w:ascii="Palatino Linotype" w:cs="Palatino Linotype" w:eastAsia="Palatino Linotype" w:hAnsi="Palatino Linotype"/>
          <w:b/>
          <w:bCs/>
          <w:sz w:val="22"/>
          <w:szCs w:val="22"/>
        </w:rPr>
        <w:t xml:space="preserve">4. Calendario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7570"/>
      </w:tblGrid>
      <w:tr>
        <w:trPr>
          <w:cantSplit/>
          <w:tblHeader/>
        </w:trPr>
        <w:tc>
          <w:tcPr>
            <w:tcW w:type="dxa" w:w="1500"/>
            <w:tcBorders>
              <w:top w:val="single" w:color="A6A6A6" w:sz="4"/>
              <w:left w:val="single" w:color="A6A6A6" w:sz="4"/>
              <w:bottom w:val="single" w:color="A6A6A6" w:sz="4"/>
              <w:right w:val="single" w:color="A6A6A6" w:sz="4"/>
            </w:tcBorders>
            <w:shd w:fill="E7E6E6" w:color="auto" w:val="clear"/>
            <w:tcMar>
              <w:top w:type="dxa" w:w="60"/>
              <w:left w:type="dxa" w:w="90"/>
              <w:bottom w:type="dxa" w:w="60"/>
              <w:right w:type="dxa" w:w="90"/>
            </w:tcMar>
          </w:tcPr>
          <w:p>
            <w:pPr>
              <w:spacing w:line="276"/>
              <w:jc w:val="center"/>
            </w:pPr>
            <w:r>
              <w:rPr>
                <w:rFonts w:ascii="Palatino Linotype" w:cs="Palatino Linotype" w:eastAsia="Palatino Linotype" w:hAnsi="Palatino Linotype"/>
                <w:b/>
                <w:bCs/>
                <w:sz w:val="19"/>
                <w:szCs w:val="19"/>
              </w:rPr>
              <w:t xml:space="preserve">Periodo</w:t>
            </w:r>
          </w:p>
        </w:tc>
        <w:tc>
          <w:tcPr>
            <w:tcW w:type="dxa" w:w="7570"/>
            <w:tcBorders>
              <w:top w:val="single" w:color="A6A6A6" w:sz="4"/>
              <w:left w:val="single" w:color="A6A6A6" w:sz="4"/>
              <w:bottom w:val="single" w:color="A6A6A6" w:sz="4"/>
              <w:right w:val="single" w:color="A6A6A6" w:sz="4"/>
            </w:tcBorders>
            <w:shd w:fill="E7E6E6" w:color="auto" w:val="clear"/>
            <w:tcMar>
              <w:top w:type="dxa" w:w="60"/>
              <w:left w:type="dxa" w:w="90"/>
              <w:bottom w:type="dxa" w:w="60"/>
              <w:right w:type="dxa" w:w="90"/>
            </w:tcMar>
          </w:tcPr>
          <w:p>
            <w:pPr>
              <w:spacing w:line="276"/>
              <w:jc w:val="center"/>
            </w:pPr>
            <w:r>
              <w:rPr>
                <w:rFonts w:ascii="Palatino Linotype" w:cs="Palatino Linotype" w:eastAsia="Palatino Linotype" w:hAnsi="Palatino Linotype"/>
                <w:b/>
                <w:bCs/>
                <w:sz w:val="19"/>
                <w:szCs w:val="19"/>
              </w:rPr>
              <w:t xml:space="preserve">Attività principali</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Gennaio marzo</w:t>
            </w:r>
          </w:p>
        </w:tc>
        <w:tc>
          <w:tcPr>
            <w:tcW w:type="dxa" w:w="7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Presentazione pubblica della comunità; primi incontri nelle gare casalinghe; primo e secondo tavolo di lavoro; primo modulo dell'Academy; prima sessione di esame dei progetti del fondo entro il 31 marzo</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Aprile giugno</w:t>
            </w:r>
          </w:p>
        </w:tc>
        <w:tc>
          <w:tcPr>
            <w:tcW w:type="dxa" w:w="7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Incontro annuale degli aderenti e approvazione del rendiconto entro il 30 aprile; terzo tavolo di lavoro; secondo modulo dell'Academy; progetto nelle scuole; evento di fine stagione; primo questionario semestrale a giugno</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Luglio settembre</w:t>
            </w:r>
          </w:p>
        </w:tc>
        <w:tc>
          <w:tcPr>
            <w:tcW w:type="dxa" w:w="7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Tirocini estivi «Dal parquet all'impresa»; borse sportive per la nuova stagione; terzo modulo dell'Academy; costituzione del tavolo tecnico sulle infrastrutture; seconda sessione di esame dei progetti entro il 30 settembre</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Ottobre dicembre</w:t>
            </w:r>
          </w:p>
        </w:tc>
        <w:tc>
          <w:tcPr>
            <w:tcW w:type="dxa" w:w="7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Forum annuale «Caserta fa squadra»; ripresa degli incontri nelle gare casalinghe; quarto, quinto e sesto tavolo di lavoro; quarto modulo dell'Academy; proposta del Programma 2028 entro il 30 novembre; secondo questionario semestrale a dicembre</w:t>
            </w:r>
          </w:p>
        </w:tc>
      </w:tr>
    </w:tbl>
    <w:p>
      <w:pPr>
        <w:keepNext/>
        <w:spacing w:after="80" w:before="220" w:line="360"/>
      </w:pPr>
      <w:r>
        <w:rPr>
          <w:rFonts w:ascii="Palatino Linotype" w:cs="Palatino Linotype" w:eastAsia="Palatino Linotype" w:hAnsi="Palatino Linotype"/>
          <w:b/>
          <w:bCs/>
          <w:sz w:val="22"/>
          <w:szCs w:val="22"/>
        </w:rPr>
        <w:t xml:space="preserve">5. Destinazione orientativa del fondo</w:t>
      </w:r>
    </w:p>
    <w:p>
      <w:pPr>
        <w:keepNext/>
        <w:spacing w:after="100" w:line="360"/>
        <w:jc w:val="both"/>
      </w:pPr>
      <w:r>
        <w:rPr>
          <w:rFonts w:ascii="Palatino Linotype" w:cs="Palatino Linotype" w:eastAsia="Palatino Linotype" w:hAnsi="Palatino Linotype"/>
          <w:sz w:val="22"/>
          <w:szCs w:val="22"/>
        </w:rPr>
        <w:t xml:space="preserve">Ai sensi dell'art. 5, comma 3, del Regolamento del fondo, le risorse raccolte nel 2027 sono ripartite orientativamente come segue.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570"/>
        <w:gridCol w:w="1500"/>
        <w:gridCol w:w="2000"/>
      </w:tblGrid>
      <w:tr>
        <w:trPr>
          <w:cantSplit/>
          <w:tblHeader/>
        </w:trPr>
        <w:tc>
          <w:tcPr>
            <w:tcW w:type="dxa" w:w="5570"/>
            <w:tcBorders>
              <w:top w:val="single" w:color="A6A6A6" w:sz="4"/>
              <w:left w:val="single" w:color="A6A6A6" w:sz="4"/>
              <w:bottom w:val="single" w:color="A6A6A6" w:sz="4"/>
              <w:right w:val="single" w:color="A6A6A6" w:sz="4"/>
            </w:tcBorders>
            <w:shd w:fill="E7E6E6" w:color="auto" w:val="clear"/>
            <w:tcMar>
              <w:top w:type="dxa" w:w="60"/>
              <w:left w:type="dxa" w:w="90"/>
              <w:bottom w:type="dxa" w:w="60"/>
              <w:right w:type="dxa" w:w="90"/>
            </w:tcMar>
          </w:tcPr>
          <w:p>
            <w:pPr>
              <w:spacing w:line="276"/>
              <w:jc w:val="center"/>
            </w:pPr>
            <w:r>
              <w:rPr>
                <w:rFonts w:ascii="Palatino Linotype" w:cs="Palatino Linotype" w:eastAsia="Palatino Linotype" w:hAnsi="Palatino Linotype"/>
                <w:b/>
                <w:bCs/>
                <w:sz w:val="19"/>
                <w:szCs w:val="19"/>
              </w:rPr>
              <w:t xml:space="preserve">Area</w:t>
            </w:r>
          </w:p>
        </w:tc>
        <w:tc>
          <w:tcPr>
            <w:tcW w:type="dxa" w:w="1500"/>
            <w:tcBorders>
              <w:top w:val="single" w:color="A6A6A6" w:sz="4"/>
              <w:left w:val="single" w:color="A6A6A6" w:sz="4"/>
              <w:bottom w:val="single" w:color="A6A6A6" w:sz="4"/>
              <w:right w:val="single" w:color="A6A6A6" w:sz="4"/>
            </w:tcBorders>
            <w:shd w:fill="E7E6E6" w:color="auto" w:val="clear"/>
            <w:tcMar>
              <w:top w:type="dxa" w:w="60"/>
              <w:left w:type="dxa" w:w="90"/>
              <w:bottom w:type="dxa" w:w="60"/>
              <w:right w:type="dxa" w:w="90"/>
            </w:tcMar>
          </w:tcPr>
          <w:p>
            <w:pPr>
              <w:spacing w:line="276"/>
              <w:jc w:val="center"/>
            </w:pPr>
            <w:r>
              <w:rPr>
                <w:rFonts w:ascii="Palatino Linotype" w:cs="Palatino Linotype" w:eastAsia="Palatino Linotype" w:hAnsi="Palatino Linotype"/>
                <w:b/>
                <w:bCs/>
                <w:sz w:val="19"/>
                <w:szCs w:val="19"/>
              </w:rPr>
              <w:t xml:space="preserve">Quota</w:t>
            </w:r>
          </w:p>
        </w:tc>
        <w:tc>
          <w:tcPr>
            <w:tcW w:type="dxa" w:w="2000"/>
            <w:tcBorders>
              <w:top w:val="single" w:color="A6A6A6" w:sz="4"/>
              <w:left w:val="single" w:color="A6A6A6" w:sz="4"/>
              <w:bottom w:val="single" w:color="A6A6A6" w:sz="4"/>
              <w:right w:val="single" w:color="A6A6A6" w:sz="4"/>
            </w:tcBorders>
            <w:shd w:fill="E7E6E6" w:color="auto" w:val="clear"/>
            <w:tcMar>
              <w:top w:type="dxa" w:w="60"/>
              <w:left w:type="dxa" w:w="90"/>
              <w:bottom w:type="dxa" w:w="60"/>
              <w:right w:type="dxa" w:w="90"/>
            </w:tcMar>
          </w:tcPr>
          <w:p>
            <w:pPr>
              <w:spacing w:line="276"/>
              <w:jc w:val="center"/>
            </w:pPr>
            <w:r>
              <w:rPr>
                <w:rFonts w:ascii="Palatino Linotype" w:cs="Palatino Linotype" w:eastAsia="Palatino Linotype" w:hAnsi="Palatino Linotype"/>
                <w:b/>
                <w:bCs/>
                <w:sz w:val="19"/>
                <w:szCs w:val="19"/>
              </w:rPr>
              <w:t xml:space="preserve">Su euro 40.000,00</w:t>
            </w:r>
          </w:p>
        </w:tc>
      </w:tr>
      <w:tr>
        <w:trPr>
          <w:cantSplit/>
          <w:tblHeader w:val="off"/>
        </w:trPr>
        <w:tc>
          <w:tcPr>
            <w:tcW w:type="dxa" w:w="5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Sport giovanile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45%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euro 18.000,00</w:t>
            </w:r>
          </w:p>
        </w:tc>
      </w:tr>
      <w:tr>
        <w:trPr>
          <w:cantSplit/>
          <w:tblHeader w:val="off"/>
        </w:trPr>
        <w:tc>
          <w:tcPr>
            <w:tcW w:type="dxa" w:w="5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Giovani e lavoro</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15%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euro 6.000,00</w:t>
            </w:r>
          </w:p>
        </w:tc>
      </w:tr>
      <w:tr>
        <w:trPr>
          <w:cantSplit/>
          <w:tblHeader w:val="off"/>
        </w:trPr>
        <w:tc>
          <w:tcPr>
            <w:tcW w:type="dxa" w:w="5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Infrastrutture sportive, compreso l'accantonamento</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25%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euro 10.000,00</w:t>
            </w:r>
          </w:p>
        </w:tc>
      </w:tr>
      <w:tr>
        <w:trPr>
          <w:cantSplit/>
          <w:tblHeader w:val="off"/>
        </w:trPr>
        <w:tc>
          <w:tcPr>
            <w:tcW w:type="dxa" w:w="5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Costi vivi di organizzazione, entro il limite contrattuale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15%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euro 6.000,00</w:t>
            </w:r>
          </w:p>
        </w:tc>
      </w:tr>
      <w:tr>
        <w:trPr>
          <w:cantSplit/>
          <w:tblHeader w:val="off"/>
        </w:trPr>
        <w:tc>
          <w:tcPr>
            <w:tcW w:type="dxa" w:w="5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left"/>
            </w:pPr>
            <w:r>
              <w:rPr>
                <w:rFonts w:ascii="Palatino Linotype" w:cs="Palatino Linotype" w:eastAsia="Palatino Linotype" w:hAnsi="Palatino Linotype"/>
                <w:b w:val="false"/>
                <w:bCs w:val="false"/>
                <w:sz w:val="19"/>
                <w:szCs w:val="19"/>
              </w:rPr>
              <w:t xml:space="preserve">Totale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100%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line="276"/>
              <w:jc w:val="center"/>
            </w:pPr>
            <w:r>
              <w:rPr>
                <w:rFonts w:ascii="Palatino Linotype" w:cs="Palatino Linotype" w:eastAsia="Palatino Linotype" w:hAnsi="Palatino Linotype"/>
                <w:b w:val="false"/>
                <w:bCs w:val="false"/>
                <w:sz w:val="19"/>
                <w:szCs w:val="19"/>
              </w:rPr>
              <w:t xml:space="preserve">euro 40.000,00</w:t>
            </w:r>
          </w:p>
        </w:tc>
      </w:tr>
    </w:tbl>
    <w:p>
      <w:pPr>
        <w:spacing w:after="100" w:before="160" w:line="360"/>
        <w:jc w:val="both"/>
      </w:pPr>
      <w:r>
        <w:rPr>
          <w:rFonts w:ascii="Palatino Linotype" w:cs="Palatino Linotype" w:eastAsia="Palatino Linotype" w:hAnsi="Palatino Linotype"/>
          <w:sz w:val="22"/>
          <w:szCs w:val="22"/>
        </w:rPr>
        <w:t xml:space="preserve">La ripartizione si applica alle risorse effettivamente raccolte e può essere rivista dal Comitato di gestione nel corso dell'anno, fermo il limite minimo dell'85 per cento destinato ai progetti e le destinazioni indicate dai contributori.</w:t>
      </w:r>
    </w:p>
    <w:p>
      <w:pPr>
        <w:keepNext/>
        <w:spacing w:after="80" w:before="220" w:line="360"/>
      </w:pPr>
      <w:r>
        <w:rPr>
          <w:rFonts w:ascii="Palatino Linotype" w:cs="Palatino Linotype" w:eastAsia="Palatino Linotype" w:hAnsi="Palatino Linotype"/>
          <w:b/>
          <w:bCs/>
          <w:sz w:val="22"/>
          <w:szCs w:val="22"/>
        </w:rPr>
        <w:t xml:space="preserve">6. Spazi riservati nelle gare</w:t>
      </w:r>
    </w:p>
    <w:p>
      <w:pPr>
        <w:spacing w:after="100" w:line="360"/>
        <w:jc w:val="both"/>
      </w:pPr>
      <w:r>
        <w:rPr>
          <w:rFonts w:ascii="Palatino Linotype" w:cs="Palatino Linotype" w:eastAsia="Palatino Linotype" w:hAnsi="Palatino Linotype"/>
          <w:sz w:val="22"/>
          <w:szCs w:val="22"/>
        </w:rPr>
        <w:t xml:space="preserve">Il numero dei posti riservati alla comunità in ciascuna gara casalinga è concordato con la Juvecaserta prima dell'inizio di ciascun girone. I posti sono assegnati dalla Segreteria su prenotazione, con un massimo di due persone per aderente e con precedenza a chi non ha ancora partecipato nella stagione, in modo che tutti gli aderenti possano accedervi a rotazione.</w:t>
      </w:r>
    </w:p>
    <w:p>
      <w:pPr>
        <w:keepNext/>
        <w:spacing w:after="80" w:before="220" w:line="360"/>
      </w:pPr>
      <w:r>
        <w:rPr>
          <w:rFonts w:ascii="Palatino Linotype" w:cs="Palatino Linotype" w:eastAsia="Palatino Linotype" w:hAnsi="Palatino Linotype"/>
          <w:b/>
          <w:bCs/>
          <w:sz w:val="22"/>
          <w:szCs w:val="22"/>
        </w:rPr>
        <w:t xml:space="preserve">7. Ruoli</w:t>
      </w:r>
    </w:p>
    <w:p>
      <w:pPr>
        <w:spacing w:after="100" w:line="360"/>
        <w:jc w:val="both"/>
      </w:pPr>
      <w:r>
        <w:rPr>
          <w:rFonts w:ascii="Palatino Linotype" w:cs="Palatino Linotype" w:eastAsia="Palatino Linotype" w:hAnsi="Palatino Linotype"/>
          <w:sz w:val="22"/>
          <w:szCs w:val="22"/>
        </w:rPr>
        <w:t xml:space="preserve">ProValue, a titolo gratuito, coordina il programma, cura la Segreteria, organizza tavoli di lavoro, Academy e forum, gestisce i questionari e redige il Rapporto annuale d'impatto. La Juvecaserta mette a disposizione gli spazi nelle gare, coinvolge atleti, tecnici e settore giovanile nelle iniziative per i giovani, propone i progetti del proprio settore giovanile e partecipa al tavolo tecnico sulle infrastrutture. Il Comitato di gestione approva i progetti del fondo, vigila sull'attuazione del programma e ne verifica i risultati.</w:t>
      </w:r>
    </w:p>
    <w:p>
      <w:pPr>
        <w:keepNext/>
        <w:spacing w:after="80" w:before="220" w:line="360"/>
      </w:pPr>
      <w:r>
        <w:rPr>
          <w:rFonts w:ascii="Palatino Linotype" w:cs="Palatino Linotype" w:eastAsia="Palatino Linotype" w:hAnsi="Palatino Linotype"/>
          <w:b/>
          <w:bCs/>
          <w:sz w:val="22"/>
          <w:szCs w:val="22"/>
        </w:rPr>
        <w:t xml:space="preserve">8. Monitoraggio</w:t>
      </w:r>
    </w:p>
    <w:p>
      <w:pPr>
        <w:spacing w:after="100" w:line="360"/>
        <w:jc w:val="both"/>
      </w:pPr>
      <w:r>
        <w:rPr>
          <w:rFonts w:ascii="Palatino Linotype" w:cs="Palatino Linotype" w:eastAsia="Palatino Linotype" w:hAnsi="Palatino Linotype"/>
          <w:sz w:val="22"/>
          <w:szCs w:val="22"/>
        </w:rPr>
        <w:t xml:space="preserve">La Segreteria presenta al Comitato di gestione una relazione sull'avanzamento del programma a giugno e a dicembre, sulla base degli indicatori del paragrafo 2. I risultati dell'anno confluiscono nel Rapporto annuale d'impatto, presentato all'incontro degli aderenti.</w:t>
      </w:r>
    </w:p>
    <w:p>
      <w:pPr>
        <w:keepNext/>
        <w:spacing w:after="80" w:before="240" w:line="360"/>
      </w:pPr>
      <w:r>
        <w:rPr>
          <w:rFonts w:ascii="Palatino Linotype" w:cs="Palatino Linotype" w:eastAsia="Palatino Linotype" w:hAnsi="Palatino Linotype"/>
          <w:sz w:val="22"/>
          <w:szCs w:val="22"/>
        </w:rPr>
        <w:t xml:space="preserve">Approvato dal Comitato di gestione in data ______________________</w:t>
      </w:r>
    </w:p>
    <w:p>
      <w:pPr>
        <w:keepNext/>
        <w:spacing w:after="0" w:line="360"/>
      </w:pPr>
      <w:r>
        <w:rPr>
          <w:rFonts w:ascii="Palatino Linotype" w:cs="Palatino Linotype" w:eastAsia="Palatino Linotype" w:hAnsi="Palatino Linotype"/>
          <w:sz w:val="22"/>
          <w:szCs w:val="22"/>
        </w:rPr>
        <w:t xml:space="preserve">Il Presidente del Comitato di gestione</w:t>
      </w:r>
    </w:p>
    <w:p>
      <w:pPr>
        <w:tabs>
          <w:tab w:val="right" w:pos="5000" w:leader="underscore"/>
        </w:tabs>
        <w:spacing w:after="120" w:line="360"/>
      </w:pPr>
      <w:r>
        <w:rPr>
          <w:rFonts w:ascii="Palatino Linotype" w:cs="Palatino Linotype" w:eastAsia="Palatino Linotype" w:hAnsi="Palatino Linotype"/>
          <w:sz w:val="22"/>
          <w:szCs w:val="22"/>
        </w:rPr>
        <w:t xml:space="preserve">	</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utoHyphenation/>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lang w:val="it-IT" w:eastAsia="it-IT" w:bidi="ar-SA"/>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2026-10-04T08:17:17.825Z</dcterms:created>
  <dcterms:modified xsi:type="dcterms:W3CDTF">2026-10-04T08:17:17.829Z</dcterms:modified>
</cp:coreProperties>
</file>

<file path=docProps/custom.xml><?xml version="1.0" encoding="utf-8"?>
<Properties xmlns="http://schemas.openxmlformats.org/officeDocument/2006/custom-properties" xmlns:vt="http://schemas.openxmlformats.org/officeDocument/2006/docPropsVTypes"/>
</file>