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Regolamento del fondo «Giovani e territorio»</w:t>
      </w:r>
    </w:p>
    <w:p>
      <w:pPr>
        <w:spacing w:after="240" w:line="360"/>
        <w:jc w:val="center"/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adottato dal Comitato di gestione della Rete «Caserta fa squadra» ai sensi degli artt. 5, comma 3, e 9 del contratto di rete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1. Oggetto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presente Regolamento disciplina la raccolta, la destinazione, l'erogazione e la rendicontazione delle risorse del fondo patrimoniale comune della Rete «Caserta fa squadra» (di seguito il «Fondo»), denominato fondo «Giovani e territorio».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Regolamento attua l'art. 9 del contratto di rete e i principi del Manifesto della comunità d'impresa «Caserta fa squadra». In caso di contrasto prevalgono il contratto di rete e il Manifesto.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2. Finalità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Fondo sostiene progetti realizzati nel territorio della provincia di Caserta nelle seguenti aree: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a)	sport giovanile: attività del settore giovanile, borse sportive per ragazzi in condizioni economiche disagiate, attrezzature, trasporti, formazione di allenatori e tecnici, progetti nelle scuole;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b)	giovani e lavoro: orientamento, tirocini presso le imprese della comunità, borse di studio per atleti studenti, iniziative di educazione alla cultura d'impresa;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c)	infrastrutture sportive: studi di fattibilità, progettazione, realizzazione, riqualificazione e messa in sicurezza di impianti sportivi pubblici o aperti all'uso pubblico.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 progetti del settore giovanile della Juvecaserta e gli interventi sugli impianti destinati alla pallacanestro cittadina costituiscono ambito prioritario. Possono essere sostenuti anche progetti di altre società e associazioni sportive, scuole ed enti del territorio.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3. Entrate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Costituiscono entrate del Fondo i conferimenti dei Partecipanti alla Rete, i contributi volontari degli aderenti alla comunità e di terzi, le erogazioni liberali, i proventi delle iniziative di raccolta organizzate dalla Rete e i contributi pubblici ottenuti per i progetti.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 contributi in denaro sono versati esclusivamente sul conto corrente intestato alla Rete. Non sono accettati versamenti in contanti.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 contributi in beni e servizi sono accettati dal Comitato di gestione se utili a un progetto approvato e sono registrati al valore risultante da documentazione idonea, come fattura, preventivo o listino. Il tempo e le competenze messi a disposizione sono indicati nel Rapporto annuale d'impatto in termini di ore e attività, senza valorizzazione monetaria.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4. Contributi con destinazione indicata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contributore può indicare l'area o il progetto approvato cui intende destinare il proprio contributo. La destinazione indicata è vincolante.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Se il progetto indicato non viene realizzato, il Comitato di gestione, sentito il contributore, destina le somme a un progetto della stessa area.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5. Ripartizione delle risorse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Almeno l'85 per cento delle risorse affluite al Fondo in ciascun anno è destinato ai progetti delle aree indicate all'art. 2.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parte restante può coprire esclusivamente i costi vivi documentati di organizzazione delle attività della Rete, preventivamente autorizzati dal Comitato di gestione. Non possono essere posti a carico del Fondo compensi a favore di ProValue, dei componenti del Comitato di gestione o dei Partecipanti.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Programma annuale indica la ripartizione orientativa delle risorse tra le aree. Una quota può essere accantonata per più esercizi in vista di interventi infrastrutturali; le somme accantonate restano vincolate a tale finalità.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6. Utilizzi esclusi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Le risorse del Fondo non possono essere destinate: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a)	al pagamento di debiti pregressi della Juvecaserta o di altri beneficiari;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b)	ai costi ordinari di gestione della prima squadra della Juvecaserta, quali compensi di atleti e tecnici, trasferte e canoni di utilizzo degli impianti per le gare della prima squadra;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c)	a erogazioni a favore di componenti del Comitato di gestione, di loro familiari o di soggetti a essi collegati;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d)	al finanziamento di attività di natura politica o sindacale;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e)	a qualsiasi forma di restituzione o distribuzione ai Partecipanti, agli aderenti o ai contributori.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7. Proponenti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Possono presentare progetti la Juvecaserta, le società e associazioni sportive del territorio, le scuole, gli enti pubblici e gli aderenti alla comunità, anche in collaborazione tra loro.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8. Presentazione dei progetti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 progetti sono presentati alla Segreteria mediante una scheda che indica obiettivi, destinatari, attività, tempi, costo complessivo con i relativi preventivi, eventuali cofinanziamenti, indicatori di risultato e responsabile del progetto.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Comitato di gestione esamina i progetti in due sessioni annuali, entro il 31 marzo e il 30 settembre. In caso di urgenza motivata, un progetto può essere esaminato al di fuori delle sessioni.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9. Criteri di valutazione</w:t>
      </w:r>
    </w:p>
    <w:p>
      <w:pPr>
        <w:keepNext/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 progetti sono valutati secondo i seguenti criteri, con un punteggio massimo di cento punti: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0"/>
        <w:gridCol w:w="4300"/>
        <w:gridCol w:w="1500"/>
      </w:tblGrid>
      <w:tr>
        <w:trPr>
          <w:cantSplit/>
          <w:tblHeader/>
        </w:trPr>
        <w:tc>
          <w:tcPr>
            <w:tcW w:type="dxa" w:w="3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9"/>
                <w:szCs w:val="19"/>
              </w:rPr>
              <w:t xml:space="preserve">Elementi considerati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9"/>
                <w:szCs w:val="19"/>
              </w:rPr>
              <w:t xml:space="preserve">Punti</w:t>
            </w:r>
          </w:p>
        </w:tc>
      </w:tr>
      <w:tr>
        <w:trPr>
          <w:cantSplit/>
          <w:tblHeader w:val="off"/>
        </w:trPr>
        <w:tc>
          <w:tcPr>
            <w:tcW w:type="dxa" w:w="3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Impatto sui giovani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Numero dei beneficiari, durata e continuità dell'intervento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rPr>
          <w:cantSplit/>
          <w:tblHeader w:val="off"/>
        </w:trPr>
        <w:tc>
          <w:tcPr>
            <w:tcW w:type="dxa" w:w="3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Inclusione sociale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Coinvolgimento di ragazzi in condizioni di svantaggio economico o sociale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3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Fattibilità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Chiarezza del progetto, attendibilità dei costi, capacità del proponente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3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Effetto leva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Cofinanziamenti, contributi in beni e servizi, collaborazione tra aderenti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tcPr>
            <w:tcW w:type="dxa" w:w="3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Durata dei benefici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Persistenza dei risultati oltre la fine del progetto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00" w:before="16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Non sono finanziati i progetti che conseguono un punteggio inferiore a sessanta punti.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10. Decisione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Comitato di gestione delibera sui progetti con decisione motivata, indicando l'importo assegnato, le modalità di erogazione e gli indicatori di risultato.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 componenti designati dal Partecipante beneficiario si astengono dalla deliberazione, secondo l'art. 10, comma 4, del contratto di rete. Il componente che abbia un interesse personale nel progetto lo dichiara e si astiene.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L'elenco dei progetti approvati, dei proponenti e degli importi assegnati è pubblicato sul sito della comunità.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11. Erogazione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Le somme sono erogate per stati di avanzamento, a fronte di documenti di spesa intestati al beneficiario e delle relative quietanze. Ove possibile, il pagamento è effettuato direttamente al fornitore.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Può essere concesso un anticipo non superiore al 30 per cento dell'importo assegnato.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Le operazioni di importo superiore a euro 5.000,00 richiedono la firma congiunta prevista dall'art. 9, comma 3, del contratto di rete. Tutti i pagamenti sono effettuati con strumenti tracciabili.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12. Rendicontazione dei beneficiari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Entro sessanta giorni dalla conclusione del progetto, il beneficiario trasmette una relazione sulle attività svolte e sui risultati raggiunti rispetto agli indicatori, corredata dalla documentazione delle spese.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In caso di mancata rendicontazione o di utilizzo delle risorse in modo difforme dal progetto approvato, il Comitato di gestione revoca il contributo e chiede la restituzione delle somme non correttamente impiegate.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13. Interventi infrastrutturali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Gli interventi su impianti di proprietà di terzi sono finanziati solo in presenza di un titolo idoneo e dell'assenso del proprietario, regolati da una convenzione che ne disciplini l'esecuzione, la proprietà delle opere e il loro utilizzo.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Le opere e i beni finanziati restano destinati all'uso sportivo, con priorità per l'attività giovanile, per il periodo indicato nella convenzione.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Gli interventi sono realizzati nel rispetto della disciplina vigente in materia di impianti sportivi e, se riguardano beni pubblici, di contratti pubblici e di partenariato pubblico privato.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14. Contabilità e trasparenza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Segreteria tiene il registro delle entrate e delle uscite del Fondo, con l'indicazione del contributore, del beneficiario, del progetto e dei documenti giustificativi.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Entro due mesi dalla chiusura di ciascun esercizio, il Comitato di gestione redige la situazione patrimoniale del Fondo e il rendiconto delle entrate e delle uscite, secondo l'art. 9, comma 6, del contratto di rete.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Quando le entrate dell'esercizio superano euro 50.000,00, il rendiconto è sottoposto alla verifica di un revisore legale indipendente, il cui costo rientra nella quota di cui all'art. 5, comma 2.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4.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Rapporto annuale d'impatto riporta i progetti finanziati, gli importi, i beneficiari, i risultati raggiunti e, con il loro consenso, i nominativi dei contributori.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15. Riconoscimento dei contributori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 contributori possono essere ringraziati pubblicamente nel Rapporto annuale d'impatto, sul sito della comunità e in occasione degli eventi, con il loro consenso.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riconoscimento ha carattere di ringraziamento e non costituisce controprestazione pubblicitaria. Le iniziative di visibilità commerciale presso la Juvecaserta restano regolate da distinti accordi di sponsorizzazione con la società sportiva.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16. Modifiche ed entrata in vigore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presente Regolamento è modificato dal Comitato di gestione. Le modifiche non si applicano ai progetti già approvati.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Regolamento entra in vigore dalla data della sua adozione da parte del Comitato di gestione, successiva all'acquisto di efficacia del contratto di rete.</w:t>
      </w:r>
    </w:p>
    <w:p>
      <w:pPr>
        <w:keepNext/>
        <w:spacing w:after="80" w:before="24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Adottato dal Comitato di gestione in data ______________________</w:t>
      </w:r>
    </w:p>
    <w:p>
      <w:pPr>
        <w:keepNext/>
        <w:spacing w:after="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Il Presidente del Comitato di gestione</w:t>
      </w:r>
    </w:p>
    <w:p>
      <w:pPr>
        <w:tabs>
          <w:tab w:val="right" w:pos="5000" w:leader="underscore"/>
        </w:tabs>
        <w:spacing w:after="12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alatino Linotype" w:cs="Palatino Linotype" w:eastAsia="Palatino Linotype" w:hAnsi="Palatino Linotyp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utoHyphenation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  <w:lang w:val="it-IT" w:eastAsia="it-IT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2026-10-04T08:12:09.156Z</dcterms:created>
  <dcterms:modified xsi:type="dcterms:W3CDTF">2026-10-04T08:12:09.166Z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