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60"/>
        <w:jc w:val="center"/>
      </w:pPr>
      <w:r>
        <w:rPr>
          <w:rFonts w:ascii="Palatino Linotype" w:cs="Palatino Linotype" w:eastAsia="Palatino Linotype" w:hAnsi="Palatino Linotype"/>
          <w:b/>
          <w:bCs/>
          <w:sz w:val="26"/>
          <w:szCs w:val="26"/>
        </w:rPr>
        <w:t xml:space="preserve">Indice dei documenti</w:t>
      </w:r>
    </w:p>
    <w:p>
      <w:pPr>
        <w:spacing w:after="240" w:line="360"/>
        <w:jc w:val="center"/>
      </w:pP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Comunità d'impresa «Caserta fa squadra» promossa da Juvecaserta 2021 e ProValue Società Benefit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1. Finalità</w:t>
      </w:r>
    </w:p>
    <w:p>
      <w:pPr>
        <w:spacing w:after="12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La comunità d'impresa «Caserta fa squadra» nasce dalla partnership tra Juvecaserta 2021 e ProValue Società Benefit, presentata a Caserta il 3 ottobre 2026. Riunisce imprese, professionisti ed enti che scelgono di fare relazione nel contesto della Juvecaserta, per far crescere le proprie attività e restituire parte del valore generato al territorio, a partire dallo sport giovanile e dalle infrastrutture sportive.</w:t>
      </w:r>
    </w:p>
    <w:p>
      <w:pPr>
        <w:spacing w:after="12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Il presente indice individua i documenti che regolano la comunità, ne chiarisce la funzione e il rapporto reciproco e fissa l'ordine in cui saranno redatti.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2. Due cerchi di partecipazione</w:t>
      </w:r>
    </w:p>
    <w:p>
      <w:pPr>
        <w:spacing w:after="120" w:line="360"/>
        <w:jc w:val="both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La comunità aperta.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Vi partecipa liberamente qualunque impresa, professionista o ente che condivida i principi del Manifesto e le regole del Regolamento della comunità. Non sono previsti requisiti di accesso: l'adesione avviene con la sottoscrizione del modulo, è gratuita e può cessare in ogni momento.</w:t>
      </w:r>
    </w:p>
    <w:p>
      <w:pPr>
        <w:spacing w:after="120" w:line="360"/>
        <w:jc w:val="both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La rete d'impresa.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È il veicolo giuridico del progetto: un contratto di rete ai sensi dell'art. 3, comma 4-ter, del d.l. 10 febbraio 2009, n. 5, convertito con modificazioni dalla l. 9 aprile 2009, n. 33, stipulato inizialmente tra Juvecaserta 2021 e ProValue e aperto all'adesione successiva di altri soggetti che intendano assumere un impegno strutturato. La rete dispone di un organo comune, di un fondo patrimoniale comune e di un codice fiscale proprio, che consente l'apertura di un conto corrente dedicato ai contributi destinati ai progetti della comunità.</w:t>
      </w:r>
    </w:p>
    <w:p>
      <w:pPr>
        <w:spacing w:after="12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ProValue svolge, a titolo gratuito, il ruolo di soggetto delegato allo sviluppo delle relazioni, della cultura d'impresa e dei rapporti sociali della comunità.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3. Elenco dei documenti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2770"/>
        <w:gridCol w:w="2200"/>
        <w:gridCol w:w="1700"/>
      </w:tblGrid>
      <w:tr>
        <w:trPr>
          <w:cantSplit/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9"/>
                <w:szCs w:val="19"/>
              </w:rPr>
              <w:t xml:space="preserve">N.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9"/>
                <w:szCs w:val="19"/>
              </w:rPr>
              <w:t xml:space="preserve">Documento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9"/>
                <w:szCs w:val="19"/>
              </w:rPr>
              <w:t xml:space="preserve">Funzione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9"/>
                <w:szCs w:val="19"/>
              </w:rPr>
              <w:t xml:space="preserve">Approvazione e sottoscrizione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9"/>
                <w:szCs w:val="19"/>
              </w:rPr>
              <w:t xml:space="preserve">Rapporto con il contratto di rete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Manifesto della comunità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Enuncia visione, principi e impegni condivisi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Promosso da Juvecaserta 2021 e ProValue; sottoscritto da ogni aderente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Allegato A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Contratto di rete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Costituisce la rete, l'organo comune e il fondo; disciplina adesione successiva, decisioni, durata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Juvecaserta 2021 e ProValue, poi i nuovi aderenti; atto pubblico, scrittura privata autenticata o firma digitale; iscrizione nel registro delle imprese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Documento principale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Regolamento della comunità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Regole di partecipazione, adesione e recesso, uso del marchio, condotta tra i partecipanti, riservatezza e concorrenza leale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Adottato dall'organo comune; accettato con l'adesione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Adottato in attuazione del contratto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Modulo di adesione alla comunità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Formalizza la partecipazione libera e gratuita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Sottoscritto dall'aderente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Allegato al Regolamento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Informativa sul trattamento dei dati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Disciplina l'uso dei dati degli aderenti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Organo comune, quale referente del trattamento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Allegata al modulo di adesione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Regolamento del fondo «Giovani e territorio»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Destinazione dei contributi volontari, criteri di scelta dei progetti, rendicontazione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Adottato dall'organo comune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Adottato in attuazione del contratto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Programma annuale delle attività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Calendario, obiettivi, progetti finanziati, indicatori di risultato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Proposto da ProValue, approvato dall'organo comune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Attua il programma di rete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Rapporto annuale d'impatto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Rende conto delle attività, delle relazioni generate e dell'uso dei fondi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Redatto da ProValue, approvato dall'organo comune e pubblicato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Verifica degli obiettivi strategici</w:t>
            </w:r>
          </w:p>
        </w:tc>
      </w:tr>
    </w:tbl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4. Rapporto tra i documenti</w:t>
      </w:r>
    </w:p>
    <w:p>
      <w:pPr>
        <w:spacing w:after="12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Il contratto di rete contiene gli elementi che la legge richiede: i dati dei partecipanti, gli obiettivi strategici e le modalità di misurazione dei progressi, il programma di rete con i diritti e gli obblighi delle parti, la durata, le modalità di adesione di altri soggetti, le regole per l'assunzione delle decisioni, l'organo comune e il fondo patrimoniale.</w:t>
      </w:r>
    </w:p>
    <w:p>
      <w:pPr>
        <w:spacing w:after="12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Il Manifesto è allegato al contratto, perché ne esprime i principi stabili. Il Regolamento della comunità, il Regolamento del fondo e il Programma annuale sono invece adottati dall'organo comune sulla base dei poteri attribuiti dal contratto: in questo modo possono essere aggiornati con una delibera, senza modificare il contratto e senza nuovi adempimenti di forma e di pubblicità.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5. Ordine di redazione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85"/>
        <w:gridCol w:w="4285"/>
      </w:tblGrid>
      <w:tr>
        <w:trPr>
          <w:cantSplit/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9"/>
                <w:szCs w:val="19"/>
              </w:rPr>
              <w:t xml:space="preserve">N.</w:t>
            </w:r>
          </w:p>
        </w:tc>
        <w:tc>
          <w:tcPr>
            <w:tcW w:type="dxa" w:w="4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9"/>
                <w:szCs w:val="19"/>
              </w:rPr>
              <w:t xml:space="preserve">Documento</w:t>
            </w:r>
          </w:p>
        </w:tc>
        <w:tc>
          <w:tcPr>
            <w:tcW w:type="dxa" w:w="4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9"/>
                <w:szCs w:val="19"/>
              </w:rPr>
              <w:t xml:space="preserve">Momento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Manifesto della comunità</w:t>
            </w:r>
          </w:p>
        </w:tc>
        <w:tc>
          <w:tcPr>
            <w:tcW w:type="dxa" w:w="4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Ottobre 2026, prima della diffusione pubblica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Contratto di rete tra Juvecaserta 2021 e ProValue</w:t>
            </w:r>
          </w:p>
        </w:tc>
        <w:tc>
          <w:tcPr>
            <w:tcW w:type="dxa" w:w="4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Entro novembre 2026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Regolamento della comunità, modulo di adesione e informativa</w:t>
            </w:r>
          </w:p>
        </w:tc>
        <w:tc>
          <w:tcPr>
            <w:tcW w:type="dxa" w:w="4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Contestualmente al contratto di rete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Regolamento del fondo «Giovani e territorio»</w:t>
            </w:r>
          </w:p>
        </w:tc>
        <w:tc>
          <w:tcPr>
            <w:tcW w:type="dxa" w:w="4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Prima della raccolta dei primi contributi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Programma annuale delle attività 2027</w:t>
            </w:r>
          </w:p>
        </w:tc>
        <w:tc>
          <w:tcPr>
            <w:tcW w:type="dxa" w:w="4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Dicembre 2026</w:t>
            </w:r>
          </w:p>
        </w:tc>
      </w:tr>
      <w:tr>
        <w:trPr>
          <w:cantSplit/>
          <w:tblHeader w:val="off"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center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Rapporto annuale d'impatto</w:t>
            </w:r>
          </w:p>
        </w:tc>
        <w:tc>
          <w:tcPr>
            <w:tcW w:type="dxa" w:w="42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Al termine della stagione sportiva 2026/2027</w:t>
            </w:r>
          </w:p>
        </w:tc>
      </w:tr>
    </w:tbl>
    <w:sectPr>
      <w:footerReference w:type="default" r:id="rId6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alatino Linotype" w:cs="Palatino Linotype" w:eastAsia="Palatino Linotype" w:hAnsi="Palatino Linotyp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utoHyphenation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sz w:val="22"/>
        <w:szCs w:val="22"/>
        <w:lang w:val="it-IT" w:eastAsia="it-IT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2026-10-04T07:24:42.909Z</dcterms:created>
  <dcterms:modified xsi:type="dcterms:W3CDTF">2026-10-04T07:24:42.910Z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