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360" w:lineRule="auto"/>
        <w:jc w:val="center"/>
        <w:rPr>
          <w:rFonts w:ascii="Times New Roman" w:hAnsi="Times New Roman" w:cs="Times New Roman"/>
          <w:b/>
          <w:bCs/>
          <w:u w:val="single"/>
        </w:rPr>
      </w:pPr>
      <w:r>
        <w:rPr>
          <w:rFonts w:ascii="Times New Roman" w:hAnsi="Times New Roman" w:cs="Times New Roman"/>
          <w:b/>
          <w:bCs/>
          <w:u w:val="single"/>
        </w:rPr>
        <w:t>CONTRATTO DI CESSIONE DEL CREDITO D’IMPOSTA</w:t>
      </w:r>
    </w:p>
    <w:p>
      <w:pPr>
        <w:spacing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t>DECRETO RILANCIO</w:t>
      </w:r>
    </w:p>
    <w:p>
      <w:pPr>
        <w:spacing w:afterLines="100" w:after="24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TRA</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Denominazione impresa: </w:t>
      </w:r>
      <w:r>
        <w:rPr>
          <w:rFonts w:ascii="Times New Roman" w:hAnsi="Times New Roman" w:cs="Times New Roman"/>
          <w:b/>
          <w:sz w:val="20"/>
          <w:szCs w:val="20"/>
        </w:rPr>
        <w:t>MODULHOUSE SRL</w:t>
      </w:r>
    </w:p>
    <w:p>
      <w:pPr>
        <w:spacing w:after="100" w:line="240" w:lineRule="auto"/>
        <w:rPr>
          <w:rFonts w:ascii="Times New Roman" w:hAnsi="Times New Roman" w:cs="Times New Roman"/>
          <w:sz w:val="20"/>
          <w:szCs w:val="20"/>
        </w:rPr>
      </w:pPr>
      <w:r>
        <w:rPr>
          <w:rFonts w:ascii="Times New Roman" w:hAnsi="Times New Roman" w:cs="Times New Roman"/>
          <w:sz w:val="20"/>
          <w:szCs w:val="20"/>
        </w:rPr>
        <w:t xml:space="preserve">Indirizzo sede legale: </w:t>
      </w:r>
      <w:r>
        <w:rPr>
          <w:rFonts w:ascii="Times New Roman" w:hAnsi="Times New Roman" w:cs="Times New Roman"/>
          <w:b/>
          <w:sz w:val="20"/>
          <w:szCs w:val="20"/>
        </w:rPr>
        <w:t xml:space="preserve">VIA FALANGOLA N.10 – 81100 CASERTA (CE)</w:t>
      </w:r>
    </w:p>
    <w:p>
      <w:pPr>
        <w:spacing w:after="100" w:line="240" w:lineRule="auto"/>
        <w:rPr>
          <w:rFonts w:ascii="Times New Roman" w:hAnsi="Times New Roman" w:cs="Times New Roman"/>
        </w:rPr>
      </w:pPr>
      <w:r>
        <w:rPr>
          <w:rFonts w:ascii="Times New Roman" w:hAnsi="Times New Roman" w:cs="Times New Roman"/>
          <w:sz w:val="20"/>
          <w:szCs w:val="20"/>
        </w:rPr>
        <w:t xml:space="preserve">Codice fiscale: </w:t>
      </w:r>
      <w:r>
        <w:rPr>
          <w:rFonts w:ascii="Times New Roman" w:hAnsi="Times New Roman" w:cs="Times New Roman"/>
          <w:b/>
          <w:sz w:val="20"/>
          <w:szCs w:val="20"/>
        </w:rPr>
        <w:t>04325590612</w:t>
        <w:tab/>
        <w:tab/>
        <w:tab/>
        <w:tab/>
        <w:tab/>
        <w:tab/>
        <w:tab/>
        <w:t xml:space="preserve">       </w:t>
      </w:r>
      <w:r>
        <w:rPr>
          <w:rFonts w:ascii="Times New Roman" w:hAnsi="Times New Roman" w:cs="Times New Roman"/>
          <w:sz w:val="20"/>
          <w:szCs w:val="20"/>
        </w:rPr>
        <w:t>(di seguito “</w:t>
      </w:r>
      <w:r>
        <w:rPr>
          <w:rFonts w:ascii="Times New Roman" w:hAnsi="Times New Roman" w:cs="Times New Roman"/>
          <w:b/>
          <w:bCs/>
          <w:sz w:val="20"/>
          <w:szCs w:val="20"/>
        </w:rPr>
        <w:t>Cedente</w:t>
      </w:r>
      <w:r>
        <w:rPr>
          <w:rFonts w:ascii="Times New Roman" w:hAnsi="Times New Roman" w:cs="Times New Roman"/>
          <w:sz w:val="20"/>
          <w:szCs w:val="20"/>
        </w:rPr>
        <w:t>”)</w:t>
      </w:r>
    </w:p>
    <w:p>
      <w:pPr>
        <w:spacing w:after="100" w:line="240" w:lineRule="auto"/>
        <w:contextualSpacing/>
        <w:jc w:val="center"/>
        <w:rPr>
          <w:rFonts w:ascii="Times New Roman" w:hAnsi="Times New Roman" w:cs="Times New Roman"/>
          <w:b/>
          <w:bCs/>
          <w:sz w:val="18"/>
          <w:szCs w:val="18"/>
        </w:rPr>
      </w:pPr>
      <w:r>
        <w:rPr>
          <w:rFonts w:ascii="Times New Roman" w:hAnsi="Times New Roman" w:cs="Times New Roman"/>
          <w:b/>
          <w:bCs/>
          <w:sz w:val="18"/>
          <w:szCs w:val="18"/>
        </w:rPr>
        <w:t>E</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Denominazione impresa:</w:t>
        <w:softHyphen/>
        <w:t xml:space="preserve"> </w:t>
      </w:r>
      <w:r>
        <w:rPr>
          <w:rFonts w:ascii="Times New Roman" w:hAnsi="Times New Roman" w:cs="Times New Roman"/>
          <w:b/>
          <w:bCs/>
          <w:sz w:val="20"/>
          <w:szCs w:val="20"/>
        </w:rPr>
        <w:t xml:space="preserve">PROVALUE SRL</w:t>
      </w:r>
      <w:r>
        <w:rPr>
          <w:rFonts w:ascii="Times New Roman" w:hAnsi="Times New Roman" w:cs="Times New Roman"/>
          <w:b/>
          <w:sz w:val="20"/>
          <w:szCs w:val="20"/>
        </w:rPr>
        <w:t xml:space="preserve"> SOCIETA’ BENEFIT</w:t>
      </w:r>
    </w:p>
    <w:p>
      <w:pPr>
        <w:spacing w:after="100" w:line="240" w:lineRule="auto"/>
        <w:rPr>
          <w:rFonts w:ascii="Times New Roman" w:hAnsi="Times New Roman" w:cs="Times New Roman"/>
          <w:b/>
          <w:sz w:val="20"/>
          <w:szCs w:val="20"/>
        </w:rPr>
      </w:pPr>
      <w:r>
        <w:rPr>
          <w:rFonts w:ascii="Times New Roman" w:hAnsi="Times New Roman" w:cs="Times New Roman"/>
          <w:sz w:val="20"/>
          <w:szCs w:val="20"/>
        </w:rPr>
        <w:t xml:space="preserve">Indirizzo sede legale: </w:t>
      </w:r>
      <w:r>
        <w:rPr>
          <w:rFonts w:ascii="Times New Roman" w:hAnsi="Times New Roman" w:cs="Times New Roman"/>
          <w:b/>
          <w:bCs/>
          <w:sz w:val="20"/>
          <w:szCs w:val="20"/>
        </w:rPr>
        <w:t xml:space="preserve">VIA NICOTERA N.29</w:t>
      </w:r>
      <w:r>
        <w:rPr>
          <w:rFonts w:ascii="Times New Roman" w:hAnsi="Times New Roman" w:cs="Times New Roman"/>
          <w:b/>
          <w:sz w:val="20"/>
          <w:szCs w:val="20"/>
        </w:rPr>
        <w:t xml:space="preserve"> – 00132 ROMA (RM)</w:t>
      </w:r>
    </w:p>
    <w:p>
      <w:pPr>
        <w:spacing w:after="100" w:line="240" w:lineRule="auto"/>
        <w:jc w:val="center"/>
        <w:rPr>
          <w:rFonts w:ascii="Times New Roman" w:hAnsi="Times New Roman" w:cs="Times New Roman"/>
          <w:sz w:val="20"/>
          <w:szCs w:val="20"/>
        </w:rPr>
      </w:pPr>
      <w:r>
        <w:rPr>
          <w:rFonts w:ascii="Times New Roman" w:hAnsi="Times New Roman" w:cs="Times New Roman"/>
          <w:sz w:val="20"/>
          <w:szCs w:val="20"/>
        </w:rPr>
        <w:t xml:space="preserve">Numero P.IVA: </w:t>
      </w:r>
      <w:r>
        <w:rPr>
          <w:rFonts w:ascii="Times New Roman" w:hAnsi="Times New Roman" w:cs="Times New Roman"/>
          <w:b/>
          <w:bCs/>
          <w:sz w:val="20"/>
          <w:szCs w:val="20"/>
        </w:rPr>
        <w:t xml:space="preserve">0</w:t>
      </w:r>
      <w:r>
        <w:rPr>
          <w:rFonts w:ascii="Times New Roman" w:hAnsi="Times New Roman" w:cs="Times New Roman"/>
          <w:b/>
          <w:sz w:val="20"/>
          <w:szCs w:val="20"/>
        </w:rPr>
        <w:t xml:space="preserve">4367540616</w:t>
      </w:r>
      <w:r>
        <w:rPr>
          <w:rFonts w:ascii="Times New Roman" w:hAnsi="Times New Roman" w:cs="Times New Roman"/>
          <w:sz w:val="20"/>
          <w:szCs w:val="20"/>
        </w:rPr>
        <w:tab/>
        <w:tab/>
        <w:tab/>
        <w:tab/>
        <w:tab/>
        <w:tab/>
        <w:tab/>
        <w:t xml:space="preserve"> (di seguito “</w:t>
      </w:r>
      <w:r>
        <w:rPr>
          <w:rFonts w:ascii="Times New Roman" w:hAnsi="Times New Roman" w:cs="Times New Roman"/>
          <w:b/>
          <w:bCs/>
          <w:sz w:val="20"/>
          <w:szCs w:val="20"/>
        </w:rPr>
        <w:t>Cessionario</w:t>
      </w:r>
      <w:r>
        <w:rPr>
          <w:rFonts w:ascii="Times New Roman" w:hAnsi="Times New Roman" w:cs="Times New Roman"/>
          <w:sz w:val="20"/>
          <w:szCs w:val="20"/>
        </w:rPr>
        <w:t>”)</w:t>
      </w:r>
    </w:p>
    <w:p>
      <w:pPr>
        <w:spacing w:after="100" w:line="240" w:lineRule="auto"/>
        <w:jc w:val="center"/>
        <w:rPr>
          <w:rFonts w:ascii="Times New Roman" w:hAnsi="Times New Roman" w:cs="Times New Roman"/>
          <w:b/>
          <w:bCs/>
          <w:sz w:val="20"/>
          <w:szCs w:val="20"/>
        </w:rPr>
      </w:pPr>
      <w:r>
        <w:rPr>
          <w:rFonts w:ascii="Times New Roman" w:hAnsi="Times New Roman" w:cs="Times New Roman"/>
          <w:b/>
          <w:bCs/>
          <w:sz w:val="20"/>
          <w:szCs w:val="20"/>
        </w:rPr>
        <w:t>PREMESSO CHE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Cedente è titolare di crediti di imposta nei confronti dell'Agenzia delle entrate, maturati ai sensi della predetta normativa del D.L. 34/2020, come convertito con modificazioni dalla L.77/2020, che intende cedere;</w:t>
      </w:r>
    </w:p>
    <w:p>
      <w:pPr>
        <w:pStyle w:val="Paragrafoelenco"/>
        <w:numPr>
          <w:ilvl w:val="0"/>
          <w:numId w:val="1"/>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Cessionario si è reso disponibile, entro i limiti di tempo in tempo determinati sulla base dei propri oneri fiscali, ad acquistare il credito di imposta di cui alla predetta normativa incentivante.</w:t>
      </w:r>
    </w:p>
    <w:p>
      <w:pPr>
        <w:spacing w:after="100" w:line="240" w:lineRule="auto"/>
        <w:ind w:left="708"/>
        <w:jc w:val="center"/>
        <w:rPr>
          <w:rFonts w:ascii="Times New Roman" w:hAnsi="Times New Roman" w:cs="Times New Roman"/>
          <w:b/>
          <w:bCs/>
          <w:sz w:val="20"/>
          <w:szCs w:val="20"/>
        </w:rPr>
      </w:pPr>
      <w:r>
        <w:rPr>
          <w:rFonts w:ascii="Times New Roman" w:hAnsi="Times New Roman" w:cs="Times New Roman"/>
          <w:b/>
          <w:bCs/>
          <w:sz w:val="20"/>
          <w:szCs w:val="20"/>
        </w:rPr>
        <w:t xml:space="preserve">TUTTO CIO’ PREMESSO, LE PARTI CONVENGONO E STIPULANO QUANTO SEGUE</w:t>
      </w:r>
    </w:p>
    <w:p>
      <w:pPr>
        <w:pStyle w:val="Paragrafoelenco"/>
        <w:keepNext/>
        <w:numPr>
          <w:ilvl w:val="0"/>
          <w:numId w:val="2"/>
        </w:numPr>
        <w:spacing w:after="100" w:line="240" w:lineRule="auto"/>
        <w:rPr>
          <w:rFonts w:ascii="Times New Roman" w:hAnsi="Times New Roman" w:cs="Times New Roman"/>
          <w:b/>
          <w:bCs/>
          <w:sz w:val="20"/>
          <w:szCs w:val="20"/>
        </w:rPr>
      </w:pPr>
      <w:r>
        <w:rPr>
          <w:rFonts w:ascii="Times New Roman" w:hAnsi="Times New Roman" w:cs="Times New Roman"/>
          <w:b/>
          <w:bCs/>
          <w:sz w:val="20"/>
          <w:szCs w:val="20"/>
        </w:rPr>
        <w:t>OGGETTO</w:t>
      </w:r>
    </w:p>
    <w:p>
      <w:pPr>
        <w:spacing w:after="100" w:line="360" w:lineRule="auto"/>
        <w:ind w:firstLine="708"/>
        <w:jc w:val="both"/>
        <w:rPr>
          <w:rFonts w:ascii="Times New Roman" w:hAnsi="Times New Roman" w:cs="Times New Roman"/>
          <w:sz w:val="20"/>
          <w:szCs w:val="20"/>
        </w:rPr>
      </w:pPr>
      <w:r>
        <w:rPr>
          <w:rFonts w:ascii="Times New Roman" w:hAnsi="Times New Roman" w:cs="Times New Roman"/>
          <w:sz w:val="20"/>
          <w:szCs w:val="20"/>
        </w:rPr>
        <w:t xml:space="preserve">Il Cedente con il presente contratto cede il Credito d'Imposta appresso riportato al Cessionario, che accetta. </w:t>
      </w:r>
    </w:p>
    <w:tbl>
      <w:tblPr>
        <w:tblW w:w="5254" w:type="pct"/>
        <w:tblCellMar>
          <w:left w:w="70" w:type="dxa"/>
          <w:right w:w="70" w:type="dxa"/>
        </w:tblCellMar>
        <w:tblLook w:val="04A0" w:firstRow="1" w:lastRow="0" w:firstColumn="1" w:lastColumn="0" w:noHBand="0" w:noVBand="1"/>
      </w:tblPr>
      <w:tblGrid>
        <w:gridCol w:w="1054"/>
        <w:gridCol w:w="761"/>
        <w:gridCol w:w="1895"/>
        <w:gridCol w:w="2248"/>
        <w:gridCol w:w="826"/>
        <w:gridCol w:w="2880"/>
        <w:gridCol w:w="146"/>
      </w:tblGrid>
      <w:tr>
        <w:trPr>
          <w:gridAfter w:val="1"/>
          <w:trHeight w:val="432"/>
        </w:trPr>
        <w:tc>
          <w:tcPr>
            <w:tcW w:w="5000" w:type="pct"/>
            <w:gridSpan w:val="6"/>
            <w:tcBorders>
              <w:top w:val="single" w:sz="8" w:space="0" w:color="auto"/>
              <w:left w:val="single" w:sz="8" w:space="0" w:color="auto"/>
              <w:bottom w:val="single" w:sz="8" w:space="0" w:color="auto"/>
              <w:right w:val="single" w:sz="8" w:space="0" w:color="000000"/>
            </w:tcBorders>
            <w:shd w:val="clear" w:color="auto" w:fill="F2F2F2"/>
            <w:vAlign w:val="center"/>
            <w:hideMark/>
          </w:tcPr>
          <w:p>
            <w:pPr>
              <w:spacing w:line="220" w:lineRule="exact"/>
              <w:jc w:val="center"/>
              <w:rPr>
                <w:rFonts w:ascii="Calibri" w:hAnsi="Calibri"/>
                <w:b/>
                <w:color w:val="000000"/>
                <w:lang w:eastAsia="it-IT"/>
              </w:rPr>
            </w:pPr>
            <w:r>
              <w:rPr>
                <w:rFonts w:ascii="Calibri" w:hAnsi="Calibri"/>
                <w:b/>
                <w:color w:val="000000"/>
                <w:lang w:eastAsia="it-IT"/>
              </w:rPr>
              <w:t>CREDITI CEDUTI</w:t>
              <w:br/>
              <w:t>SCONTO SUPERBONUS ART. 119 DL 34-2020</w:t>
            </w:r>
          </w:p>
        </w:tc>
      </w:tr>
      <w:tr>
        <w:trPr>
          <w:gridAfter w:val="1"/>
          <w:trHeight w:hRule="exact" w:val="340"/>
        </w:trPr>
        <w:tc>
          <w:tcPr>
            <w:tcW w:w="545"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Anno di riferimento</w:t>
            </w:r>
          </w:p>
        </w:tc>
        <w:tc>
          <w:tcPr>
            <w:tcW w:w="394"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tributo</w:t>
            </w:r>
          </w:p>
        </w:tc>
        <w:tc>
          <w:tcPr>
            <w:tcW w:w="981"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C.F. cedente</w:t>
            </w:r>
          </w:p>
        </w:tc>
        <w:tc>
          <w:tcPr>
            <w:tcW w:w="1163"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Nominativo cedente</w:t>
            </w:r>
          </w:p>
        </w:tc>
        <w:tc>
          <w:tcPr>
            <w:tcW w:w="427" w:type="pct"/>
            <w:vMerge w:val="restart"/>
            <w:tcBorders>
              <w:top w:val="nil"/>
              <w:left w:val="single" w:sz="8" w:space="0" w:color="auto"/>
              <w:bottom w:val="single" w:sz="8" w:space="0" w:color="000000"/>
              <w:right w:val="single" w:sz="8" w:space="0" w:color="auto"/>
            </w:tcBorders>
            <w:vAlign w:val="center"/>
            <w:hideMark/>
          </w:tcPr>
          <w:p>
            <w:pPr>
              <w:ind w:left="-68" w:right="-27"/>
              <w:jc w:val="center"/>
              <w:rPr>
                <w:rFonts w:ascii="Calibri" w:hAnsi="Calibri"/>
                <w:b/>
                <w:bCs/>
                <w:color w:val="000000"/>
                <w:sz w:val="18"/>
                <w:szCs w:val="18"/>
                <w:lang w:eastAsia="it-IT"/>
              </w:rPr>
            </w:pPr>
            <w:r>
              <w:rPr>
                <w:rFonts w:ascii="Calibri" w:hAnsi="Calibri"/>
                <w:b/>
                <w:bCs/>
                <w:color w:val="000000"/>
                <w:sz w:val="18"/>
                <w:szCs w:val="18"/>
                <w:lang w:eastAsia="it-IT"/>
              </w:rPr>
              <w:t>Importo             (in Euro)</w:t>
            </w:r>
          </w:p>
        </w:tc>
        <w:tc>
          <w:tcPr>
            <w:tcW w:w="1490" w:type="pct"/>
            <w:vMerge w:val="restart"/>
            <w:tcBorders>
              <w:top w:val="nil"/>
              <w:left w:val="single" w:sz="8" w:space="0" w:color="auto"/>
              <w:bottom w:val="single" w:sz="8" w:space="0" w:color="000000"/>
              <w:right w:val="single" w:sz="8" w:space="0" w:color="auto"/>
            </w:tcBorders>
            <w:vAlign w:val="center"/>
            <w:hideMark/>
          </w:tcPr>
          <w:p>
            <w:pPr>
              <w:jc w:val="center"/>
              <w:rPr>
                <w:rFonts w:ascii="Calibri" w:hAnsi="Calibri"/>
                <w:b/>
                <w:bCs/>
                <w:color w:val="000000"/>
                <w:sz w:val="18"/>
                <w:szCs w:val="18"/>
                <w:lang w:eastAsia="it-IT"/>
              </w:rPr>
            </w:pPr>
            <w:r>
              <w:rPr>
                <w:rFonts w:ascii="Calibri" w:hAnsi="Calibri"/>
                <w:b/>
                <w:bCs/>
                <w:color w:val="000000"/>
                <w:sz w:val="18"/>
                <w:szCs w:val="18"/>
                <w:lang w:eastAsia="it-IT"/>
              </w:rPr>
              <w:t>Codice identificativo univoco</w:t>
            </w:r>
          </w:p>
        </w:tc>
      </w:tr>
      <w:tr>
        <w:trPr>
          <w:trHeight w:val="450"/>
        </w:trPr>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Merge/>
            <w:tcBorders>
              <w:top w:val="nil"/>
              <w:left w:val="single" w:sz="8" w:space="0" w:color="auto"/>
              <w:bottom w:val="single" w:sz="8" w:space="0" w:color="000000"/>
              <w:right w:val="single" w:sz="8" w:space="0" w:color="auto"/>
            </w:tcBorders>
            <w:vAlign w:val="center"/>
            <w:hideMark/>
          </w:tcPr>
          <w:p>
            <w:pPr>
              <w:spacing w:after="0"/>
              <w:rPr>
                <w:rFonts w:ascii="Calibri" w:hAnsi="Calibri"/>
                <w:b/>
                <w:bCs/>
                <w:color w:val="000000"/>
                <w:sz w:val="18"/>
                <w:szCs w:val="18"/>
                <w:lang w:eastAsia="it-IT"/>
              </w:rPr>
            </w:pPr>
          </w:p>
        </w:tc>
        <w:tc>
          <w:tcPr>
            <w:tcW w:w="0" w:type="auto"/>
            <w:vAlign w:val="center"/>
            <w:hideMark/>
          </w:tcPr>
          <w:p>
            <w:pPr>
              <w:rPr>
                <w:rFonts w:ascii="Calibri" w:hAnsi="Calibri"/>
                <w:b/>
                <w:bCs/>
                <w:color w:val="000000"/>
                <w:sz w:val="18"/>
                <w:szCs w:val="18"/>
                <w:lang w:eastAsia="it-IT"/>
              </w:rPr>
            </w:pPr>
          </w:p>
        </w:tc>
      </w:tr>
      <w:tr>
        <w:trPr>
          <w:trHeight w:hRule="exact" w:val="312"/>
        </w:trPr>
        <w:tc>
          <w:tcPr>
            <w:tcW w:w="545" w:type="pct"/>
            <w:tcBorders>
              <w:top w:val="nil"/>
              <w:left w:val="single" w:sz="8" w:space="0" w:color="auto"/>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2026</w:t>
            </w:r>
          </w:p>
        </w:tc>
        <w:tc>
          <w:tcPr>
            <w:tcW w:w="394"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7718</w:t>
            </w:r>
          </w:p>
        </w:tc>
        <w:tc>
          <w:tcPr>
            <w:tcW w:w="981"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04325590612</w:t>
            </w:r>
          </w:p>
        </w:tc>
        <w:tc>
          <w:tcPr>
            <w:tcW w:w="1163"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MODULHOUSE SRL</w:t>
            </w:r>
          </w:p>
        </w:tc>
        <w:tc>
          <w:tcPr>
            <w:tcW w:w="427"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24.789,25</w:t>
            </w:r>
          </w:p>
        </w:tc>
        <w:tc>
          <w:tcPr>
            <w:tcW w:w="1490" w:type="pct"/>
            <w:tcBorders>
              <w:top w:val="nil"/>
              <w:left w:val="nil"/>
              <w:bottom w:val="single" w:sz="8" w:space="0" w:color="auto"/>
              <w:right w:val="single" w:sz="8" w:space="0" w:color="auto"/>
            </w:tcBorders>
            <w:vAlign w:val="center"/>
            <w:hideMark/>
          </w:tcPr>
          <w:p>
            <w:pPr>
              <w:jc w:val="center"/>
              <w:rPr>
                <w:color w:val="000000"/>
                <w:sz w:val="16"/>
                <w:szCs w:val="16"/>
                <w:lang w:eastAsia="it-IT"/>
              </w:rPr>
            </w:pPr>
            <w:r>
              <w:rPr>
                <w:color w:val="000000"/>
                <w:sz w:val="16"/>
                <w:szCs w:val="16"/>
                <w:lang w:eastAsia="it-IT"/>
              </w:rPr>
              <w:t>221212111709344680000001-000012</w:t>
            </w:r>
          </w:p>
        </w:tc>
        <w:tc>
          <w:tcPr>
            <w:tcW w:w="0" w:type="auto"/>
            <w:vAlign w:val="center"/>
            <w:hideMark/>
          </w:tcPr>
          <w:p>
            <w:pPr>
              <w:spacing w:after="0"/>
              <w:rPr>
                <w:sz w:val="20"/>
                <w:szCs w:val="20"/>
                <w:lang w:eastAsia="it-IT"/>
              </w:rPr>
            </w:pPr>
          </w:p>
        </w:tc>
      </w:tr>
      <w:tr>
        <w:trPr>
          <w:trHeight w:hRule="exact" w:val="312"/>
        </w:trPr>
        <w:tc>
          <w:tcPr>
            <w:tcW w:w="3083" w:type="pct"/>
            <w:gridSpan w:val="4"/>
            <w:tcBorders>
              <w:top w:val="nil"/>
              <w:left w:val="single" w:sz="8" w:space="0" w:color="auto"/>
              <w:bottom w:val="single" w:sz="8" w:space="0" w:color="auto"/>
              <w:right w:val="single" w:sz="8" w:space="0" w:color="auto"/>
            </w:tcBorders>
            <w:shd w:val="clear" w:color="auto" w:fill="F2F2F2" w:themeFill="background1" w:themeFillShade="F2"/>
            <w:vAlign w:val="center"/>
            <w:hideMark/>
          </w:tcPr>
          <w:p>
            <w:pPr>
              <w:jc w:val="center"/>
              <w:rPr>
                <w:b/>
                <w:color w:val="000000"/>
                <w:sz w:val="18"/>
                <w:szCs w:val="18"/>
                <w:lang w:eastAsia="it-IT"/>
              </w:rPr>
            </w:pPr>
            <w:r>
              <w:rPr>
                <w:b/>
                <w:color w:val="000000"/>
                <w:sz w:val="18"/>
                <w:szCs w:val="18"/>
                <w:lang w:eastAsia="it-IT"/>
              </w:rPr>
              <w:t>TOTALE CREDITO CEDUTO ANNO 2026</w:t>
            </w:r>
          </w:p>
        </w:tc>
        <w:tc>
          <w:tcPr>
            <w:tcW w:w="1917" w:type="pct"/>
            <w:gridSpan w:val="2"/>
            <w:tcBorders>
              <w:top w:val="nil"/>
              <w:left w:val="nil"/>
              <w:bottom w:val="single" w:sz="8" w:space="0" w:color="auto"/>
              <w:right w:val="single" w:sz="8" w:space="0" w:color="auto"/>
            </w:tcBorders>
            <w:shd w:val="clear" w:color="auto" w:fill="F2F2F2" w:themeFill="background1" w:themeFillShade="F2"/>
            <w:vAlign w:val="center"/>
            <w:hideMark/>
          </w:tcPr>
          <w:p>
            <w:pPr>
              <w:jc w:val="center"/>
              <w:rPr>
                <w:b/>
                <w:color w:val="000000"/>
                <w:lang w:eastAsia="it-IT"/>
              </w:rPr>
            </w:pPr>
            <w:r>
              <w:rPr>
                <w:b/>
                <w:color w:val="000000"/>
                <w:lang w:eastAsia="it-IT"/>
              </w:rPr>
              <w:t xml:space="preserve">24.789,25</w:t>
            </w:r>
          </w:p>
        </w:tc>
        <w:tc>
          <w:tcPr>
            <w:tcW w:w="0" w:type="auto"/>
            <w:vAlign w:val="center"/>
            <w:hideMark/>
          </w:tcPr>
          <w:p>
            <w:pPr>
              <w:spacing w:after="0"/>
              <w:rPr>
                <w:sz w:val="20"/>
                <w:szCs w:val="20"/>
                <w:lang w:eastAsia="it-IT"/>
              </w:rPr>
            </w:pPr>
          </w:p>
        </w:tc>
      </w:tr>
    </w:tbl>
    <w:p>
      <w:pPr>
        <w:spacing w:after="100" w:line="360" w:lineRule="auto"/>
        <w:ind w:firstLine="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Al fine di perfezionare e rendere opponibile la cessione nei confronti dell'Agenzia delle Entrate, nonché di qualunque terzo, il Cedente provvederà a compiere, entro 5 Giorni Lavorativi dalla data del presente contratto, tutti gli adempimenti necessari previsti dalla normativa applicabile al Credito di Imposta, in modo tale per cui nella Piattaforma ADE il Cessionario abbia la possibilità di accettare la cessione a proprio favore del Credito di Imposta ceduto ai sensi del presente contratto. Il Cessionario provvederà ad accettare sulla Piattaforma ADE la cessione a proprio favore del Credito di Imposta ceduto ai sensi del presente contratto entro 5 Giorni Lavorativi successivi alla data in cui il credito risulterà nel proprio cassetto fiscale.</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PREZZO DI CESSIONE</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A fronte della cessione di cui al presente contratto, il Cessionario corrisponderà al Cedente, mediante versamento sul Conto corrente </w:t>
      </w:r>
      <w:r>
        <w:rPr>
          <w:rFonts w:ascii="Times New Roman" w:hAnsi="Times New Roman" w:cs="Times New Roman"/>
          <w:b/>
          <w:sz w:val="20"/>
          <w:szCs w:val="20"/>
          <w:u w:val="single"/>
        </w:rPr>
        <w:t>IT 89 M 02008 14906 000105271156</w:t>
      </w:r>
      <w:r>
        <w:rPr>
          <w:rFonts w:ascii="Times New Roman" w:hAnsi="Times New Roman" w:cs="Times New Roman"/>
          <w:sz w:val="20"/>
          <w:szCs w:val="20"/>
        </w:rPr>
        <w:t xml:space="preserve">, al momento dell’accettazione della cessione sulla Piattaforma ADE, il prezzo di seguito riportato:</w:t>
      </w:r>
    </w:p>
    <w:tbl>
      <w:tblPr>
        <w:tblStyle w:val="Grigliatabella"/>
        <w:tblW w:w="9356" w:type="dxa"/>
        <w:tblInd w:w="137" w:type="dxa"/>
        <w:tblLayout w:type="fixed"/>
        <w:tblLook w:val="04A0" w:firstRow="1" w:lastRow="0" w:firstColumn="1" w:lastColumn="0" w:noHBand="0" w:noVBand="1"/>
      </w:tblPr>
      <w:tblGrid>
        <w:gridCol w:w="2552"/>
        <w:gridCol w:w="1275"/>
        <w:gridCol w:w="1989"/>
        <w:gridCol w:w="1760"/>
        <w:gridCol w:w="1780"/>
      </w:tblGrid>
      <w:tr>
        <w:tc>
          <w:tcPr>
            <w:tcW w:w="2552"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Tipologia di credito di imposta ceduto</w:t>
            </w:r>
          </w:p>
        </w:tc>
        <w:tc>
          <w:tcPr>
            <w:tcW w:w="1275"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Codice tributo</w:t>
            </w:r>
          </w:p>
        </w:tc>
        <w:tc>
          <w:tcPr>
            <w:tcW w:w="1989"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Importo del credito ceduto</w:t>
            </w:r>
          </w:p>
        </w:tc>
        <w:tc>
          <w:tcPr>
            <w:tcW w:w="176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Anno di</w:t>
            </w:r>
          </w:p>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riferimento</w:t>
            </w:r>
          </w:p>
        </w:tc>
        <w:tc>
          <w:tcPr>
            <w:tcW w:w="1780" w:type="dxa"/>
            <w:shd w:val="clear" w:color="auto" w:fill="F2F2F2" w:themeFill="background1" w:themeFillShade="F2"/>
          </w:tcPr>
          <w:p>
            <w:pPr>
              <w:spacing w:before="29"/>
              <w:ind w:left="132" w:right="246"/>
              <w:jc w:val="center"/>
              <w:rPr>
                <w:rFonts w:ascii="Times New Roman" w:hAnsi="Times New Roman" w:cs="Times New Roman"/>
                <w:b/>
                <w:sz w:val="20"/>
                <w:szCs w:val="20"/>
              </w:rPr>
            </w:pPr>
            <w:r>
              <w:rPr>
                <w:rFonts w:ascii="Times New Roman" w:hAnsi="Times New Roman" w:cs="Times New Roman"/>
                <w:b/>
                <w:sz w:val="20"/>
                <w:szCs w:val="20"/>
              </w:rPr>
              <w:t>Prezzo di cessione</w:t>
            </w:r>
          </w:p>
        </w:tc>
      </w:tr>
      <w:tr>
        <w:trPr>
          <w:trHeight w:val="618"/>
        </w:trPr>
        <w:tc>
          <w:tcPr>
            <w:tcW w:w="2552" w:type="dxa"/>
            <w:vAlign w:val="center"/>
          </w:tcPr>
          <w:p>
            <w:pPr>
              <w:spacing w:before="29"/>
              <w:ind w:left="132" w:right="246"/>
              <w:jc w:val="center"/>
              <w:rPr>
                <w:rFonts w:ascii="Times New Roman" w:hAnsi="Times New Roman" w:cs="Times New Roman"/>
                <w:sz w:val="20"/>
                <w:szCs w:val="20"/>
              </w:rPr>
            </w:pPr>
            <w:r>
              <w:rPr>
                <w:rFonts w:ascii="Times New Roman" w:hAnsi="Times New Roman" w:cs="Times New Roman"/>
                <w:sz w:val="20"/>
                <w:szCs w:val="20"/>
              </w:rPr>
              <w:t>Superbonus</w:t>
            </w:r>
          </w:p>
          <w:p>
            <w:pPr>
              <w:pStyle w:val="Paragrafoelenco"/>
              <w:spacing w:after="100"/>
              <w:ind w:left="0"/>
              <w:jc w:val="center"/>
              <w:rPr>
                <w:rFonts w:ascii="Times New Roman" w:hAnsi="Times New Roman" w:cs="Times New Roman"/>
                <w:sz w:val="20"/>
                <w:szCs w:val="20"/>
              </w:rPr>
            </w:pPr>
            <w:r>
              <w:rPr>
                <w:rFonts w:ascii="Times New Roman" w:hAnsi="Times New Roman" w:cs="Times New Roman"/>
                <w:sz w:val="20"/>
                <w:szCs w:val="20"/>
              </w:rPr>
              <w:t xml:space="preserve">(art. 119 DL 34/2020)</w:t>
            </w:r>
          </w:p>
        </w:tc>
        <w:tc>
          <w:tcPr>
            <w:tcW w:w="1275"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7718</w:t>
            </w:r>
          </w:p>
        </w:tc>
        <w:tc>
          <w:tcPr>
            <w:tcW w:w="1989"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24.789,25</w:t>
            </w:r>
          </w:p>
        </w:tc>
        <w:tc>
          <w:tcPr>
            <w:tcW w:w="176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2026</w:t>
            </w:r>
          </w:p>
        </w:tc>
        <w:tc>
          <w:tcPr>
            <w:tcW w:w="1780" w:type="dxa"/>
            <w:vAlign w:val="center"/>
          </w:tcPr>
          <w:p>
            <w:pPr>
              <w:pStyle w:val="Paragrafoelenco"/>
              <w:spacing w:after="100"/>
              <w:ind w:left="0"/>
              <w:jc w:val="center"/>
              <w:rPr>
                <w:rFonts w:ascii="Times New Roman" w:hAnsi="Times New Roman" w:cs="Times New Roman"/>
                <w:b/>
                <w:sz w:val="20"/>
                <w:szCs w:val="20"/>
              </w:rPr>
            </w:pPr>
            <w:r>
              <w:rPr>
                <w:rFonts w:ascii="Times New Roman" w:hAnsi="Times New Roman" w:cs="Times New Roman"/>
                <w:b/>
                <w:sz w:val="20"/>
                <w:szCs w:val="20"/>
              </w:rPr>
              <w:t xml:space="preserve">22.310,33</w:t>
            </w:r>
          </w:p>
        </w:tc>
      </w:tr>
    </w:tbl>
    <w:p>
      <w:pPr>
        <w:spacing w:after="100" w:line="360" w:lineRule="auto"/>
        <w:ind w:left="708"/>
        <w:jc w:val="both"/>
        <w:rPr>
          <w:rFonts w:ascii="Times New Roman" w:hAnsi="Times New Roman" w:cs="Times New Roman"/>
          <w:sz w:val="20"/>
          <w:szCs w:val="20"/>
        </w:rPr>
      </w:pP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con il versamento sul Conto del Prezzo da parte del Cessionario, non avrà null'altro a pretendere nei confronti del Cessionario con riferimento alla cessione del Credito di Imposta di cui al presente contratto.</w:t>
      </w:r>
    </w:p>
    <w:p>
      <w:pPr>
        <w:pStyle w:val="Paragrafoelenco"/>
        <w:keepNext/>
        <w:numPr>
          <w:ilvl w:val="0"/>
          <w:numId w:val="2"/>
        </w:numPr>
        <w:spacing w:before="240" w:after="100" w:line="36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DICHIARAZIONI E GARANZIE DEL CEDENTE – MANLEVA</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 xml:space="preserve">Il Cedente dichiara e garantisce che il credito oggetto della presente cessione si basa su una detrazione d’imposta a lui spettante. </w:t>
      </w:r>
    </w:p>
    <w:p>
      <w:pPr>
        <w:spacing w:after="100" w:line="360" w:lineRule="auto"/>
        <w:ind w:left="708"/>
        <w:jc w:val="both"/>
        <w:rPr>
          <w:rFonts w:ascii="Times New Roman" w:hAnsi="Times New Roman" w:cs="Times New Roman"/>
          <w:sz w:val="20"/>
          <w:szCs w:val="20"/>
        </w:rPr>
      </w:pPr>
      <w:r>
        <w:rPr>
          <w:rFonts w:ascii="Times New Roman" w:hAnsi="Times New Roman" w:cs="Times New Roman"/>
          <w:sz w:val="20"/>
          <w:szCs w:val="20"/>
        </w:rPr>
        <w:t>Il Cedente dichiara e garantisce al Cessionario: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aver adottato alcuna iniziativa che possa dar luogo: ad una procedura concorsuale, a piani di risanamento dell'esposizione debitoria o ad accordi di ristrutturazione dei debiti, a liquidazione, ove applicabile, a riduzione del capitale sociale ai sensi degli artt. 2446 o 2447, ovvero ancora ai sensi degli artt. 2482-bis o 2482-ter del codice civile, allo scioglimento, ovvero a situazioni analoghe a quelle sopra indicate;</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sottoposto ad alcuna procedura concorsuale o ad altra procedura che comporti restrizioni ai diritti dei creditori;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non sono stati approvati, né sono in corso attività volte alla predisposizione di, piani di risanamento dell'esposizione debitoria o accordi di ristrutturazione dei debiti;</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che, per quanto a propria conoscenza e dopo aver effettuato le opportune verifiche del caso, non sono stati presentati nei suoi confronti ricorsi o richieste di fallimento o di ammissione ad altre procedure concorsuali, né alcuna richiesta di concordato preventivo;</w:t>
      </w:r>
    </w:p>
    <w:p>
      <w:pPr>
        <w:pStyle w:val="Paragrafoelenco"/>
        <w:numPr>
          <w:ilvl w:val="0"/>
          <w:numId w:val="3"/>
        </w:numPr>
        <w:spacing w:after="100" w:line="360" w:lineRule="auto"/>
        <w:jc w:val="both"/>
        <w:rPr>
          <w:rFonts w:ascii="Times New Roman" w:hAnsi="Times New Roman" w:cs="Times New Roman"/>
          <w:sz w:val="20"/>
          <w:szCs w:val="20"/>
        </w:rPr>
      </w:pPr>
      <w:r>
        <w:rPr>
          <w:rFonts w:ascii="Times New Roman" w:hAnsi="Times New Roman" w:cs="Times New Roman"/>
          <w:sz w:val="20"/>
          <w:szCs w:val="20"/>
        </w:rPr>
        <w:t>di non essere inadempiente ai propri obblighi fiscali verso le competenti amministrazioni, ai propri obblighi di pagamento derivanti da operazioni di indebitamento di natura finanziaria o ai propri obblighi di pagamento nei confronti dei propri fornitori, in modo tale per cui, tale eventuale inadempimento possa ragionevolmente determinare l'insolvenza del Cedente entro sei mesi dalla data del presente contratto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Cedente dà espressamente atto che il Cessionario non è stato in alcun modo coinvolto, né ha fornito alcun contributo, rispetto al processo di formazione del Credito di Imposta.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lastRenderedPageBreak/>
        <w:t>CONDIZIONE RISOLUTIVA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sarà risolto sin dalla sua sottoscrizione qualora, entro 7 giorni lavorativi dalla data del presente contratto, nella Piattaforma ADE il Cessionario non dovesse riscontrare come ceduto a proprio favore il Credito di Imposta, ovvero dovesse risultare un credito di imposta trasferito dal Cedente diverso, sotto qualunque aspetto (ad es. importo ceduto, codice tributo, anno di riferimento, ecc.), rispetto al Credito di Imposta come sopra individuato.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In ogni caso di risoluzione di cui al punto che precede, la cessione del Credito di Imposta si intenderà come mai effettuata e, pertanto, non sarà dovuto alcun Prezzo.</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Nel caso di trasferimento di un credito difforme da quello pattuito, sotto qualunque aspetto – ad es. importo ceduto, codice tributo, anno di riferimento, ecc., il Cessionario dovrà rifiutare, entro 7 giorni lavorativi, nella Piattaforma ADE la cessione a proprio favore del credito di imposta da parte del Cedente.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Qualora una qualsiasi delle dichiarazioni rese dal Cedente nel presente contratto si riveli inesatta in misura tale da pregiudicare l'affidamento del Cessionario, quest'ultimo potrà risolvere il presente contratto ai sensi dell'art. 1456 del codice civile; in tal caso, il presente contratto si intenderà risolto di diritto nel momento in cui il Cessionario comunicherà al Cedente l'intenzione di avvalersi della presente clausola risolutiva espressa.</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LEGGE APPLICABILE E FORO COMPETENTE</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Il presente contratto è esclusivamente sottoposto alla legge italiana.</w:t>
      </w:r>
    </w:p>
    <w:p>
      <w:pPr>
        <w:pStyle w:val="Paragrafoelenco"/>
        <w:spacing w:after="100" w:line="360" w:lineRule="auto"/>
        <w:jc w:val="both"/>
        <w:rPr>
          <w:rFonts w:ascii="Times New Roman" w:hAnsi="Times New Roman" w:cs="Times New Roman"/>
          <w:sz w:val="20"/>
          <w:szCs w:val="20"/>
        </w:rPr>
      </w:pPr>
      <w:r>
        <w:rPr>
          <w:rFonts w:ascii="Times New Roman" w:hAnsi="Times New Roman" w:cs="Times New Roman"/>
          <w:sz w:val="20"/>
          <w:szCs w:val="20"/>
        </w:rPr>
        <w:t>Per ogni controversia relativa o connessa al presente contratto sarà competente in via esclusiva il foro del Cliente.</w:t>
      </w:r>
    </w:p>
    <w:p>
      <w:pPr>
        <w:pStyle w:val="Paragrafoelenco"/>
        <w:spacing w:after="100" w:line="360" w:lineRule="auto"/>
        <w:jc w:val="both"/>
        <w:rPr>
          <w:rFonts w:ascii="Times New Roman" w:hAnsi="Times New Roman" w:cs="Times New Roman"/>
          <w:sz w:val="20"/>
          <w:szCs w:val="20"/>
        </w:rPr>
      </w:pPr>
    </w:p>
    <w:p>
      <w:pPr>
        <w:pStyle w:val="Paragrafoelenco"/>
        <w:keepNext/>
        <w:numPr>
          <w:ilvl w:val="0"/>
          <w:numId w:val="2"/>
        </w:numPr>
        <w:spacing w:after="100" w:line="360" w:lineRule="auto"/>
        <w:rPr>
          <w:rFonts w:ascii="Times New Roman" w:hAnsi="Times New Roman" w:cs="Times New Roman"/>
          <w:b/>
          <w:bCs/>
          <w:sz w:val="20"/>
          <w:szCs w:val="20"/>
        </w:rPr>
      </w:pPr>
      <w:r>
        <w:rPr>
          <w:rFonts w:ascii="Times New Roman" w:hAnsi="Times New Roman" w:cs="Times New Roman"/>
          <w:b/>
          <w:bCs/>
          <w:sz w:val="20"/>
          <w:szCs w:val="20"/>
        </w:rPr>
        <w:t>DISPOSIZIONI FINALI</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Il presente contratto prevale su qualunque contratto precedente o contemporaneo, scritto o orale, tra le Parti con riferimento al medesimo oggetto. Qualunque modifica al presente contratto sarà valida solo se firmata ed accettata per iscritto dalle Parti. </w:t>
      </w:r>
    </w:p>
    <w:p>
      <w:pPr>
        <w:pStyle w:val="Paragrafoelenco"/>
        <w:keepNext/>
        <w:spacing w:after="100" w:line="360" w:lineRule="auto"/>
        <w:jc w:val="both"/>
        <w:rPr>
          <w:rFonts w:ascii="Times New Roman" w:hAnsi="Times New Roman" w:cs="Times New Roman"/>
          <w:sz w:val="20"/>
          <w:szCs w:val="20"/>
        </w:rPr>
      </w:pPr>
      <w:r>
        <w:rPr>
          <w:rFonts w:ascii="Times New Roman" w:hAnsi="Times New Roman" w:cs="Times New Roman"/>
          <w:sz w:val="20"/>
          <w:szCs w:val="20"/>
        </w:rPr>
        <w:t xml:space="preserve">Letto, accettato e sottoscritto.                                                                                                         </w:t>
      </w:r>
    </w:p>
    <w:p>
      <w:pPr>
        <w:keepNext/>
        <w:spacing w:after="100" w:line="120" w:lineRule="atLeast"/>
        <w:rPr>
          <w:rFonts w:ascii="Times New Roman" w:hAnsi="Times New Roman" w:cs="Times New Roman"/>
        </w:rPr>
      </w:pPr>
      <w:r>
        <w:rPr>
          <w:rFonts w:ascii="Times New Roman" w:hAnsi="Times New Roman" w:cs="Times New Roman"/>
        </w:rPr>
        <w:t xml:space="preserve">Caserta, lì 08/04/2026</w:t>
      </w:r>
    </w:p>
    <w:p>
      <w:pPr>
        <w:ind w:left="1416" w:firstLine="708"/>
        <w:rPr>
          <w:rFonts w:ascii="Times New Roman" w:hAnsi="Times New Roman" w:cs="Times New Roman"/>
        </w:rPr>
      </w:pPr>
      <w:r>
        <w:rPr>
          <w:rFonts w:ascii="Times New Roman" w:hAnsi="Times New Roman" w:cs="Times New Roman"/>
        </w:rPr>
        <w:t>Il Cedente                                                                      Il Cessionario</w:t>
      </w:r>
    </w:p>
    <w:p>
      <w:pPr>
        <w:ind w:firstLine="708"/>
      </w:pPr>
    </w:p>
    <w:sectPr>
      <w:pgSz w:w="11906" w:h="16838"/>
      <w:pgMar w:top="709" w:right="1416"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22777"/>
    <w:multiLevelType w:val="hybridMultilevel"/>
    <w:tmpl w:val="D844377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571B798E"/>
    <w:multiLevelType w:val="hybridMultilevel"/>
    <w:tmpl w:val="6DB8B806"/>
    <w:lvl w:ilvl="0" w:tplc="2FE033CC">
      <w:start w:val="1"/>
      <w:numFmt w:val="lowerLetter"/>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6F0B5395"/>
    <w:multiLevelType w:val="multilevel"/>
    <w:tmpl w:val="695EC1F6"/>
    <w:lvl w:ilvl="0">
      <w:start w:val="1"/>
      <w:numFmt w:val="decimal"/>
      <w:pStyle w:val="Titolo1"/>
      <w:lvlText w:val="%1."/>
      <w:lvlJc w:val="left"/>
      <w:pPr>
        <w:tabs>
          <w:tab w:val="num" w:pos="720"/>
        </w:tabs>
        <w:ind w:left="720" w:hanging="720"/>
      </w:pPr>
    </w:lvl>
    <w:lvl w:ilvl="1">
      <w:start w:val="1"/>
      <w:numFmt w:val="decimal"/>
      <w:pStyle w:val="Titolo2"/>
      <w:lvlText w:val="%2."/>
      <w:lvlJc w:val="left"/>
      <w:pPr>
        <w:tabs>
          <w:tab w:val="num" w:pos="1440"/>
        </w:tabs>
        <w:ind w:left="1440" w:hanging="720"/>
      </w:pPr>
    </w:lvl>
    <w:lvl w:ilvl="2">
      <w:start w:val="1"/>
      <w:numFmt w:val="decimal"/>
      <w:pStyle w:val="Titolo3"/>
      <w:lvlText w:val="%3."/>
      <w:lvlJc w:val="left"/>
      <w:pPr>
        <w:tabs>
          <w:tab w:val="num" w:pos="2160"/>
        </w:tabs>
        <w:ind w:left="2160" w:hanging="720"/>
      </w:pPr>
    </w:lvl>
    <w:lvl w:ilvl="3">
      <w:start w:val="1"/>
      <w:numFmt w:val="decimal"/>
      <w:pStyle w:val="Titolo4"/>
      <w:lvlText w:val="%4."/>
      <w:lvlJc w:val="left"/>
      <w:pPr>
        <w:tabs>
          <w:tab w:val="num" w:pos="2880"/>
        </w:tabs>
        <w:ind w:left="2880" w:hanging="720"/>
      </w:pPr>
    </w:lvl>
    <w:lvl w:ilvl="4">
      <w:start w:val="1"/>
      <w:numFmt w:val="decimal"/>
      <w:pStyle w:val="Titolo5"/>
      <w:lvlText w:val="%5."/>
      <w:lvlJc w:val="left"/>
      <w:pPr>
        <w:tabs>
          <w:tab w:val="num" w:pos="3600"/>
        </w:tabs>
        <w:ind w:left="3600" w:hanging="720"/>
      </w:pPr>
    </w:lvl>
    <w:lvl w:ilvl="5">
      <w:start w:val="1"/>
      <w:numFmt w:val="decimal"/>
      <w:pStyle w:val="Titolo6"/>
      <w:lvlText w:val="%6."/>
      <w:lvlJc w:val="left"/>
      <w:pPr>
        <w:tabs>
          <w:tab w:val="num" w:pos="4320"/>
        </w:tabs>
        <w:ind w:left="4320" w:hanging="720"/>
      </w:pPr>
    </w:lvl>
    <w:lvl w:ilvl="6">
      <w:start w:val="1"/>
      <w:numFmt w:val="decimal"/>
      <w:pStyle w:val="Titolo7"/>
      <w:lvlText w:val="%7."/>
      <w:lvlJc w:val="left"/>
      <w:pPr>
        <w:tabs>
          <w:tab w:val="num" w:pos="5040"/>
        </w:tabs>
        <w:ind w:left="5040" w:hanging="720"/>
      </w:pPr>
    </w:lvl>
    <w:lvl w:ilvl="7">
      <w:start w:val="1"/>
      <w:numFmt w:val="decimal"/>
      <w:pStyle w:val="Titolo8"/>
      <w:lvlText w:val="%8."/>
      <w:lvlJc w:val="left"/>
      <w:pPr>
        <w:tabs>
          <w:tab w:val="num" w:pos="5760"/>
        </w:tabs>
        <w:ind w:left="5760" w:hanging="720"/>
      </w:pPr>
    </w:lvl>
    <w:lvl w:ilvl="8">
      <w:start w:val="1"/>
      <w:numFmt w:val="decimal"/>
      <w:pStyle w:val="Titolo9"/>
      <w:lvlText w:val="%9."/>
      <w:lvlJc w:val="left"/>
      <w:pPr>
        <w:tabs>
          <w:tab w:val="num" w:pos="6480"/>
        </w:tabs>
        <w:ind w:left="6480" w:hanging="720"/>
      </w:pPr>
    </w:lvl>
  </w:abstractNum>
  <w:abstractNum w:abstractNumId="3" w15:restartNumberingAfterBreak="0">
    <w:nsid w:val="76DD46EF"/>
    <w:multiLevelType w:val="hybridMultilevel"/>
    <w:tmpl w:val="EC22949A"/>
    <w:lvl w:ilvl="0" w:tplc="604231DE">
      <w:start w:val="1"/>
      <w:numFmt w:val="upperLetter"/>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73959457">
    <w:abstractNumId w:val="3"/>
  </w:num>
  <w:num w:numId="2" w16cid:durableId="1801528859">
    <w:abstractNumId w:val="0"/>
  </w:num>
  <w:num w:numId="3" w16cid:durableId="2013146445">
    <w:abstractNumId w:val="1"/>
  </w:num>
  <w:num w:numId="4" w16cid:durableId="472523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numPr>
        <w:numId w:val="4"/>
      </w:numPr>
      <w:spacing w:before="240" w:after="60" w:line="240" w:lineRule="auto"/>
      <w:outlineLvl w:val="0"/>
    </w:pPr>
    <w:rPr>
      <w:rFonts w:asciiTheme="majorHAnsi" w:eastAsiaTheme="majorEastAsia" w:hAnsiTheme="majorHAnsi" w:cstheme="majorBidi"/>
      <w:b/>
      <w:bCs/>
      <w:kern w:val="32"/>
      <w:sz w:val="32"/>
      <w:szCs w:val="32"/>
      <w:lang w:val="en-US"/>
    </w:rPr>
  </w:style>
  <w:style w:type="paragraph" w:styleId="Titolo2">
    <w:name w:val="heading 2"/>
    <w:basedOn w:val="Normale"/>
    <w:next w:val="Normale"/>
    <w:link w:val="Titolo2Carattere"/>
    <w:uiPriority w:val="9"/>
    <w:semiHidden/>
    <w:unhideWhenUsed/>
    <w:qFormat/>
    <w:pPr>
      <w:keepNext/>
      <w:numPr>
        <w:ilvl w:val="1"/>
        <w:numId w:val="4"/>
      </w:numPr>
      <w:spacing w:before="240" w:after="60" w:line="240" w:lineRule="auto"/>
      <w:outlineLvl w:val="1"/>
    </w:pPr>
    <w:rPr>
      <w:rFonts w:asciiTheme="majorHAnsi" w:eastAsiaTheme="majorEastAsia" w:hAnsiTheme="majorHAnsi" w:cstheme="majorBidi"/>
      <w:b/>
      <w:bCs/>
      <w:i/>
      <w:iCs/>
      <w:sz w:val="28"/>
      <w:szCs w:val="28"/>
      <w:lang w:val="en-US"/>
    </w:rPr>
  </w:style>
  <w:style w:type="paragraph" w:styleId="Titolo3">
    <w:name w:val="heading 3"/>
    <w:basedOn w:val="Normale"/>
    <w:next w:val="Normale"/>
    <w:link w:val="Titolo3Carattere"/>
    <w:uiPriority w:val="9"/>
    <w:semiHidden/>
    <w:unhideWhenUsed/>
    <w:qFormat/>
    <w:pPr>
      <w:keepNext/>
      <w:numPr>
        <w:ilvl w:val="2"/>
        <w:numId w:val="4"/>
      </w:numPr>
      <w:spacing w:before="240" w:after="60" w:line="240" w:lineRule="auto"/>
      <w:outlineLvl w:val="2"/>
    </w:pPr>
    <w:rPr>
      <w:rFonts w:asciiTheme="majorHAnsi" w:eastAsiaTheme="majorEastAsia" w:hAnsiTheme="majorHAnsi" w:cstheme="majorBidi"/>
      <w:b/>
      <w:bCs/>
      <w:sz w:val="26"/>
      <w:szCs w:val="26"/>
      <w:lang w:val="en-US"/>
    </w:rPr>
  </w:style>
  <w:style w:type="paragraph" w:styleId="Titolo4">
    <w:name w:val="heading 4"/>
    <w:basedOn w:val="Normale"/>
    <w:next w:val="Normale"/>
    <w:link w:val="Titolo4Carattere"/>
    <w:uiPriority w:val="9"/>
    <w:semiHidden/>
    <w:unhideWhenUsed/>
    <w:qFormat/>
    <w:pPr>
      <w:keepNext/>
      <w:numPr>
        <w:ilvl w:val="3"/>
        <w:numId w:val="4"/>
      </w:numPr>
      <w:spacing w:before="240" w:after="60" w:line="240" w:lineRule="auto"/>
      <w:outlineLvl w:val="3"/>
    </w:pPr>
    <w:rPr>
      <w:rFonts w:eastAsiaTheme="minorEastAsia"/>
      <w:b/>
      <w:bCs/>
      <w:sz w:val="28"/>
      <w:szCs w:val="28"/>
      <w:lang w:val="en-US"/>
    </w:rPr>
  </w:style>
  <w:style w:type="paragraph" w:styleId="Titolo5">
    <w:name w:val="heading 5"/>
    <w:basedOn w:val="Normale"/>
    <w:next w:val="Normale"/>
    <w:link w:val="Titolo5Carattere"/>
    <w:uiPriority w:val="9"/>
    <w:semiHidden/>
    <w:unhideWhenUsed/>
    <w:qFormat/>
    <w:pPr>
      <w:numPr>
        <w:ilvl w:val="4"/>
        <w:numId w:val="4"/>
      </w:numPr>
      <w:spacing w:before="240" w:after="60" w:line="240" w:lineRule="auto"/>
      <w:outlineLvl w:val="4"/>
    </w:pPr>
    <w:rPr>
      <w:rFonts w:eastAsiaTheme="minorEastAsia"/>
      <w:b/>
      <w:bCs/>
      <w:i/>
      <w:iCs/>
      <w:sz w:val="26"/>
      <w:szCs w:val="26"/>
      <w:lang w:val="en-US"/>
    </w:rPr>
  </w:style>
  <w:style w:type="paragraph" w:styleId="Titolo6">
    <w:name w:val="heading 6"/>
    <w:basedOn w:val="Normale"/>
    <w:next w:val="Normale"/>
    <w:link w:val="Titolo6Carattere"/>
    <w:qFormat/>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itolo7">
    <w:name w:val="heading 7"/>
    <w:basedOn w:val="Normale"/>
    <w:next w:val="Normale"/>
    <w:link w:val="Titolo7Carattere"/>
    <w:uiPriority w:val="9"/>
    <w:semiHidden/>
    <w:unhideWhenUsed/>
    <w:qFormat/>
    <w:pPr>
      <w:numPr>
        <w:ilvl w:val="6"/>
        <w:numId w:val="4"/>
      </w:numPr>
      <w:spacing w:before="240" w:after="60" w:line="240" w:lineRule="auto"/>
      <w:outlineLvl w:val="6"/>
    </w:pPr>
    <w:rPr>
      <w:rFonts w:eastAsiaTheme="minorEastAsia"/>
      <w:sz w:val="24"/>
      <w:szCs w:val="24"/>
      <w:lang w:val="en-US"/>
    </w:rPr>
  </w:style>
  <w:style w:type="paragraph" w:styleId="Titolo8">
    <w:name w:val="heading 8"/>
    <w:basedOn w:val="Normale"/>
    <w:next w:val="Normale"/>
    <w:link w:val="Titolo8Carattere"/>
    <w:uiPriority w:val="9"/>
    <w:semiHidden/>
    <w:unhideWhenUsed/>
    <w:qFormat/>
    <w:pPr>
      <w:numPr>
        <w:ilvl w:val="7"/>
        <w:numId w:val="4"/>
      </w:numPr>
      <w:spacing w:before="240" w:after="60" w:line="240" w:lineRule="auto"/>
      <w:outlineLvl w:val="7"/>
    </w:pPr>
    <w:rPr>
      <w:rFonts w:eastAsiaTheme="minorEastAsia"/>
      <w:i/>
      <w:iCs/>
      <w:sz w:val="24"/>
      <w:szCs w:val="24"/>
      <w:lang w:val="en-US"/>
    </w:rPr>
  </w:style>
  <w:style w:type="paragraph" w:styleId="Titolo9">
    <w:name w:val="heading 9"/>
    <w:basedOn w:val="Normale"/>
    <w:next w:val="Normale"/>
    <w:link w:val="Titolo9Carattere"/>
    <w:uiPriority w:val="9"/>
    <w:semiHidden/>
    <w:unhideWhenUsed/>
    <w:qFormat/>
    <w:pPr>
      <w:numPr>
        <w:ilvl w:val="8"/>
        <w:numId w:val="4"/>
      </w:numPr>
      <w:spacing w:before="240" w:after="60" w:line="240" w:lineRule="auto"/>
      <w:outlineLvl w:val="8"/>
    </w:pPr>
    <w:rPr>
      <w:rFonts w:asciiTheme="majorHAnsi" w:eastAsiaTheme="majorEastAsia" w:hAnsiTheme="majorHAnsi" w:cstheme="majorBidi"/>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pPr>
      <w:ind w:left="720"/>
      <w:contextualSpacing/>
    </w:p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Pr>
      <w:rFonts w:asciiTheme="majorHAnsi" w:eastAsiaTheme="majorEastAsia" w:hAnsiTheme="majorHAnsi" w:cstheme="majorBidi"/>
      <w:b/>
      <w:bCs/>
      <w:kern w:val="32"/>
      <w:sz w:val="32"/>
      <w:szCs w:val="32"/>
      <w:lang w:val="en-US"/>
    </w:rPr>
  </w:style>
  <w:style w:type="character" w:customStyle="1" w:styleId="Titolo2Carattere">
    <w:name w:val="Titolo 2 Carattere"/>
    <w:basedOn w:val="Carpredefinitoparagrafo"/>
    <w:link w:val="Titolo2"/>
    <w:uiPriority w:val="9"/>
    <w:semiHidden/>
    <w:rPr>
      <w:rFonts w:asciiTheme="majorHAnsi" w:eastAsiaTheme="majorEastAsia" w:hAnsiTheme="majorHAnsi" w:cstheme="majorBidi"/>
      <w:b/>
      <w:bCs/>
      <w:i/>
      <w:iCs/>
      <w:sz w:val="28"/>
      <w:szCs w:val="28"/>
      <w:lang w:val="en-US"/>
    </w:rPr>
  </w:style>
  <w:style w:type="character" w:customStyle="1" w:styleId="Titolo3Carattere">
    <w:name w:val="Titolo 3 Carattere"/>
    <w:basedOn w:val="Carpredefinitoparagrafo"/>
    <w:link w:val="Titolo3"/>
    <w:uiPriority w:val="9"/>
    <w:semiHidden/>
    <w:rPr>
      <w:rFonts w:asciiTheme="majorHAnsi" w:eastAsiaTheme="majorEastAsia" w:hAnsiTheme="majorHAnsi" w:cstheme="majorBidi"/>
      <w:b/>
      <w:bCs/>
      <w:sz w:val="26"/>
      <w:szCs w:val="26"/>
      <w:lang w:val="en-US"/>
    </w:rPr>
  </w:style>
  <w:style w:type="character" w:customStyle="1" w:styleId="Titolo4Carattere">
    <w:name w:val="Titolo 4 Carattere"/>
    <w:basedOn w:val="Carpredefinitoparagrafo"/>
    <w:link w:val="Titolo4"/>
    <w:uiPriority w:val="9"/>
    <w:semiHidden/>
    <w:rPr>
      <w:rFonts w:eastAsiaTheme="minorEastAsia"/>
      <w:b/>
      <w:bCs/>
      <w:sz w:val="28"/>
      <w:szCs w:val="28"/>
      <w:lang w:val="en-US"/>
    </w:rPr>
  </w:style>
  <w:style w:type="character" w:customStyle="1" w:styleId="Titolo5Carattere">
    <w:name w:val="Titolo 5 Carattere"/>
    <w:basedOn w:val="Carpredefinitoparagrafo"/>
    <w:link w:val="Titolo5"/>
    <w:uiPriority w:val="9"/>
    <w:semiHidden/>
    <w:rPr>
      <w:rFonts w:eastAsiaTheme="minorEastAsia"/>
      <w:b/>
      <w:bCs/>
      <w:i/>
      <w:iCs/>
      <w:sz w:val="26"/>
      <w:szCs w:val="26"/>
      <w:lang w:val="en-US"/>
    </w:rPr>
  </w:style>
  <w:style w:type="character" w:customStyle="1" w:styleId="Titolo6Carattere">
    <w:name w:val="Titolo 6 Carattere"/>
    <w:basedOn w:val="Carpredefinitoparagrafo"/>
    <w:link w:val="Titolo6"/>
    <w:rPr>
      <w:rFonts w:ascii="Times New Roman" w:eastAsia="Times New Roman" w:hAnsi="Times New Roman" w:cs="Times New Roman"/>
      <w:b/>
      <w:bCs/>
      <w:lang w:val="en-US"/>
    </w:rPr>
  </w:style>
  <w:style w:type="character" w:customStyle="1" w:styleId="Titolo7Carattere">
    <w:name w:val="Titolo 7 Carattere"/>
    <w:basedOn w:val="Carpredefinitoparagrafo"/>
    <w:link w:val="Titolo7"/>
    <w:uiPriority w:val="9"/>
    <w:semiHidden/>
    <w:rPr>
      <w:rFonts w:eastAsiaTheme="minorEastAsia"/>
      <w:sz w:val="24"/>
      <w:szCs w:val="24"/>
      <w:lang w:val="en-US"/>
    </w:rPr>
  </w:style>
  <w:style w:type="character" w:customStyle="1" w:styleId="Titolo8Carattere">
    <w:name w:val="Titolo 8 Carattere"/>
    <w:basedOn w:val="Carpredefinitoparagrafo"/>
    <w:link w:val="Titolo8"/>
    <w:uiPriority w:val="9"/>
    <w:semiHidden/>
    <w:rPr>
      <w:rFonts w:eastAsiaTheme="minorEastAsia"/>
      <w:i/>
      <w:iCs/>
      <w:sz w:val="24"/>
      <w:szCs w:val="24"/>
      <w:lang w:val="en-US"/>
    </w:rPr>
  </w:style>
  <w:style w:type="character" w:customStyle="1" w:styleId="Titolo9Carattere">
    <w:name w:val="Titolo 9 Carattere"/>
    <w:basedOn w:val="Carpredefinitoparagrafo"/>
    <w:link w:val="Titolo9"/>
    <w:uiPriority w:val="9"/>
    <w:semiHidden/>
    <w:rPr>
      <w:rFonts w:asciiTheme="majorHAnsi" w:eastAsiaTheme="majorEastAsia" w:hAnsiTheme="majorHAnsi" w:cstheme="majorBidi"/>
      <w:lang w:val="en-US"/>
    </w:rPr>
  </w:style>
  <w:style w:type="paragraph" w:styleId="Testofumetto">
    <w:name w:val="Balloon Text"/>
    <w:basedOn w:val="Normale"/>
    <w:link w:val="TestofumettoCarattere"/>
    <w:uiPriority w:val="99"/>
    <w:semiHidden/>
    <w:unhideWhenUsed/>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D5E20-2B85-4C44-B6A0-5E45E5042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