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line="360" w:lineRule="auto"/>
        <w:jc w:val="center"/>
        <w:rPr>
          <w:rFonts w:ascii="Times New Roman" w:hAnsi="Times New Roman" w:cs="Times New Roman"/>
          <w:b/>
          <w:bCs/>
          <w:u w:val="single"/>
        </w:rPr>
      </w:pPr>
      <w:r>
        <w:rPr>
          <w:rFonts w:ascii="Times New Roman" w:hAnsi="Times New Roman" w:cs="Times New Roman"/>
          <w:b/>
          <w:bCs/>
          <w:u w:val="single"/>
        </w:rPr>
        <w:t>CONTRATTO DI CESSIONE DEL CREDITO D’IMPOSTA</w:t>
      </w:r>
    </w:p>
    <w:p>
      <w:pPr>
        <w:spacing w:line="240" w:lineRule="auto"/>
        <w:contextualSpacing/>
        <w:jc w:val="center"/>
        <w:rPr>
          <w:rFonts w:ascii="Times New Roman" w:hAnsi="Times New Roman" w:cs="Times New Roman"/>
          <w:b/>
          <w:bCs/>
          <w:sz w:val="20"/>
          <w:szCs w:val="20"/>
        </w:rPr>
      </w:pPr>
      <w:r>
        <w:rPr>
          <w:rFonts w:ascii="Times New Roman" w:hAnsi="Times New Roman" w:cs="Times New Roman"/>
          <w:b/>
          <w:bCs/>
          <w:sz w:val="20"/>
          <w:szCs w:val="20"/>
        </w:rPr>
        <w:t>DECRETO RILANCIO</w:t>
      </w:r>
    </w:p>
    <w:p>
      <w:pPr>
        <w:spacing w:afterLines="100" w:after="240" w:line="240" w:lineRule="auto"/>
        <w:contextualSpacing/>
        <w:jc w:val="center"/>
        <w:rPr>
          <w:rFonts w:ascii="Times New Roman" w:hAnsi="Times New Roman" w:cs="Times New Roman"/>
          <w:b/>
          <w:bCs/>
          <w:sz w:val="18"/>
          <w:szCs w:val="18"/>
        </w:rPr>
      </w:pPr>
      <w:r>
        <w:rPr>
          <w:rFonts w:ascii="Times New Roman" w:hAnsi="Times New Roman" w:cs="Times New Roman"/>
          <w:b/>
          <w:bCs/>
          <w:sz w:val="18"/>
          <w:szCs w:val="18"/>
        </w:rPr>
        <w:t>TRA</w:t>
      </w:r>
    </w:p>
    <w:p>
      <w:pPr>
        <w:spacing w:after="100" w:line="240" w:lineRule="auto"/>
        <w:rPr>
          <w:rFonts w:ascii="Times New Roman" w:hAnsi="Times New Roman" w:cs="Times New Roman"/>
          <w:sz w:val="20"/>
          <w:szCs w:val="20"/>
        </w:rPr>
      </w:pPr>
      <w:r>
        <w:rPr>
          <w:rFonts w:ascii="Times New Roman" w:hAnsi="Times New Roman" w:cs="Times New Roman"/>
          <w:sz w:val="20"/>
          <w:szCs w:val="20"/>
        </w:rPr>
        <w:t xml:space="preserve">Denominazione impresa: </w:t>
      </w:r>
      <w:r>
        <w:rPr>
          <w:rFonts w:ascii="Times New Roman" w:hAnsi="Times New Roman" w:cs="Times New Roman"/>
          <w:b/>
          <w:sz w:val="20"/>
          <w:szCs w:val="20"/>
        </w:rPr>
        <w:t>MODULHOUSE SRL</w:t>
      </w:r>
    </w:p>
    <w:p>
      <w:pPr>
        <w:spacing w:after="100" w:line="240" w:lineRule="auto"/>
        <w:rPr>
          <w:rFonts w:ascii="Times New Roman" w:hAnsi="Times New Roman" w:cs="Times New Roman"/>
          <w:sz w:val="20"/>
          <w:szCs w:val="20"/>
        </w:rPr>
      </w:pPr>
      <w:r>
        <w:rPr>
          <w:rFonts w:ascii="Times New Roman" w:hAnsi="Times New Roman" w:cs="Times New Roman"/>
          <w:sz w:val="20"/>
          <w:szCs w:val="20"/>
        </w:rPr>
        <w:t xml:space="preserve">Indirizzo sede legale: </w:t>
      </w:r>
      <w:r>
        <w:rPr>
          <w:rFonts w:ascii="Times New Roman" w:hAnsi="Times New Roman" w:cs="Times New Roman"/>
          <w:b/>
          <w:sz w:val="20"/>
          <w:szCs w:val="20"/>
        </w:rPr>
        <w:t xml:space="preserve">VIA FALANGOLA N.10 – 81100 CASERTA (CE)</w:t>
      </w:r>
    </w:p>
    <w:p>
      <w:pPr>
        <w:spacing w:after="100" w:line="240" w:lineRule="auto"/>
        <w:rPr>
          <w:rFonts w:ascii="Times New Roman" w:hAnsi="Times New Roman" w:cs="Times New Roman"/>
        </w:rPr>
      </w:pPr>
      <w:r>
        <w:rPr>
          <w:rFonts w:ascii="Times New Roman" w:hAnsi="Times New Roman" w:cs="Times New Roman"/>
          <w:sz w:val="20"/>
          <w:szCs w:val="20"/>
        </w:rPr>
        <w:t xml:space="preserve">Codice fiscale: </w:t>
      </w:r>
      <w:r>
        <w:rPr>
          <w:rFonts w:ascii="Times New Roman" w:hAnsi="Times New Roman" w:cs="Times New Roman"/>
          <w:b/>
          <w:sz w:val="20"/>
          <w:szCs w:val="20"/>
        </w:rPr>
        <w:t>04325590612</w:t>
        <w:tab/>
        <w:tab/>
        <w:tab/>
        <w:tab/>
        <w:tab/>
        <w:tab/>
        <w:tab/>
        <w:t xml:space="preserve">       </w:t>
      </w:r>
      <w:r>
        <w:rPr>
          <w:rFonts w:ascii="Times New Roman" w:hAnsi="Times New Roman" w:cs="Times New Roman"/>
          <w:sz w:val="20"/>
          <w:szCs w:val="20"/>
        </w:rPr>
        <w:t>(di seguito “</w:t>
      </w:r>
      <w:r>
        <w:rPr>
          <w:rFonts w:ascii="Times New Roman" w:hAnsi="Times New Roman" w:cs="Times New Roman"/>
          <w:b/>
          <w:bCs/>
          <w:sz w:val="20"/>
          <w:szCs w:val="20"/>
        </w:rPr>
        <w:t>Cedente</w:t>
      </w:r>
      <w:r>
        <w:rPr>
          <w:rFonts w:ascii="Times New Roman" w:hAnsi="Times New Roman" w:cs="Times New Roman"/>
          <w:sz w:val="20"/>
          <w:szCs w:val="20"/>
        </w:rPr>
        <w:t>”)</w:t>
      </w:r>
    </w:p>
    <w:p>
      <w:pPr>
        <w:spacing w:after="100" w:line="240" w:lineRule="auto"/>
        <w:contextualSpacing/>
        <w:jc w:val="center"/>
        <w:rPr>
          <w:rFonts w:ascii="Times New Roman" w:hAnsi="Times New Roman" w:cs="Times New Roman"/>
          <w:b/>
          <w:bCs/>
          <w:sz w:val="18"/>
          <w:szCs w:val="18"/>
        </w:rPr>
      </w:pPr>
      <w:r>
        <w:rPr>
          <w:rFonts w:ascii="Times New Roman" w:hAnsi="Times New Roman" w:cs="Times New Roman"/>
          <w:b/>
          <w:bCs/>
          <w:sz w:val="18"/>
          <w:szCs w:val="18"/>
        </w:rPr>
        <w:t>E</w:t>
      </w:r>
    </w:p>
    <w:p>
      <w:pPr>
        <w:spacing w:after="100" w:line="240" w:lineRule="auto"/>
        <w:rPr>
          <w:rFonts w:ascii="Times New Roman" w:hAnsi="Times New Roman" w:cs="Times New Roman"/>
          <w:b/>
          <w:sz w:val="20"/>
          <w:szCs w:val="20"/>
        </w:rPr>
      </w:pPr>
      <w:r>
        <w:rPr>
          <w:rFonts w:ascii="Times New Roman" w:hAnsi="Times New Roman" w:cs="Times New Roman"/>
          <w:sz w:val="20"/>
          <w:szCs w:val="20"/>
        </w:rPr>
        <w:t>Denominazione impresa:</w:t>
        <w:softHyphen/>
        <w:t xml:space="preserve"> </w:t>
      </w:r>
      <w:r>
        <w:rPr>
          <w:rFonts w:ascii="Times New Roman" w:hAnsi="Times New Roman" w:cs="Times New Roman"/>
          <w:b/>
          <w:bCs/>
          <w:sz w:val="20"/>
          <w:szCs w:val="20"/>
        </w:rPr>
        <w:t xml:space="preserve">PROVALUE SRL</w:t>
      </w:r>
      <w:r>
        <w:rPr>
          <w:rFonts w:ascii="Times New Roman" w:hAnsi="Times New Roman" w:cs="Times New Roman"/>
          <w:b/>
          <w:sz w:val="20"/>
          <w:szCs w:val="20"/>
        </w:rPr>
        <w:t xml:space="preserve"> SOCIETA’ BENEFIT</w:t>
      </w:r>
    </w:p>
    <w:p>
      <w:pPr>
        <w:spacing w:after="100" w:line="240" w:lineRule="auto"/>
        <w:rPr>
          <w:rFonts w:ascii="Times New Roman" w:hAnsi="Times New Roman" w:cs="Times New Roman"/>
          <w:b/>
          <w:sz w:val="20"/>
          <w:szCs w:val="20"/>
        </w:rPr>
      </w:pPr>
      <w:r>
        <w:rPr>
          <w:rFonts w:ascii="Times New Roman" w:hAnsi="Times New Roman" w:cs="Times New Roman"/>
          <w:sz w:val="20"/>
          <w:szCs w:val="20"/>
        </w:rPr>
        <w:t xml:space="preserve">Indirizzo sede legale: </w:t>
      </w:r>
      <w:r>
        <w:rPr>
          <w:rFonts w:ascii="Times New Roman" w:hAnsi="Times New Roman" w:cs="Times New Roman"/>
          <w:b/>
          <w:bCs/>
          <w:sz w:val="20"/>
          <w:szCs w:val="20"/>
        </w:rPr>
        <w:t xml:space="preserve">VIA NICOTERA N.29</w:t>
      </w:r>
      <w:r>
        <w:rPr>
          <w:rFonts w:ascii="Times New Roman" w:hAnsi="Times New Roman" w:cs="Times New Roman"/>
          <w:b/>
          <w:sz w:val="20"/>
          <w:szCs w:val="20"/>
        </w:rPr>
        <w:t xml:space="preserve"> – 00132 ROMA (RM)</w:t>
      </w:r>
    </w:p>
    <w:p>
      <w:pPr>
        <w:spacing w:after="100" w:line="240" w:lineRule="auto"/>
        <w:jc w:val="center"/>
        <w:rPr>
          <w:rFonts w:ascii="Times New Roman" w:hAnsi="Times New Roman" w:cs="Times New Roman"/>
          <w:sz w:val="20"/>
          <w:szCs w:val="20"/>
        </w:rPr>
      </w:pPr>
      <w:r>
        <w:rPr>
          <w:rFonts w:ascii="Times New Roman" w:hAnsi="Times New Roman" w:cs="Times New Roman"/>
          <w:sz w:val="20"/>
          <w:szCs w:val="20"/>
        </w:rPr>
        <w:t xml:space="preserve">Numero P.IVA: </w:t>
      </w:r>
      <w:r>
        <w:rPr>
          <w:rFonts w:ascii="Times New Roman" w:hAnsi="Times New Roman" w:cs="Times New Roman"/>
          <w:b/>
          <w:bCs/>
          <w:sz w:val="20"/>
          <w:szCs w:val="20"/>
        </w:rPr>
        <w:t xml:space="preserve">0</w:t>
      </w:r>
      <w:r>
        <w:rPr>
          <w:rFonts w:ascii="Times New Roman" w:hAnsi="Times New Roman" w:cs="Times New Roman"/>
          <w:b/>
          <w:sz w:val="20"/>
          <w:szCs w:val="20"/>
        </w:rPr>
        <w:t xml:space="preserve">4367540616</w:t>
      </w:r>
      <w:r>
        <w:rPr>
          <w:rFonts w:ascii="Times New Roman" w:hAnsi="Times New Roman" w:cs="Times New Roman"/>
          <w:sz w:val="20"/>
          <w:szCs w:val="20"/>
        </w:rPr>
        <w:tab/>
        <w:tab/>
        <w:tab/>
        <w:tab/>
        <w:tab/>
        <w:tab/>
        <w:tab/>
        <w:t xml:space="preserve"> (di seguito “</w:t>
      </w:r>
      <w:r>
        <w:rPr>
          <w:rFonts w:ascii="Times New Roman" w:hAnsi="Times New Roman" w:cs="Times New Roman"/>
          <w:b/>
          <w:bCs/>
          <w:sz w:val="20"/>
          <w:szCs w:val="20"/>
        </w:rPr>
        <w:t>Cessionario</w:t>
      </w:r>
      <w:r>
        <w:rPr>
          <w:rFonts w:ascii="Times New Roman" w:hAnsi="Times New Roman" w:cs="Times New Roman"/>
          <w:sz w:val="20"/>
          <w:szCs w:val="20"/>
        </w:rPr>
        <w:t>”)</w:t>
      </w:r>
    </w:p>
    <w:p>
      <w:pPr>
        <w:spacing w:after="100" w:line="240" w:lineRule="auto"/>
        <w:jc w:val="center"/>
        <w:rPr>
          <w:rFonts w:ascii="Times New Roman" w:hAnsi="Times New Roman" w:cs="Times New Roman"/>
          <w:b/>
          <w:bCs/>
          <w:sz w:val="20"/>
          <w:szCs w:val="20"/>
        </w:rPr>
      </w:pPr>
      <w:r>
        <w:rPr>
          <w:rFonts w:ascii="Times New Roman" w:hAnsi="Times New Roman" w:cs="Times New Roman"/>
          <w:b/>
          <w:bCs/>
          <w:sz w:val="20"/>
          <w:szCs w:val="20"/>
        </w:rPr>
        <w:t>PREMESSO CHE</w:t>
      </w:r>
    </w:p>
    <w:p>
      <w:pPr>
        <w:pStyle w:val="Paragrafoelenco"/>
        <w:numPr>
          <w:ilvl w:val="0"/>
          <w:numId w:val="1"/>
        </w:numPr>
        <w:spacing w:after="100" w:line="360" w:lineRule="auto"/>
        <w:jc w:val="both"/>
        <w:rPr>
          <w:rFonts w:ascii="Times New Roman" w:hAnsi="Times New Roman" w:cs="Times New Roman"/>
          <w:sz w:val="20"/>
          <w:szCs w:val="20"/>
        </w:rPr>
      </w:pPr>
      <w:r>
        <w:rPr>
          <w:rFonts w:ascii="Times New Roman" w:hAnsi="Times New Roman" w:cs="Times New Roman"/>
          <w:sz w:val="20"/>
          <w:szCs w:val="20"/>
        </w:rPr>
        <w:t xml:space="preserve">il Cedente è titolare di crediti di imposta nei confronti dell'Agenzia delle entrate, maturati ai sensi della predetta normativa del D.L. 34/2020, come convertito con modificazioni dalla L.77/2020, che intende cedere;</w:t>
      </w:r>
    </w:p>
    <w:p>
      <w:pPr>
        <w:pStyle w:val="Paragrafoelenco"/>
        <w:numPr>
          <w:ilvl w:val="0"/>
          <w:numId w:val="1"/>
        </w:numPr>
        <w:spacing w:after="100" w:line="360" w:lineRule="auto"/>
        <w:jc w:val="both"/>
        <w:rPr>
          <w:rFonts w:ascii="Times New Roman" w:hAnsi="Times New Roman" w:cs="Times New Roman"/>
          <w:sz w:val="20"/>
          <w:szCs w:val="20"/>
        </w:rPr>
      </w:pPr>
      <w:r>
        <w:rPr>
          <w:rFonts w:ascii="Times New Roman" w:hAnsi="Times New Roman" w:cs="Times New Roman"/>
          <w:sz w:val="20"/>
          <w:szCs w:val="20"/>
        </w:rPr>
        <w:t xml:space="preserve">il Cessionario si è reso disponibile, entro i limiti di tempo in tempo determinati sulla base dei propri oneri fiscali, ad acquistare il credito di imposta di cui alla predetta normativa incentivante.</w:t>
      </w:r>
    </w:p>
    <w:p>
      <w:pPr>
        <w:spacing w:after="100" w:line="240" w:lineRule="auto"/>
        <w:ind w:left="708"/>
        <w:jc w:val="center"/>
        <w:rPr>
          <w:rFonts w:ascii="Times New Roman" w:hAnsi="Times New Roman" w:cs="Times New Roman"/>
          <w:b/>
          <w:bCs/>
          <w:sz w:val="20"/>
          <w:szCs w:val="20"/>
        </w:rPr>
      </w:pPr>
      <w:r>
        <w:rPr>
          <w:rFonts w:ascii="Times New Roman" w:hAnsi="Times New Roman" w:cs="Times New Roman"/>
          <w:b/>
          <w:bCs/>
          <w:sz w:val="20"/>
          <w:szCs w:val="20"/>
        </w:rPr>
        <w:t xml:space="preserve">TUTTO CIO’ PREMESSO, LE PARTI CONVENGONO E STIPULANO QUANTO SEGUE</w:t>
      </w:r>
    </w:p>
    <w:p>
      <w:pPr>
        <w:pStyle w:val="Paragrafoelenco"/>
        <w:keepNext/>
        <w:numPr>
          <w:ilvl w:val="0"/>
          <w:numId w:val="2"/>
        </w:numPr>
        <w:spacing w:after="100" w:line="240" w:lineRule="auto"/>
        <w:rPr>
          <w:rFonts w:ascii="Times New Roman" w:hAnsi="Times New Roman" w:cs="Times New Roman"/>
          <w:b/>
          <w:bCs/>
          <w:sz w:val="20"/>
          <w:szCs w:val="20"/>
        </w:rPr>
      </w:pPr>
      <w:r>
        <w:rPr>
          <w:rFonts w:ascii="Times New Roman" w:hAnsi="Times New Roman" w:cs="Times New Roman"/>
          <w:b/>
          <w:bCs/>
          <w:sz w:val="20"/>
          <w:szCs w:val="20"/>
        </w:rPr>
        <w:t>OGGETTO</w:t>
      </w:r>
    </w:p>
    <w:p>
      <w:pPr>
        <w:spacing w:after="100" w:line="360" w:lineRule="auto"/>
        <w:ind w:firstLine="708"/>
        <w:jc w:val="both"/>
        <w:rPr>
          <w:rFonts w:ascii="Times New Roman" w:hAnsi="Times New Roman" w:cs="Times New Roman"/>
          <w:sz w:val="20"/>
          <w:szCs w:val="20"/>
        </w:rPr>
      </w:pPr>
      <w:r>
        <w:rPr>
          <w:rFonts w:ascii="Times New Roman" w:hAnsi="Times New Roman" w:cs="Times New Roman"/>
          <w:sz w:val="20"/>
          <w:szCs w:val="20"/>
        </w:rPr>
        <w:t xml:space="preserve">Il Cedente con il presente contratto cede il Credito d'Imposta appresso riportato al Cessionario, che accetta. </w:t>
      </w:r>
    </w:p>
    <w:tbl>
      <w:tblPr>
        <w:tblW w:w="5254" w:type="pct"/>
        <w:tblCellMar>
          <w:left w:w="70" w:type="dxa"/>
          <w:right w:w="70" w:type="dxa"/>
        </w:tblCellMar>
        <w:tblLook w:val="04A0" w:firstRow="1" w:lastRow="0" w:firstColumn="1" w:lastColumn="0" w:noHBand="0" w:noVBand="1"/>
      </w:tblPr>
      <w:tblGrid>
        <w:gridCol w:w="1054"/>
        <w:gridCol w:w="761"/>
        <w:gridCol w:w="1895"/>
        <w:gridCol w:w="2248"/>
        <w:gridCol w:w="826"/>
        <w:gridCol w:w="2880"/>
        <w:gridCol w:w="146"/>
      </w:tblGrid>
      <w:tr>
        <w:trPr>
          <w:gridAfter w:val="1"/>
          <w:trHeight w:val="432"/>
        </w:trPr>
        <w:tc>
          <w:tcPr>
            <w:tcW w:w="5000" w:type="pct"/>
            <w:gridSpan w:val="6"/>
            <w:tcBorders>
              <w:top w:val="single" w:sz="8" w:space="0" w:color="auto"/>
              <w:left w:val="single" w:sz="8" w:space="0" w:color="auto"/>
              <w:bottom w:val="single" w:sz="8" w:space="0" w:color="auto"/>
              <w:right w:val="single" w:sz="8" w:space="0" w:color="000000"/>
            </w:tcBorders>
            <w:shd w:val="clear" w:color="auto" w:fill="F2F2F2"/>
            <w:vAlign w:val="center"/>
            <w:hideMark/>
          </w:tcPr>
          <w:p>
            <w:pPr>
              <w:spacing w:line="220" w:lineRule="exact"/>
              <w:jc w:val="center"/>
              <w:rPr>
                <w:rFonts w:ascii="Calibri" w:hAnsi="Calibri"/>
                <w:b/>
                <w:color w:val="000000"/>
                <w:lang w:eastAsia="it-IT"/>
              </w:rPr>
            </w:pPr>
            <w:r>
              <w:rPr>
                <w:rFonts w:ascii="Calibri" w:hAnsi="Calibri"/>
                <w:b/>
                <w:color w:val="000000"/>
                <w:lang w:eastAsia="it-IT"/>
              </w:rPr>
              <w:t>CREDITI CEDUTI</w:t>
              <w:br/>
              <w:t>SCONTO SUPERBONUS 110 ART. 119 DL 34-2020</w:t>
            </w:r>
          </w:p>
        </w:tc>
      </w:tr>
      <w:tr>
        <w:trPr>
          <w:gridAfter w:val="1"/>
          <w:trHeight w:hRule="exact" w:val="340"/>
        </w:trPr>
        <w:tc>
          <w:tcPr>
            <w:tcW w:w="545" w:type="pct"/>
            <w:vMerge w:val="restart"/>
            <w:tcBorders>
              <w:top w:val="nil"/>
              <w:left w:val="single" w:sz="8" w:space="0" w:color="auto"/>
              <w:bottom w:val="single" w:sz="8" w:space="0" w:color="000000"/>
              <w:right w:val="single" w:sz="8" w:space="0" w:color="auto"/>
            </w:tcBorders>
            <w:vAlign w:val="center"/>
            <w:hideMark/>
          </w:tcPr>
          <w:p>
            <w:pPr>
              <w:jc w:val="center"/>
              <w:rPr>
                <w:rFonts w:ascii="Calibri" w:hAnsi="Calibri"/>
                <w:b/>
                <w:bCs/>
                <w:color w:val="000000"/>
                <w:sz w:val="18"/>
                <w:szCs w:val="18"/>
                <w:lang w:eastAsia="it-IT"/>
              </w:rPr>
            </w:pPr>
            <w:r>
              <w:rPr>
                <w:rFonts w:ascii="Calibri" w:hAnsi="Calibri"/>
                <w:b/>
                <w:bCs/>
                <w:color w:val="000000"/>
                <w:sz w:val="18"/>
                <w:szCs w:val="18"/>
                <w:lang w:eastAsia="it-IT"/>
              </w:rPr>
              <w:t>Anno di riferimento</w:t>
            </w:r>
          </w:p>
        </w:tc>
        <w:tc>
          <w:tcPr>
            <w:tcW w:w="394" w:type="pct"/>
            <w:vMerge w:val="restart"/>
            <w:tcBorders>
              <w:top w:val="nil"/>
              <w:left w:val="single" w:sz="8" w:space="0" w:color="auto"/>
              <w:bottom w:val="single" w:sz="8" w:space="0" w:color="000000"/>
              <w:right w:val="single" w:sz="8" w:space="0" w:color="auto"/>
            </w:tcBorders>
            <w:vAlign w:val="center"/>
            <w:hideMark/>
          </w:tcPr>
          <w:p>
            <w:pPr>
              <w:jc w:val="center"/>
              <w:rPr>
                <w:rFonts w:ascii="Calibri" w:hAnsi="Calibri"/>
                <w:b/>
                <w:bCs/>
                <w:color w:val="000000"/>
                <w:sz w:val="18"/>
                <w:szCs w:val="18"/>
                <w:lang w:eastAsia="it-IT"/>
              </w:rPr>
            </w:pPr>
            <w:r>
              <w:rPr>
                <w:rFonts w:ascii="Calibri" w:hAnsi="Calibri"/>
                <w:b/>
                <w:bCs/>
                <w:color w:val="000000"/>
                <w:sz w:val="18"/>
                <w:szCs w:val="18"/>
                <w:lang w:eastAsia="it-IT"/>
              </w:rPr>
              <w:t>Codice tributo</w:t>
            </w:r>
          </w:p>
        </w:tc>
        <w:tc>
          <w:tcPr>
            <w:tcW w:w="981" w:type="pct"/>
            <w:vMerge w:val="restart"/>
            <w:tcBorders>
              <w:top w:val="nil"/>
              <w:left w:val="single" w:sz="8" w:space="0" w:color="auto"/>
              <w:bottom w:val="single" w:sz="8" w:space="0" w:color="000000"/>
              <w:right w:val="single" w:sz="8" w:space="0" w:color="auto"/>
            </w:tcBorders>
            <w:vAlign w:val="center"/>
            <w:hideMark/>
          </w:tcPr>
          <w:p>
            <w:pPr>
              <w:jc w:val="center"/>
              <w:rPr>
                <w:rFonts w:ascii="Calibri" w:hAnsi="Calibri"/>
                <w:b/>
                <w:bCs/>
                <w:color w:val="000000"/>
                <w:sz w:val="18"/>
                <w:szCs w:val="18"/>
                <w:lang w:eastAsia="it-IT"/>
              </w:rPr>
            </w:pPr>
            <w:r>
              <w:rPr>
                <w:rFonts w:ascii="Calibri" w:hAnsi="Calibri"/>
                <w:b/>
                <w:bCs/>
                <w:color w:val="000000"/>
                <w:sz w:val="18"/>
                <w:szCs w:val="18"/>
                <w:lang w:eastAsia="it-IT"/>
              </w:rPr>
              <w:t>C.F. cedente</w:t>
            </w:r>
          </w:p>
        </w:tc>
        <w:tc>
          <w:tcPr>
            <w:tcW w:w="1163" w:type="pct"/>
            <w:vMerge w:val="restart"/>
            <w:tcBorders>
              <w:top w:val="nil"/>
              <w:left w:val="single" w:sz="8" w:space="0" w:color="auto"/>
              <w:bottom w:val="single" w:sz="8" w:space="0" w:color="000000"/>
              <w:right w:val="single" w:sz="8" w:space="0" w:color="auto"/>
            </w:tcBorders>
            <w:vAlign w:val="center"/>
            <w:hideMark/>
          </w:tcPr>
          <w:p>
            <w:pPr>
              <w:jc w:val="center"/>
              <w:rPr>
                <w:rFonts w:ascii="Calibri" w:hAnsi="Calibri"/>
                <w:b/>
                <w:bCs/>
                <w:color w:val="000000"/>
                <w:sz w:val="18"/>
                <w:szCs w:val="18"/>
                <w:lang w:eastAsia="it-IT"/>
              </w:rPr>
            </w:pPr>
            <w:r>
              <w:rPr>
                <w:rFonts w:ascii="Calibri" w:hAnsi="Calibri"/>
                <w:b/>
                <w:bCs/>
                <w:color w:val="000000"/>
                <w:sz w:val="18"/>
                <w:szCs w:val="18"/>
                <w:lang w:eastAsia="it-IT"/>
              </w:rPr>
              <w:t>Nominativo cedente</w:t>
            </w:r>
          </w:p>
        </w:tc>
        <w:tc>
          <w:tcPr>
            <w:tcW w:w="427" w:type="pct"/>
            <w:vMerge w:val="restart"/>
            <w:tcBorders>
              <w:top w:val="nil"/>
              <w:left w:val="single" w:sz="8" w:space="0" w:color="auto"/>
              <w:bottom w:val="single" w:sz="8" w:space="0" w:color="000000"/>
              <w:right w:val="single" w:sz="8" w:space="0" w:color="auto"/>
            </w:tcBorders>
            <w:vAlign w:val="center"/>
            <w:hideMark/>
          </w:tcPr>
          <w:p>
            <w:pPr>
              <w:ind w:left="-68" w:right="-27"/>
              <w:jc w:val="center"/>
              <w:rPr>
                <w:rFonts w:ascii="Calibri" w:hAnsi="Calibri"/>
                <w:b/>
                <w:bCs/>
                <w:color w:val="000000"/>
                <w:sz w:val="18"/>
                <w:szCs w:val="18"/>
                <w:lang w:eastAsia="it-IT"/>
              </w:rPr>
            </w:pPr>
            <w:r>
              <w:rPr>
                <w:rFonts w:ascii="Calibri" w:hAnsi="Calibri"/>
                <w:b/>
                <w:bCs/>
                <w:color w:val="000000"/>
                <w:sz w:val="18"/>
                <w:szCs w:val="18"/>
                <w:lang w:eastAsia="it-IT"/>
              </w:rPr>
              <w:t>Importo             (in Euro)</w:t>
            </w:r>
          </w:p>
        </w:tc>
        <w:tc>
          <w:tcPr>
            <w:tcW w:w="1490" w:type="pct"/>
            <w:vMerge w:val="restart"/>
            <w:tcBorders>
              <w:top w:val="nil"/>
              <w:left w:val="single" w:sz="8" w:space="0" w:color="auto"/>
              <w:bottom w:val="single" w:sz="8" w:space="0" w:color="000000"/>
              <w:right w:val="single" w:sz="8" w:space="0" w:color="auto"/>
            </w:tcBorders>
            <w:vAlign w:val="center"/>
            <w:hideMark/>
          </w:tcPr>
          <w:p>
            <w:pPr>
              <w:jc w:val="center"/>
              <w:rPr>
                <w:rFonts w:ascii="Calibri" w:hAnsi="Calibri"/>
                <w:b/>
                <w:bCs/>
                <w:color w:val="000000"/>
                <w:sz w:val="18"/>
                <w:szCs w:val="18"/>
                <w:lang w:eastAsia="it-IT"/>
              </w:rPr>
            </w:pPr>
            <w:r>
              <w:rPr>
                <w:rFonts w:ascii="Calibri" w:hAnsi="Calibri"/>
                <w:b/>
                <w:bCs/>
                <w:color w:val="000000"/>
                <w:sz w:val="18"/>
                <w:szCs w:val="18"/>
                <w:lang w:eastAsia="it-IT"/>
              </w:rPr>
              <w:t>Codice identificativo univoco</w:t>
            </w:r>
          </w:p>
        </w:tc>
      </w:tr>
      <w:tr>
        <w:trPr>
          <w:trHeight w:val="450"/>
        </w:trPr>
        <w:tc>
          <w:tcPr>
            <w:tcW w:w="0" w:type="auto"/>
            <w:vMerge/>
            <w:tcBorders>
              <w:top w:val="nil"/>
              <w:left w:val="single" w:sz="8" w:space="0" w:color="auto"/>
              <w:bottom w:val="single" w:sz="8" w:space="0" w:color="000000"/>
              <w:right w:val="single" w:sz="8" w:space="0" w:color="auto"/>
            </w:tcBorders>
            <w:vAlign w:val="center"/>
            <w:hideMark/>
          </w:tcPr>
          <w:p>
            <w:pPr>
              <w:spacing w:after="0"/>
              <w:rPr>
                <w:rFonts w:ascii="Calibri" w:hAnsi="Calibri"/>
                <w:b/>
                <w:bCs/>
                <w:color w:val="000000"/>
                <w:sz w:val="18"/>
                <w:szCs w:val="18"/>
                <w:lang w:eastAsia="it-IT"/>
              </w:rPr>
            </w:pPr>
          </w:p>
        </w:tc>
        <w:tc>
          <w:tcPr>
            <w:tcW w:w="0" w:type="auto"/>
            <w:vMerge/>
            <w:tcBorders>
              <w:top w:val="nil"/>
              <w:left w:val="single" w:sz="8" w:space="0" w:color="auto"/>
              <w:bottom w:val="single" w:sz="8" w:space="0" w:color="000000"/>
              <w:right w:val="single" w:sz="8" w:space="0" w:color="auto"/>
            </w:tcBorders>
            <w:vAlign w:val="center"/>
            <w:hideMark/>
          </w:tcPr>
          <w:p>
            <w:pPr>
              <w:spacing w:after="0"/>
              <w:rPr>
                <w:rFonts w:ascii="Calibri" w:hAnsi="Calibri"/>
                <w:b/>
                <w:bCs/>
                <w:color w:val="000000"/>
                <w:sz w:val="18"/>
                <w:szCs w:val="18"/>
                <w:lang w:eastAsia="it-IT"/>
              </w:rPr>
            </w:pPr>
          </w:p>
        </w:tc>
        <w:tc>
          <w:tcPr>
            <w:tcW w:w="0" w:type="auto"/>
            <w:vMerge/>
            <w:tcBorders>
              <w:top w:val="nil"/>
              <w:left w:val="single" w:sz="8" w:space="0" w:color="auto"/>
              <w:bottom w:val="single" w:sz="8" w:space="0" w:color="000000"/>
              <w:right w:val="single" w:sz="8" w:space="0" w:color="auto"/>
            </w:tcBorders>
            <w:vAlign w:val="center"/>
            <w:hideMark/>
          </w:tcPr>
          <w:p>
            <w:pPr>
              <w:spacing w:after="0"/>
              <w:rPr>
                <w:rFonts w:ascii="Calibri" w:hAnsi="Calibri"/>
                <w:b/>
                <w:bCs/>
                <w:color w:val="000000"/>
                <w:sz w:val="18"/>
                <w:szCs w:val="18"/>
                <w:lang w:eastAsia="it-IT"/>
              </w:rPr>
            </w:pPr>
          </w:p>
        </w:tc>
        <w:tc>
          <w:tcPr>
            <w:tcW w:w="0" w:type="auto"/>
            <w:vMerge/>
            <w:tcBorders>
              <w:top w:val="nil"/>
              <w:left w:val="single" w:sz="8" w:space="0" w:color="auto"/>
              <w:bottom w:val="single" w:sz="8" w:space="0" w:color="000000"/>
              <w:right w:val="single" w:sz="8" w:space="0" w:color="auto"/>
            </w:tcBorders>
            <w:vAlign w:val="center"/>
            <w:hideMark/>
          </w:tcPr>
          <w:p>
            <w:pPr>
              <w:spacing w:after="0"/>
              <w:rPr>
                <w:rFonts w:ascii="Calibri" w:hAnsi="Calibri"/>
                <w:b/>
                <w:bCs/>
                <w:color w:val="000000"/>
                <w:sz w:val="18"/>
                <w:szCs w:val="18"/>
                <w:lang w:eastAsia="it-IT"/>
              </w:rPr>
            </w:pPr>
          </w:p>
        </w:tc>
        <w:tc>
          <w:tcPr>
            <w:tcW w:w="0" w:type="auto"/>
            <w:vMerge/>
            <w:tcBorders>
              <w:top w:val="nil"/>
              <w:left w:val="single" w:sz="8" w:space="0" w:color="auto"/>
              <w:bottom w:val="single" w:sz="8" w:space="0" w:color="000000"/>
              <w:right w:val="single" w:sz="8" w:space="0" w:color="auto"/>
            </w:tcBorders>
            <w:vAlign w:val="center"/>
            <w:hideMark/>
          </w:tcPr>
          <w:p>
            <w:pPr>
              <w:spacing w:after="0"/>
              <w:rPr>
                <w:rFonts w:ascii="Calibri" w:hAnsi="Calibri"/>
                <w:b/>
                <w:bCs/>
                <w:color w:val="000000"/>
                <w:sz w:val="18"/>
                <w:szCs w:val="18"/>
                <w:lang w:eastAsia="it-IT"/>
              </w:rPr>
            </w:pPr>
          </w:p>
        </w:tc>
        <w:tc>
          <w:tcPr>
            <w:tcW w:w="0" w:type="auto"/>
            <w:vMerge/>
            <w:tcBorders>
              <w:top w:val="nil"/>
              <w:left w:val="single" w:sz="8" w:space="0" w:color="auto"/>
              <w:bottom w:val="single" w:sz="8" w:space="0" w:color="000000"/>
              <w:right w:val="single" w:sz="8" w:space="0" w:color="auto"/>
            </w:tcBorders>
            <w:vAlign w:val="center"/>
            <w:hideMark/>
          </w:tcPr>
          <w:p>
            <w:pPr>
              <w:spacing w:after="0"/>
              <w:rPr>
                <w:rFonts w:ascii="Calibri" w:hAnsi="Calibri"/>
                <w:b/>
                <w:bCs/>
                <w:color w:val="000000"/>
                <w:sz w:val="18"/>
                <w:szCs w:val="18"/>
                <w:lang w:eastAsia="it-IT"/>
              </w:rPr>
            </w:pPr>
          </w:p>
        </w:tc>
        <w:tc>
          <w:tcPr>
            <w:tcW w:w="0" w:type="auto"/>
            <w:vAlign w:val="center"/>
            <w:hideMark/>
          </w:tcPr>
          <w:p>
            <w:pPr>
              <w:rPr>
                <w:rFonts w:ascii="Calibri" w:hAnsi="Calibri"/>
                <w:b/>
                <w:bCs/>
                <w:color w:val="000000"/>
                <w:sz w:val="18"/>
                <w:szCs w:val="18"/>
                <w:lang w:eastAsia="it-IT"/>
              </w:rPr>
            </w:pPr>
          </w:p>
        </w:tc>
      </w:tr>
      <w:tr>
        <w:trPr>
          <w:trHeight w:hRule="exact" w:val="312"/>
        </w:trPr>
        <w:tc>
          <w:tcPr>
            <w:tcW w:w="545" w:type="pct"/>
            <w:tcBorders>
              <w:top w:val="nil"/>
              <w:left w:val="single" w:sz="8" w:space="0" w:color="auto"/>
              <w:bottom w:val="single" w:sz="8" w:space="0" w:color="auto"/>
              <w:right w:val="single" w:sz="8" w:space="0" w:color="auto"/>
            </w:tcBorders>
            <w:vAlign w:val="center"/>
            <w:hideMark/>
          </w:tcPr>
          <w:p>
            <w:pPr>
              <w:jc w:val="center"/>
              <w:rPr>
                <w:color w:val="000000"/>
                <w:sz w:val="16"/>
                <w:szCs w:val="16"/>
                <w:lang w:eastAsia="it-IT"/>
              </w:rPr>
            </w:pPr>
            <w:r>
              <w:rPr>
                <w:color w:val="000000"/>
                <w:sz w:val="16"/>
                <w:szCs w:val="16"/>
                <w:lang w:eastAsia="it-IT"/>
              </w:rPr>
              <w:t>2026</w:t>
            </w:r>
          </w:p>
        </w:tc>
        <w:tc>
          <w:tcPr>
            <w:tcW w:w="394" w:type="pct"/>
            <w:tcBorders>
              <w:top w:val="nil"/>
              <w:left w:val="nil"/>
              <w:bottom w:val="single" w:sz="8" w:space="0" w:color="auto"/>
              <w:right w:val="single" w:sz="8" w:space="0" w:color="auto"/>
            </w:tcBorders>
            <w:vAlign w:val="center"/>
            <w:hideMark/>
          </w:tcPr>
          <w:p>
            <w:pPr>
              <w:jc w:val="center"/>
              <w:rPr>
                <w:color w:val="000000"/>
                <w:sz w:val="16"/>
                <w:szCs w:val="16"/>
                <w:lang w:eastAsia="it-IT"/>
              </w:rPr>
            </w:pPr>
            <w:r>
              <w:rPr>
                <w:color w:val="000000"/>
                <w:sz w:val="16"/>
                <w:szCs w:val="16"/>
                <w:lang w:eastAsia="it-IT"/>
              </w:rPr>
              <w:t>7719</w:t>
            </w:r>
          </w:p>
        </w:tc>
        <w:tc>
          <w:tcPr>
            <w:tcW w:w="981" w:type="pct"/>
            <w:tcBorders>
              <w:top w:val="nil"/>
              <w:left w:val="nil"/>
              <w:bottom w:val="single" w:sz="8" w:space="0" w:color="auto"/>
              <w:right w:val="single" w:sz="8" w:space="0" w:color="auto"/>
            </w:tcBorders>
            <w:vAlign w:val="center"/>
            <w:hideMark/>
          </w:tcPr>
          <w:p>
            <w:pPr>
              <w:jc w:val="center"/>
              <w:rPr>
                <w:color w:val="000000"/>
                <w:sz w:val="16"/>
                <w:szCs w:val="16"/>
                <w:lang w:eastAsia="it-IT"/>
              </w:rPr>
            </w:pPr>
            <w:r>
              <w:rPr>
                <w:color w:val="000000"/>
                <w:sz w:val="16"/>
                <w:szCs w:val="16"/>
                <w:lang w:eastAsia="it-IT"/>
              </w:rPr>
              <w:t>04325590612</w:t>
            </w:r>
          </w:p>
        </w:tc>
        <w:tc>
          <w:tcPr>
            <w:tcW w:w="1163" w:type="pct"/>
            <w:tcBorders>
              <w:top w:val="nil"/>
              <w:left w:val="nil"/>
              <w:bottom w:val="single" w:sz="8" w:space="0" w:color="auto"/>
              <w:right w:val="single" w:sz="8" w:space="0" w:color="auto"/>
            </w:tcBorders>
            <w:vAlign w:val="center"/>
            <w:hideMark/>
          </w:tcPr>
          <w:p>
            <w:pPr>
              <w:jc w:val="center"/>
              <w:rPr>
                <w:color w:val="000000"/>
                <w:sz w:val="16"/>
                <w:szCs w:val="16"/>
                <w:lang w:eastAsia="it-IT"/>
              </w:rPr>
            </w:pPr>
            <w:r>
              <w:rPr>
                <w:color w:val="000000"/>
                <w:sz w:val="16"/>
                <w:szCs w:val="16"/>
                <w:lang w:eastAsia="it-IT"/>
              </w:rPr>
              <w:t>MODULHOUSE SRL</w:t>
            </w:r>
          </w:p>
        </w:tc>
        <w:tc>
          <w:tcPr>
            <w:tcW w:w="427" w:type="pct"/>
            <w:tcBorders>
              <w:top w:val="nil"/>
              <w:left w:val="nil"/>
              <w:bottom w:val="single" w:sz="8" w:space="0" w:color="auto"/>
              <w:right w:val="single" w:sz="8" w:space="0" w:color="auto"/>
            </w:tcBorders>
            <w:vAlign w:val="center"/>
            <w:hideMark/>
          </w:tcPr>
          <w:p>
            <w:pPr>
              <w:jc w:val="center"/>
              <w:rPr>
                <w:color w:val="000000"/>
                <w:sz w:val="16"/>
                <w:szCs w:val="16"/>
                <w:lang w:eastAsia="it-IT"/>
              </w:rPr>
            </w:pPr>
            <w:r>
              <w:rPr>
                <w:color w:val="000000"/>
                <w:sz w:val="16"/>
                <w:szCs w:val="16"/>
                <w:lang w:eastAsia="it-IT"/>
              </w:rPr>
              <w:t>638,50</w:t>
            </w:r>
          </w:p>
        </w:tc>
        <w:tc>
          <w:tcPr>
            <w:tcW w:w="1490" w:type="pct"/>
            <w:tcBorders>
              <w:top w:val="nil"/>
              <w:left w:val="nil"/>
              <w:bottom w:val="single" w:sz="8" w:space="0" w:color="auto"/>
              <w:right w:val="single" w:sz="8" w:space="0" w:color="auto"/>
            </w:tcBorders>
            <w:vAlign w:val="center"/>
            <w:hideMark/>
          </w:tcPr>
          <w:p>
            <w:pPr>
              <w:jc w:val="center"/>
              <w:rPr>
                <w:color w:val="000000"/>
                <w:sz w:val="16"/>
                <w:szCs w:val="16"/>
                <w:lang w:eastAsia="it-IT"/>
              </w:rPr>
            </w:pPr>
            <w:r>
              <w:rPr>
                <w:color w:val="000000"/>
                <w:sz w:val="16"/>
                <w:szCs w:val="16"/>
                <w:lang w:eastAsia="it-IT"/>
              </w:rPr>
              <w:t>250216130917196900000001-000002</w:t>
            </w:r>
          </w:p>
        </w:tc>
        <w:tc>
          <w:tcPr>
            <w:tcW w:w="0" w:type="auto"/>
            <w:vAlign w:val="center"/>
            <w:hideMark/>
          </w:tcPr>
          <w:p>
            <w:pPr>
              <w:spacing w:after="0"/>
              <w:rPr>
                <w:sz w:val="20"/>
                <w:szCs w:val="20"/>
                <w:lang w:eastAsia="it-IT"/>
              </w:rPr>
            </w:pPr>
          </w:p>
        </w:tc>
      </w:tr>
      <w:tr>
        <w:trPr>
          <w:trHeight w:hRule="exact" w:val="312"/>
        </w:trPr>
        <w:tc>
          <w:tcPr>
            <w:tcW w:w="545" w:type="pct"/>
            <w:tcBorders>
              <w:top w:val="nil"/>
              <w:left w:val="single" w:sz="8" w:space="0" w:color="auto"/>
              <w:bottom w:val="single" w:sz="8" w:space="0" w:color="auto"/>
              <w:right w:val="single" w:sz="8" w:space="0" w:color="auto"/>
            </w:tcBorders>
            <w:vAlign w:val="center"/>
            <w:hideMark/>
          </w:tcPr>
          <w:p>
            <w:pPr>
              <w:jc w:val="center"/>
              <w:rPr>
                <w:color w:val="000000"/>
                <w:sz w:val="16"/>
                <w:szCs w:val="16"/>
                <w:lang w:eastAsia="it-IT"/>
              </w:rPr>
            </w:pPr>
            <w:r>
              <w:rPr>
                <w:color w:val="000000"/>
                <w:sz w:val="16"/>
                <w:szCs w:val="16"/>
                <w:lang w:eastAsia="it-IT"/>
              </w:rPr>
              <w:t>2027</w:t>
            </w:r>
          </w:p>
        </w:tc>
        <w:tc>
          <w:tcPr>
            <w:tcW w:w="394" w:type="pct"/>
            <w:tcBorders>
              <w:top w:val="nil"/>
              <w:left w:val="nil"/>
              <w:bottom w:val="single" w:sz="8" w:space="0" w:color="auto"/>
              <w:right w:val="single" w:sz="8" w:space="0" w:color="auto"/>
            </w:tcBorders>
            <w:vAlign w:val="center"/>
            <w:hideMark/>
          </w:tcPr>
          <w:p>
            <w:pPr>
              <w:jc w:val="center"/>
              <w:rPr>
                <w:color w:val="000000"/>
                <w:sz w:val="16"/>
                <w:szCs w:val="16"/>
                <w:lang w:eastAsia="it-IT"/>
              </w:rPr>
            </w:pPr>
            <w:r>
              <w:rPr>
                <w:color w:val="000000"/>
                <w:sz w:val="16"/>
                <w:szCs w:val="16"/>
                <w:lang w:eastAsia="it-IT"/>
              </w:rPr>
              <w:t>7719</w:t>
            </w:r>
          </w:p>
        </w:tc>
        <w:tc>
          <w:tcPr>
            <w:tcW w:w="981" w:type="pct"/>
            <w:tcBorders>
              <w:top w:val="nil"/>
              <w:left w:val="nil"/>
              <w:bottom w:val="single" w:sz="8" w:space="0" w:color="auto"/>
              <w:right w:val="single" w:sz="8" w:space="0" w:color="auto"/>
            </w:tcBorders>
            <w:vAlign w:val="center"/>
            <w:hideMark/>
          </w:tcPr>
          <w:p>
            <w:pPr>
              <w:jc w:val="center"/>
              <w:rPr>
                <w:color w:val="000000"/>
                <w:sz w:val="16"/>
                <w:szCs w:val="16"/>
                <w:lang w:eastAsia="it-IT"/>
              </w:rPr>
            </w:pPr>
            <w:r>
              <w:rPr>
                <w:color w:val="000000"/>
                <w:sz w:val="16"/>
                <w:szCs w:val="16"/>
                <w:lang w:eastAsia="it-IT"/>
              </w:rPr>
              <w:t>04325590612</w:t>
            </w:r>
          </w:p>
        </w:tc>
        <w:tc>
          <w:tcPr>
            <w:tcW w:w="1163" w:type="pct"/>
            <w:tcBorders>
              <w:top w:val="nil"/>
              <w:left w:val="nil"/>
              <w:bottom w:val="single" w:sz="8" w:space="0" w:color="auto"/>
              <w:right w:val="single" w:sz="8" w:space="0" w:color="auto"/>
            </w:tcBorders>
            <w:vAlign w:val="center"/>
            <w:hideMark/>
          </w:tcPr>
          <w:p>
            <w:pPr>
              <w:jc w:val="center"/>
              <w:rPr>
                <w:color w:val="000000"/>
                <w:sz w:val="16"/>
                <w:szCs w:val="16"/>
                <w:lang w:eastAsia="it-IT"/>
              </w:rPr>
            </w:pPr>
            <w:r>
              <w:rPr>
                <w:color w:val="000000"/>
                <w:sz w:val="16"/>
                <w:szCs w:val="16"/>
                <w:lang w:eastAsia="it-IT"/>
              </w:rPr>
              <w:t>MODULHOUSE SRL</w:t>
            </w:r>
          </w:p>
        </w:tc>
        <w:tc>
          <w:tcPr>
            <w:tcW w:w="427" w:type="pct"/>
            <w:tcBorders>
              <w:top w:val="nil"/>
              <w:left w:val="nil"/>
              <w:bottom w:val="single" w:sz="8" w:space="0" w:color="auto"/>
              <w:right w:val="single" w:sz="8" w:space="0" w:color="auto"/>
            </w:tcBorders>
            <w:vAlign w:val="center"/>
            <w:hideMark/>
          </w:tcPr>
          <w:p>
            <w:pPr>
              <w:jc w:val="center"/>
              <w:rPr>
                <w:color w:val="000000"/>
                <w:sz w:val="16"/>
                <w:szCs w:val="16"/>
                <w:lang w:eastAsia="it-IT"/>
              </w:rPr>
            </w:pPr>
            <w:r>
              <w:rPr>
                <w:color w:val="000000"/>
                <w:sz w:val="16"/>
                <w:szCs w:val="16"/>
                <w:lang w:eastAsia="it-IT"/>
              </w:rPr>
              <w:t>638,50</w:t>
            </w:r>
          </w:p>
        </w:tc>
        <w:tc>
          <w:tcPr>
            <w:tcW w:w="1490" w:type="pct"/>
            <w:tcBorders>
              <w:top w:val="nil"/>
              <w:left w:val="nil"/>
              <w:bottom w:val="single" w:sz="8" w:space="0" w:color="auto"/>
              <w:right w:val="single" w:sz="8" w:space="0" w:color="auto"/>
            </w:tcBorders>
            <w:vAlign w:val="center"/>
            <w:hideMark/>
          </w:tcPr>
          <w:p>
            <w:pPr>
              <w:jc w:val="center"/>
              <w:rPr>
                <w:color w:val="000000"/>
                <w:sz w:val="16"/>
                <w:szCs w:val="16"/>
                <w:lang w:eastAsia="it-IT"/>
              </w:rPr>
            </w:pPr>
            <w:r>
              <w:rPr>
                <w:color w:val="000000"/>
                <w:sz w:val="16"/>
                <w:szCs w:val="16"/>
                <w:lang w:eastAsia="it-IT"/>
              </w:rPr>
              <w:t>250216130917196900000001-000003</w:t>
            </w:r>
          </w:p>
        </w:tc>
        <w:tc>
          <w:tcPr>
            <w:tcW w:w="0" w:type="auto"/>
            <w:vAlign w:val="center"/>
            <w:hideMark/>
          </w:tcPr>
          <w:p>
            <w:pPr>
              <w:spacing w:after="0"/>
              <w:rPr>
                <w:sz w:val="20"/>
                <w:szCs w:val="20"/>
                <w:lang w:eastAsia="it-IT"/>
              </w:rPr>
            </w:pPr>
          </w:p>
        </w:tc>
      </w:tr>
      <w:tr>
        <w:trPr>
          <w:trHeight w:hRule="exact" w:val="312"/>
        </w:trPr>
        <w:tc>
          <w:tcPr>
            <w:tcW w:w="545" w:type="pct"/>
            <w:tcBorders>
              <w:top w:val="nil"/>
              <w:left w:val="single" w:sz="8" w:space="0" w:color="auto"/>
              <w:bottom w:val="single" w:sz="8" w:space="0" w:color="auto"/>
              <w:right w:val="single" w:sz="8" w:space="0" w:color="auto"/>
            </w:tcBorders>
            <w:vAlign w:val="center"/>
            <w:hideMark/>
          </w:tcPr>
          <w:p>
            <w:pPr>
              <w:jc w:val="center"/>
              <w:rPr>
                <w:color w:val="000000"/>
                <w:sz w:val="16"/>
                <w:szCs w:val="16"/>
                <w:lang w:eastAsia="it-IT"/>
              </w:rPr>
            </w:pPr>
            <w:r>
              <w:rPr>
                <w:color w:val="000000"/>
                <w:sz w:val="16"/>
                <w:szCs w:val="16"/>
                <w:lang w:eastAsia="it-IT"/>
              </w:rPr>
              <w:t>2028</w:t>
            </w:r>
          </w:p>
        </w:tc>
        <w:tc>
          <w:tcPr>
            <w:tcW w:w="394" w:type="pct"/>
            <w:tcBorders>
              <w:top w:val="nil"/>
              <w:left w:val="nil"/>
              <w:bottom w:val="single" w:sz="8" w:space="0" w:color="auto"/>
              <w:right w:val="single" w:sz="8" w:space="0" w:color="auto"/>
            </w:tcBorders>
            <w:vAlign w:val="center"/>
            <w:hideMark/>
          </w:tcPr>
          <w:p>
            <w:pPr>
              <w:jc w:val="center"/>
              <w:rPr>
                <w:color w:val="000000"/>
                <w:sz w:val="16"/>
                <w:szCs w:val="16"/>
                <w:lang w:eastAsia="it-IT"/>
              </w:rPr>
            </w:pPr>
            <w:r>
              <w:rPr>
                <w:color w:val="000000"/>
                <w:sz w:val="16"/>
                <w:szCs w:val="16"/>
                <w:lang w:eastAsia="it-IT"/>
              </w:rPr>
              <w:t>7719</w:t>
            </w:r>
          </w:p>
        </w:tc>
        <w:tc>
          <w:tcPr>
            <w:tcW w:w="981" w:type="pct"/>
            <w:tcBorders>
              <w:top w:val="nil"/>
              <w:left w:val="nil"/>
              <w:bottom w:val="single" w:sz="8" w:space="0" w:color="auto"/>
              <w:right w:val="single" w:sz="8" w:space="0" w:color="auto"/>
            </w:tcBorders>
            <w:vAlign w:val="center"/>
            <w:hideMark/>
          </w:tcPr>
          <w:p>
            <w:pPr>
              <w:jc w:val="center"/>
              <w:rPr>
                <w:color w:val="000000"/>
                <w:sz w:val="16"/>
                <w:szCs w:val="16"/>
                <w:lang w:eastAsia="it-IT"/>
              </w:rPr>
            </w:pPr>
            <w:r>
              <w:rPr>
                <w:color w:val="000000"/>
                <w:sz w:val="16"/>
                <w:szCs w:val="16"/>
                <w:lang w:eastAsia="it-IT"/>
              </w:rPr>
              <w:t>04325590612</w:t>
            </w:r>
          </w:p>
        </w:tc>
        <w:tc>
          <w:tcPr>
            <w:tcW w:w="1163" w:type="pct"/>
            <w:tcBorders>
              <w:top w:val="nil"/>
              <w:left w:val="nil"/>
              <w:bottom w:val="single" w:sz="8" w:space="0" w:color="auto"/>
              <w:right w:val="single" w:sz="8" w:space="0" w:color="auto"/>
            </w:tcBorders>
            <w:vAlign w:val="center"/>
            <w:hideMark/>
          </w:tcPr>
          <w:p>
            <w:pPr>
              <w:jc w:val="center"/>
              <w:rPr>
                <w:color w:val="000000"/>
                <w:sz w:val="16"/>
                <w:szCs w:val="16"/>
                <w:lang w:eastAsia="it-IT"/>
              </w:rPr>
            </w:pPr>
            <w:r>
              <w:rPr>
                <w:color w:val="000000"/>
                <w:sz w:val="16"/>
                <w:szCs w:val="16"/>
                <w:lang w:eastAsia="it-IT"/>
              </w:rPr>
              <w:t>MODULHOUSE SRL</w:t>
            </w:r>
          </w:p>
        </w:tc>
        <w:tc>
          <w:tcPr>
            <w:tcW w:w="427" w:type="pct"/>
            <w:tcBorders>
              <w:top w:val="nil"/>
              <w:left w:val="nil"/>
              <w:bottom w:val="single" w:sz="8" w:space="0" w:color="auto"/>
              <w:right w:val="single" w:sz="8" w:space="0" w:color="auto"/>
            </w:tcBorders>
            <w:vAlign w:val="center"/>
            <w:hideMark/>
          </w:tcPr>
          <w:p>
            <w:pPr>
              <w:jc w:val="center"/>
              <w:rPr>
                <w:color w:val="000000"/>
                <w:sz w:val="16"/>
                <w:szCs w:val="16"/>
                <w:lang w:eastAsia="it-IT"/>
              </w:rPr>
            </w:pPr>
            <w:r>
              <w:rPr>
                <w:color w:val="000000"/>
                <w:sz w:val="16"/>
                <w:szCs w:val="16"/>
                <w:lang w:eastAsia="it-IT"/>
              </w:rPr>
              <w:t>638,50</w:t>
            </w:r>
          </w:p>
        </w:tc>
        <w:tc>
          <w:tcPr>
            <w:tcW w:w="1490" w:type="pct"/>
            <w:tcBorders>
              <w:top w:val="nil"/>
              <w:left w:val="nil"/>
              <w:bottom w:val="single" w:sz="8" w:space="0" w:color="auto"/>
              <w:right w:val="single" w:sz="8" w:space="0" w:color="auto"/>
            </w:tcBorders>
            <w:vAlign w:val="center"/>
            <w:hideMark/>
          </w:tcPr>
          <w:p>
            <w:pPr>
              <w:jc w:val="center"/>
              <w:rPr>
                <w:color w:val="000000"/>
                <w:sz w:val="16"/>
                <w:szCs w:val="16"/>
                <w:lang w:eastAsia="it-IT"/>
              </w:rPr>
            </w:pPr>
            <w:r>
              <w:rPr>
                <w:color w:val="000000"/>
                <w:sz w:val="16"/>
                <w:szCs w:val="16"/>
                <w:lang w:eastAsia="it-IT"/>
              </w:rPr>
              <w:t>250216130917196900000001-000004</w:t>
            </w:r>
          </w:p>
        </w:tc>
        <w:tc>
          <w:tcPr>
            <w:tcW w:w="0" w:type="auto"/>
            <w:vAlign w:val="center"/>
            <w:hideMark/>
          </w:tcPr>
          <w:p>
            <w:pPr>
              <w:spacing w:after="0"/>
              <w:rPr>
                <w:sz w:val="20"/>
                <w:szCs w:val="20"/>
                <w:lang w:eastAsia="it-IT"/>
              </w:rPr>
            </w:pPr>
          </w:p>
        </w:tc>
      </w:tr>
      <w:tr>
        <w:trPr>
          <w:trHeight w:hRule="exact" w:val="312"/>
        </w:trPr>
        <w:tc>
          <w:tcPr>
            <w:tcW w:w="3083" w:type="pct"/>
            <w:gridSpan w:val="4"/>
            <w:tcBorders>
              <w:top w:val="nil"/>
              <w:left w:val="single" w:sz="8" w:space="0" w:color="auto"/>
              <w:bottom w:val="single" w:sz="8" w:space="0" w:color="auto"/>
              <w:right w:val="single" w:sz="8" w:space="0" w:color="auto"/>
            </w:tcBorders>
            <w:shd w:val="clear" w:color="auto" w:fill="F2F2F2" w:themeFill="background1" w:themeFillShade="F2"/>
            <w:vAlign w:val="center"/>
            <w:hideMark/>
          </w:tcPr>
          <w:p>
            <w:pPr>
              <w:jc w:val="center"/>
              <w:rPr>
                <w:b/>
                <w:color w:val="000000"/>
                <w:sz w:val="18"/>
                <w:szCs w:val="18"/>
                <w:lang w:eastAsia="it-IT"/>
              </w:rPr>
            </w:pPr>
            <w:r>
              <w:rPr>
                <w:b/>
                <w:color w:val="000000"/>
                <w:sz w:val="18"/>
                <w:szCs w:val="18"/>
                <w:lang w:eastAsia="it-IT"/>
              </w:rPr>
              <w:t xml:space="preserve">TOTALE CREDITO CEDUTO ANNI 2026-2028</w:t>
            </w:r>
          </w:p>
        </w:tc>
        <w:tc>
          <w:tcPr>
            <w:tcW w:w="1917" w:type="pct"/>
            <w:gridSpan w:val="2"/>
            <w:tcBorders>
              <w:top w:val="nil"/>
              <w:left w:val="nil"/>
              <w:bottom w:val="single" w:sz="8" w:space="0" w:color="auto"/>
              <w:right w:val="single" w:sz="8" w:space="0" w:color="auto"/>
            </w:tcBorders>
            <w:shd w:val="clear" w:color="auto" w:fill="F2F2F2" w:themeFill="background1" w:themeFillShade="F2"/>
            <w:vAlign w:val="center"/>
            <w:hideMark/>
          </w:tcPr>
          <w:p>
            <w:pPr>
              <w:jc w:val="center"/>
              <w:rPr>
                <w:b/>
                <w:color w:val="000000"/>
                <w:lang w:eastAsia="it-IT"/>
              </w:rPr>
            </w:pPr>
            <w:r>
              <w:rPr>
                <w:b/>
                <w:color w:val="000000"/>
                <w:lang w:eastAsia="it-IT"/>
              </w:rPr>
              <w:t xml:space="preserve">1.915,50</w:t>
            </w:r>
          </w:p>
        </w:tc>
        <w:tc>
          <w:tcPr>
            <w:tcW w:w="0" w:type="auto"/>
            <w:vAlign w:val="center"/>
            <w:hideMark/>
          </w:tcPr>
          <w:p>
            <w:pPr>
              <w:spacing w:after="0"/>
              <w:rPr>
                <w:sz w:val="20"/>
                <w:szCs w:val="20"/>
                <w:lang w:eastAsia="it-IT"/>
              </w:rPr>
            </w:pPr>
          </w:p>
        </w:tc>
      </w:tr>
    </w:tbl>
    <w:p>
      <w:pPr>
        <w:spacing w:after="100" w:line="360" w:lineRule="auto"/>
        <w:ind w:firstLine="708"/>
        <w:jc w:val="both"/>
        <w:rPr>
          <w:rFonts w:ascii="Times New Roman" w:hAnsi="Times New Roman" w:cs="Times New Roman"/>
          <w:sz w:val="20"/>
          <w:szCs w:val="20"/>
        </w:rPr>
      </w:pPr>
    </w:p>
    <w:p>
      <w:pPr>
        <w:spacing w:after="100" w:line="360" w:lineRule="auto"/>
        <w:ind w:left="708"/>
        <w:jc w:val="both"/>
        <w:rPr>
          <w:rFonts w:ascii="Times New Roman" w:hAnsi="Times New Roman" w:cs="Times New Roman"/>
          <w:sz w:val="20"/>
          <w:szCs w:val="20"/>
        </w:rPr>
      </w:pPr>
      <w:r>
        <w:rPr>
          <w:rFonts w:ascii="Times New Roman" w:hAnsi="Times New Roman" w:cs="Times New Roman"/>
          <w:sz w:val="20"/>
          <w:szCs w:val="20"/>
        </w:rPr>
        <w:t xml:space="preserve">Al fine di perfezionare e rendere opponibile la cessione nei confronti dell'Agenzia delle Entrate, nonché di qualunque terzo, il Cedente provvederà a compiere, entro 5 Giorni Lavorativi dalla data del presente contratto, tutti gli adempimenti necessari previsti dalla normativa applicabile al Credito di Imposta, in modo tale per cui nella Piattaforma ADE il Cessionario abbia la possibilità di accettare la cessione a proprio favore del Credito di Imposta ceduto ai sensi del presente contratto. Il Cessionario provvederà ad accettare sulla Piattaforma ADE la cessione a proprio favore del Credito di Imposta ceduto ai sensi del presente contratto entro 5 Giorni Lavorativi successivi alla data in cui il credito risulterà nel proprio cassetto fiscale.</w:t>
      </w:r>
    </w:p>
    <w:p>
      <w:pPr>
        <w:pStyle w:val="Paragrafoelenco"/>
        <w:keepNext/>
        <w:numPr>
          <w:ilvl w:val="0"/>
          <w:numId w:val="2"/>
        </w:numPr>
        <w:spacing w:before="240" w:after="100" w:line="360" w:lineRule="auto"/>
        <w:jc w:val="both"/>
        <w:rPr>
          <w:rFonts w:ascii="Times New Roman" w:hAnsi="Times New Roman" w:cs="Times New Roman"/>
          <w:b/>
          <w:bCs/>
          <w:sz w:val="20"/>
          <w:szCs w:val="20"/>
        </w:rPr>
      </w:pPr>
      <w:r>
        <w:rPr>
          <w:rFonts w:ascii="Times New Roman" w:hAnsi="Times New Roman" w:cs="Times New Roman"/>
          <w:b/>
          <w:bCs/>
          <w:sz w:val="20"/>
          <w:szCs w:val="20"/>
        </w:rPr>
        <w:t>PREZZO DI CESSIONE</w:t>
      </w:r>
    </w:p>
    <w:p>
      <w:pPr>
        <w:spacing w:after="100" w:line="360" w:lineRule="auto"/>
        <w:ind w:left="708"/>
        <w:jc w:val="both"/>
        <w:rPr>
          <w:rFonts w:ascii="Times New Roman" w:hAnsi="Times New Roman" w:cs="Times New Roman"/>
          <w:sz w:val="20"/>
          <w:szCs w:val="20"/>
        </w:rPr>
      </w:pPr>
      <w:r>
        <w:rPr>
          <w:rFonts w:ascii="Times New Roman" w:hAnsi="Times New Roman" w:cs="Times New Roman"/>
          <w:sz w:val="20"/>
          <w:szCs w:val="20"/>
        </w:rPr>
        <w:t xml:space="preserve">A fronte della cessione di cui al presente contratto, il Cessionario corrisponderà al Cedente, mediante versamento sul Conto corrente </w:t>
      </w:r>
      <w:r>
        <w:rPr>
          <w:rFonts w:ascii="Times New Roman" w:hAnsi="Times New Roman" w:cs="Times New Roman"/>
          <w:b/>
          <w:sz w:val="20"/>
          <w:szCs w:val="20"/>
          <w:u w:val="single"/>
        </w:rPr>
        <w:t>IT 89 M 02008 14906 000105271156</w:t>
      </w:r>
      <w:r>
        <w:rPr>
          <w:rFonts w:ascii="Times New Roman" w:hAnsi="Times New Roman" w:cs="Times New Roman"/>
          <w:sz w:val="20"/>
          <w:szCs w:val="20"/>
        </w:rPr>
        <w:t xml:space="preserve">, al momento dell’accettazione della cessione sulla Piattaforma ADE, il prezzo di seguito riportato:</w:t>
      </w:r>
    </w:p>
    <w:tbl>
      <w:tblPr>
        <w:tblStyle w:val="Grigliatabella"/>
        <w:tblW w:w="9356" w:type="dxa"/>
        <w:tblInd w:w="137" w:type="dxa"/>
        <w:tblLayout w:type="fixed"/>
        <w:tblLook w:val="04A0" w:firstRow="1" w:lastRow="0" w:firstColumn="1" w:lastColumn="0" w:noHBand="0" w:noVBand="1"/>
      </w:tblPr>
      <w:tblGrid>
        <w:gridCol w:w="2552"/>
        <w:gridCol w:w="1275"/>
        <w:gridCol w:w="1989"/>
        <w:gridCol w:w="1760"/>
        <w:gridCol w:w="1780"/>
      </w:tblGrid>
      <w:tr>
        <w:tc>
          <w:tcPr>
            <w:tcW w:w="2552" w:type="dxa"/>
            <w:shd w:val="clear" w:color="auto" w:fill="F2F2F2" w:themeFill="background1" w:themeFillShade="F2"/>
          </w:tcPr>
          <w:p>
            <w:pPr>
              <w:spacing w:before="29"/>
              <w:ind w:left="132" w:right="246"/>
              <w:jc w:val="center"/>
              <w:rPr>
                <w:rFonts w:ascii="Times New Roman" w:hAnsi="Times New Roman" w:cs="Times New Roman"/>
                <w:b/>
                <w:sz w:val="20"/>
                <w:szCs w:val="20"/>
              </w:rPr>
            </w:pPr>
            <w:r>
              <w:rPr>
                <w:rFonts w:ascii="Times New Roman" w:hAnsi="Times New Roman" w:cs="Times New Roman"/>
                <w:b/>
                <w:sz w:val="20"/>
                <w:szCs w:val="20"/>
              </w:rPr>
              <w:t>Tipologia di credito di imposta ceduto</w:t>
            </w:r>
          </w:p>
        </w:tc>
        <w:tc>
          <w:tcPr>
            <w:tcW w:w="1275" w:type="dxa"/>
            <w:shd w:val="clear" w:color="auto" w:fill="F2F2F2" w:themeFill="background1" w:themeFillShade="F2"/>
          </w:tcPr>
          <w:p>
            <w:pPr>
              <w:spacing w:before="29"/>
              <w:ind w:left="132" w:right="246"/>
              <w:jc w:val="center"/>
              <w:rPr>
                <w:rFonts w:ascii="Times New Roman" w:hAnsi="Times New Roman" w:cs="Times New Roman"/>
                <w:b/>
                <w:sz w:val="20"/>
                <w:szCs w:val="20"/>
              </w:rPr>
            </w:pPr>
            <w:r>
              <w:rPr>
                <w:rFonts w:ascii="Times New Roman" w:hAnsi="Times New Roman" w:cs="Times New Roman"/>
                <w:b/>
                <w:sz w:val="20"/>
                <w:szCs w:val="20"/>
              </w:rPr>
              <w:t>Codice tributo</w:t>
            </w:r>
          </w:p>
        </w:tc>
        <w:tc>
          <w:tcPr>
            <w:tcW w:w="1989" w:type="dxa"/>
            <w:shd w:val="clear" w:color="auto" w:fill="F2F2F2" w:themeFill="background1" w:themeFillShade="F2"/>
          </w:tcPr>
          <w:p>
            <w:pPr>
              <w:spacing w:before="29"/>
              <w:ind w:left="132" w:right="246"/>
              <w:jc w:val="center"/>
              <w:rPr>
                <w:rFonts w:ascii="Times New Roman" w:hAnsi="Times New Roman" w:cs="Times New Roman"/>
                <w:b/>
                <w:sz w:val="20"/>
                <w:szCs w:val="20"/>
              </w:rPr>
            </w:pPr>
            <w:r>
              <w:rPr>
                <w:rFonts w:ascii="Times New Roman" w:hAnsi="Times New Roman" w:cs="Times New Roman"/>
                <w:b/>
                <w:sz w:val="20"/>
                <w:szCs w:val="20"/>
              </w:rPr>
              <w:t>Importo del credito ceduto</w:t>
            </w:r>
          </w:p>
        </w:tc>
        <w:tc>
          <w:tcPr>
            <w:tcW w:w="1760" w:type="dxa"/>
            <w:shd w:val="clear" w:color="auto" w:fill="F2F2F2" w:themeFill="background1" w:themeFillShade="F2"/>
          </w:tcPr>
          <w:p>
            <w:pPr>
              <w:spacing w:before="29"/>
              <w:ind w:left="132" w:right="246"/>
              <w:jc w:val="center"/>
              <w:rPr>
                <w:rFonts w:ascii="Times New Roman" w:hAnsi="Times New Roman" w:cs="Times New Roman"/>
                <w:b/>
                <w:sz w:val="20"/>
                <w:szCs w:val="20"/>
              </w:rPr>
            </w:pPr>
            <w:r>
              <w:rPr>
                <w:rFonts w:ascii="Times New Roman" w:hAnsi="Times New Roman" w:cs="Times New Roman"/>
                <w:b/>
                <w:sz w:val="20"/>
                <w:szCs w:val="20"/>
              </w:rPr>
              <w:t>Anno di</w:t>
            </w:r>
          </w:p>
          <w:p>
            <w:pPr>
              <w:spacing w:before="29"/>
              <w:ind w:left="132" w:right="246"/>
              <w:jc w:val="center"/>
              <w:rPr>
                <w:rFonts w:ascii="Times New Roman" w:hAnsi="Times New Roman" w:cs="Times New Roman"/>
                <w:b/>
                <w:sz w:val="20"/>
                <w:szCs w:val="20"/>
              </w:rPr>
            </w:pPr>
            <w:r>
              <w:rPr>
                <w:rFonts w:ascii="Times New Roman" w:hAnsi="Times New Roman" w:cs="Times New Roman"/>
                <w:b/>
                <w:sz w:val="20"/>
                <w:szCs w:val="20"/>
              </w:rPr>
              <w:t>riferimento</w:t>
            </w:r>
          </w:p>
        </w:tc>
        <w:tc>
          <w:tcPr>
            <w:tcW w:w="1780" w:type="dxa"/>
            <w:shd w:val="clear" w:color="auto" w:fill="F2F2F2" w:themeFill="background1" w:themeFillShade="F2"/>
          </w:tcPr>
          <w:p>
            <w:pPr>
              <w:spacing w:before="29"/>
              <w:ind w:left="132" w:right="246"/>
              <w:jc w:val="center"/>
              <w:rPr>
                <w:rFonts w:ascii="Times New Roman" w:hAnsi="Times New Roman" w:cs="Times New Roman"/>
                <w:b/>
                <w:sz w:val="20"/>
                <w:szCs w:val="20"/>
              </w:rPr>
            </w:pPr>
            <w:r>
              <w:rPr>
                <w:rFonts w:ascii="Times New Roman" w:hAnsi="Times New Roman" w:cs="Times New Roman"/>
                <w:b/>
                <w:sz w:val="20"/>
                <w:szCs w:val="20"/>
              </w:rPr>
              <w:t>Prezzo di cessione</w:t>
            </w:r>
          </w:p>
        </w:tc>
      </w:tr>
      <w:tr>
        <w:trPr>
          <w:trHeight w:val="618"/>
        </w:trPr>
        <w:tc>
          <w:tcPr>
            <w:tcW w:w="2552" w:type="dxa"/>
            <w:vAlign w:val="center"/>
          </w:tcPr>
          <w:p>
            <w:pPr>
              <w:spacing w:before="29"/>
              <w:ind w:left="132" w:right="246"/>
              <w:jc w:val="center"/>
              <w:rPr>
                <w:rFonts w:ascii="Times New Roman" w:hAnsi="Times New Roman" w:cs="Times New Roman"/>
                <w:sz w:val="20"/>
                <w:szCs w:val="20"/>
              </w:rPr>
            </w:pPr>
            <w:r>
              <w:rPr>
                <w:rFonts w:ascii="Times New Roman" w:hAnsi="Times New Roman" w:cs="Times New Roman"/>
                <w:sz w:val="20"/>
                <w:szCs w:val="20"/>
              </w:rPr>
              <w:t>Superbonus</w:t>
            </w:r>
          </w:p>
          <w:p>
            <w:pPr>
              <w:pStyle w:val="Paragrafoelenco"/>
              <w:spacing w:after="100"/>
              <w:ind w:left="0"/>
              <w:jc w:val="center"/>
              <w:rPr>
                <w:rFonts w:ascii="Times New Roman" w:hAnsi="Times New Roman" w:cs="Times New Roman"/>
                <w:sz w:val="20"/>
                <w:szCs w:val="20"/>
              </w:rPr>
            </w:pPr>
            <w:r>
              <w:rPr>
                <w:rFonts w:ascii="Times New Roman" w:hAnsi="Times New Roman" w:cs="Times New Roman"/>
                <w:sz w:val="20"/>
                <w:szCs w:val="20"/>
              </w:rPr>
              <w:t xml:space="preserve">110% (art. 119 DL 34/2020)</w:t>
            </w:r>
          </w:p>
        </w:tc>
        <w:tc>
          <w:tcPr>
            <w:tcW w:w="1275" w:type="dxa"/>
            <w:vAlign w:val="center"/>
          </w:tcPr>
          <w:p>
            <w:pPr>
              <w:pStyle w:val="Paragrafoelenco"/>
              <w:spacing w:after="100"/>
              <w:ind w:left="0"/>
              <w:jc w:val="center"/>
              <w:rPr>
                <w:rFonts w:ascii="Times New Roman" w:hAnsi="Times New Roman" w:cs="Times New Roman"/>
                <w:b/>
                <w:sz w:val="20"/>
                <w:szCs w:val="20"/>
              </w:rPr>
            </w:pPr>
            <w:r>
              <w:rPr>
                <w:rFonts w:ascii="Times New Roman" w:hAnsi="Times New Roman" w:cs="Times New Roman"/>
                <w:b/>
                <w:sz w:val="20"/>
                <w:szCs w:val="20"/>
              </w:rPr>
              <w:t xml:space="preserve">7719</w:t>
            </w:r>
          </w:p>
        </w:tc>
        <w:tc>
          <w:tcPr>
            <w:tcW w:w="1989" w:type="dxa"/>
            <w:vAlign w:val="center"/>
          </w:tcPr>
          <w:p>
            <w:pPr>
              <w:pStyle w:val="Paragrafoelenco"/>
              <w:spacing w:after="100"/>
              <w:ind w:left="0"/>
              <w:jc w:val="center"/>
              <w:rPr>
                <w:rFonts w:ascii="Times New Roman" w:hAnsi="Times New Roman" w:cs="Times New Roman"/>
                <w:b/>
                <w:sz w:val="20"/>
                <w:szCs w:val="20"/>
              </w:rPr>
            </w:pPr>
            <w:r>
              <w:rPr>
                <w:rFonts w:ascii="Times New Roman" w:hAnsi="Times New Roman" w:cs="Times New Roman"/>
                <w:b/>
                <w:sz w:val="20"/>
                <w:szCs w:val="20"/>
              </w:rPr>
              <w:t xml:space="preserve">1.915,50</w:t>
            </w:r>
          </w:p>
        </w:tc>
        <w:tc>
          <w:tcPr>
            <w:tcW w:w="1760" w:type="dxa"/>
            <w:vAlign w:val="center"/>
          </w:tcPr>
          <w:p>
            <w:pPr>
              <w:pStyle w:val="Paragrafoelenco"/>
              <w:spacing w:after="100"/>
              <w:ind w:left="0"/>
              <w:jc w:val="center"/>
              <w:rPr>
                <w:rFonts w:ascii="Times New Roman" w:hAnsi="Times New Roman" w:cs="Times New Roman"/>
                <w:b/>
                <w:sz w:val="20"/>
                <w:szCs w:val="20"/>
              </w:rPr>
            </w:pPr>
            <w:r>
              <w:rPr>
                <w:rFonts w:ascii="Times New Roman" w:hAnsi="Times New Roman" w:cs="Times New Roman"/>
                <w:b/>
                <w:sz w:val="20"/>
                <w:szCs w:val="20"/>
              </w:rPr>
              <w:t xml:space="preserve">2026-2028</w:t>
            </w:r>
          </w:p>
        </w:tc>
        <w:tc>
          <w:tcPr>
            <w:tcW w:w="1780" w:type="dxa"/>
            <w:vAlign w:val="center"/>
          </w:tcPr>
          <w:p>
            <w:pPr>
              <w:pStyle w:val="Paragrafoelenco"/>
              <w:spacing w:after="100"/>
              <w:ind w:left="0"/>
              <w:jc w:val="center"/>
              <w:rPr>
                <w:rFonts w:ascii="Times New Roman" w:hAnsi="Times New Roman" w:cs="Times New Roman"/>
                <w:b/>
                <w:sz w:val="20"/>
                <w:szCs w:val="20"/>
              </w:rPr>
            </w:pPr>
            <w:r>
              <w:rPr>
                <w:rFonts w:ascii="Times New Roman" w:hAnsi="Times New Roman" w:cs="Times New Roman"/>
                <w:b/>
                <w:sz w:val="20"/>
                <w:szCs w:val="20"/>
              </w:rPr>
              <w:t xml:space="preserve">1.723,95</w:t>
            </w:r>
          </w:p>
        </w:tc>
      </w:tr>
    </w:tbl>
    <w:p>
      <w:pPr>
        <w:spacing w:after="100" w:line="360" w:lineRule="auto"/>
        <w:ind w:left="708"/>
        <w:jc w:val="both"/>
        <w:rPr>
          <w:rFonts w:ascii="Times New Roman" w:hAnsi="Times New Roman" w:cs="Times New Roman"/>
          <w:sz w:val="20"/>
          <w:szCs w:val="20"/>
        </w:rPr>
      </w:pPr>
    </w:p>
    <w:p>
      <w:pPr>
        <w:spacing w:after="100" w:line="360" w:lineRule="auto"/>
        <w:ind w:left="708"/>
        <w:jc w:val="both"/>
        <w:rPr>
          <w:rFonts w:ascii="Times New Roman" w:hAnsi="Times New Roman" w:cs="Times New Roman"/>
          <w:sz w:val="20"/>
          <w:szCs w:val="20"/>
        </w:rPr>
      </w:pPr>
      <w:r>
        <w:rPr>
          <w:rFonts w:ascii="Times New Roman" w:hAnsi="Times New Roman" w:cs="Times New Roman"/>
          <w:sz w:val="20"/>
          <w:szCs w:val="20"/>
        </w:rPr>
        <w:t>Il Cedente, con il versamento sul Conto del Prezzo da parte del Cessionario, non avrà null'altro a pretendere nei confronti del Cessionario con riferimento alla cessione del Credito di Imposta di cui al presente contratto.</w:t>
      </w:r>
    </w:p>
    <w:p>
      <w:pPr>
        <w:pStyle w:val="Paragrafoelenco"/>
        <w:keepNext/>
        <w:numPr>
          <w:ilvl w:val="0"/>
          <w:numId w:val="2"/>
        </w:numPr>
        <w:spacing w:before="240" w:after="100" w:line="360" w:lineRule="auto"/>
        <w:jc w:val="both"/>
        <w:rPr>
          <w:rFonts w:ascii="Times New Roman" w:hAnsi="Times New Roman" w:cs="Times New Roman"/>
          <w:b/>
          <w:bCs/>
          <w:sz w:val="20"/>
          <w:szCs w:val="20"/>
        </w:rPr>
      </w:pPr>
      <w:r>
        <w:rPr>
          <w:rFonts w:ascii="Times New Roman" w:hAnsi="Times New Roman" w:cs="Times New Roman"/>
          <w:b/>
          <w:bCs/>
          <w:sz w:val="20"/>
          <w:szCs w:val="20"/>
        </w:rPr>
        <w:t xml:space="preserve">DICHIARAZIONI E GARANZIE DEL CEDENTE – MANLEVA</w:t>
      </w:r>
    </w:p>
    <w:p>
      <w:pPr>
        <w:spacing w:after="100" w:line="360" w:lineRule="auto"/>
        <w:ind w:left="708"/>
        <w:jc w:val="both"/>
        <w:rPr>
          <w:rFonts w:ascii="Times New Roman" w:hAnsi="Times New Roman" w:cs="Times New Roman"/>
          <w:sz w:val="20"/>
          <w:szCs w:val="20"/>
        </w:rPr>
      </w:pPr>
      <w:r>
        <w:rPr>
          <w:rFonts w:ascii="Times New Roman" w:hAnsi="Times New Roman" w:cs="Times New Roman"/>
          <w:sz w:val="20"/>
          <w:szCs w:val="20"/>
        </w:rPr>
        <w:t xml:space="preserve">Il Cedente dichiara e garantisce che il credito oggetto della presente cessione si basa su una detrazione d’imposta a lui spettante. </w:t>
      </w:r>
    </w:p>
    <w:p>
      <w:pPr>
        <w:spacing w:after="100" w:line="360" w:lineRule="auto"/>
        <w:ind w:left="708"/>
        <w:jc w:val="both"/>
        <w:rPr>
          <w:rFonts w:ascii="Times New Roman" w:hAnsi="Times New Roman" w:cs="Times New Roman"/>
          <w:sz w:val="20"/>
          <w:szCs w:val="20"/>
        </w:rPr>
      </w:pPr>
      <w:r>
        <w:rPr>
          <w:rFonts w:ascii="Times New Roman" w:hAnsi="Times New Roman" w:cs="Times New Roman"/>
          <w:sz w:val="20"/>
          <w:szCs w:val="20"/>
        </w:rPr>
        <w:t>Il Cedente dichiara e garantisce al Cessionario:</w:t>
      </w:r>
    </w:p>
    <w:p>
      <w:pPr>
        <w:pStyle w:val="Paragrafoelenco"/>
        <w:numPr>
          <w:ilvl w:val="0"/>
          <w:numId w:val="3"/>
        </w:numPr>
        <w:spacing w:after="100" w:line="360" w:lineRule="auto"/>
        <w:jc w:val="both"/>
        <w:rPr>
          <w:rFonts w:ascii="Times New Roman" w:hAnsi="Times New Roman" w:cs="Times New Roman"/>
          <w:sz w:val="20"/>
          <w:szCs w:val="20"/>
        </w:rPr>
      </w:pPr>
      <w:r>
        <w:rPr>
          <w:rFonts w:ascii="Times New Roman" w:hAnsi="Times New Roman" w:cs="Times New Roman"/>
          <w:sz w:val="20"/>
          <w:szCs w:val="20"/>
        </w:rPr>
        <w:t>di non aver adottato alcuna iniziativa che possa dar luogo: ad una procedura concorsuale, a piani di risanamento dell'esposizione debitoria o ad accordi di ristrutturazione dei debiti, a liquidazione, ove applicabile, a riduzione del capitale sociale ai sensi degli artt. 2446 o 2447, ovvero ancora ai sensi degli artt. 2482-bis o 2482-ter del codice civile, allo scioglimento, ovvero a situazioni analoghe a quelle sopra indicate;</w:t>
      </w:r>
    </w:p>
    <w:p>
      <w:pPr>
        <w:pStyle w:val="Paragrafoelenco"/>
        <w:numPr>
          <w:ilvl w:val="0"/>
          <w:numId w:val="3"/>
        </w:numPr>
        <w:spacing w:after="100" w:line="360" w:lineRule="auto"/>
        <w:jc w:val="both"/>
        <w:rPr>
          <w:rFonts w:ascii="Times New Roman" w:hAnsi="Times New Roman" w:cs="Times New Roman"/>
          <w:sz w:val="20"/>
          <w:szCs w:val="20"/>
        </w:rPr>
      </w:pPr>
      <w:r>
        <w:rPr>
          <w:rFonts w:ascii="Times New Roman" w:hAnsi="Times New Roman" w:cs="Times New Roman"/>
          <w:sz w:val="20"/>
          <w:szCs w:val="20"/>
        </w:rPr>
        <w:t>di non essere sottoposto ad alcuna procedura concorsuale o ad altra procedura che comporti restrizioni ai diritti dei creditori;</w:t>
      </w:r>
    </w:p>
    <w:p>
      <w:pPr>
        <w:pStyle w:val="Paragrafoelenco"/>
        <w:numPr>
          <w:ilvl w:val="0"/>
          <w:numId w:val="3"/>
        </w:numPr>
        <w:spacing w:after="100" w:line="360" w:lineRule="auto"/>
        <w:jc w:val="both"/>
        <w:rPr>
          <w:rFonts w:ascii="Times New Roman" w:hAnsi="Times New Roman" w:cs="Times New Roman"/>
          <w:sz w:val="20"/>
          <w:szCs w:val="20"/>
        </w:rPr>
      </w:pPr>
      <w:r>
        <w:rPr>
          <w:rFonts w:ascii="Times New Roman" w:hAnsi="Times New Roman" w:cs="Times New Roman"/>
          <w:sz w:val="20"/>
          <w:szCs w:val="20"/>
        </w:rPr>
        <w:t>che non sono stati approvati, né sono in corso attività volte alla predisposizione di, piani di risanamento dell'esposizione debitoria o accordi di ristrutturazione dei debiti;</w:t>
      </w:r>
    </w:p>
    <w:p>
      <w:pPr>
        <w:pStyle w:val="Paragrafoelenco"/>
        <w:numPr>
          <w:ilvl w:val="0"/>
          <w:numId w:val="3"/>
        </w:numPr>
        <w:spacing w:after="100" w:line="360" w:lineRule="auto"/>
        <w:jc w:val="both"/>
        <w:rPr>
          <w:rFonts w:ascii="Times New Roman" w:hAnsi="Times New Roman" w:cs="Times New Roman"/>
          <w:sz w:val="20"/>
          <w:szCs w:val="20"/>
        </w:rPr>
      </w:pPr>
      <w:r>
        <w:rPr>
          <w:rFonts w:ascii="Times New Roman" w:hAnsi="Times New Roman" w:cs="Times New Roman"/>
          <w:sz w:val="20"/>
          <w:szCs w:val="20"/>
        </w:rPr>
        <w:t>che, per quanto a propria conoscenza e dopo aver effettuato le opportune verifiche del caso, non sono stati presentati nei suoi confronti ricorsi o richieste di fallimento o di ammissione ad altre procedure concorsuali, né alcuna richiesta di concordato preventivo;</w:t>
      </w:r>
    </w:p>
    <w:p>
      <w:pPr>
        <w:pStyle w:val="Paragrafoelenco"/>
        <w:numPr>
          <w:ilvl w:val="0"/>
          <w:numId w:val="3"/>
        </w:numPr>
        <w:spacing w:after="100" w:line="360" w:lineRule="auto"/>
        <w:jc w:val="both"/>
        <w:rPr>
          <w:rFonts w:ascii="Times New Roman" w:hAnsi="Times New Roman" w:cs="Times New Roman"/>
          <w:sz w:val="20"/>
          <w:szCs w:val="20"/>
        </w:rPr>
      </w:pPr>
      <w:r>
        <w:rPr>
          <w:rFonts w:ascii="Times New Roman" w:hAnsi="Times New Roman" w:cs="Times New Roman"/>
          <w:sz w:val="20"/>
          <w:szCs w:val="20"/>
        </w:rPr>
        <w:t>di non essere inadempiente ai propri obblighi fiscali verso le competenti amministrazioni, ai propri obblighi di pagamento derivanti da operazioni di indebitamento di natura finanziaria o ai propri obblighi di pagamento nei confronti dei propri fornitori, in modo tale per cui, tale eventuale inadempimento possa ragionevolmente determinare l'insolvenza del Cedente entro sei mesi dalla data del presente contratto</w:t>
      </w:r>
    </w:p>
    <w:p>
      <w:pPr>
        <w:pStyle w:val="Paragrafoelenco"/>
        <w:spacing w:after="100" w:line="360" w:lineRule="auto"/>
        <w:jc w:val="both"/>
        <w:rPr>
          <w:rFonts w:ascii="Times New Roman" w:hAnsi="Times New Roman" w:cs="Times New Roman"/>
          <w:sz w:val="20"/>
          <w:szCs w:val="20"/>
        </w:rPr>
      </w:pPr>
      <w:r>
        <w:rPr>
          <w:rFonts w:ascii="Times New Roman" w:hAnsi="Times New Roman" w:cs="Times New Roman"/>
          <w:sz w:val="20"/>
          <w:szCs w:val="20"/>
        </w:rPr>
        <w:t>Il Cedente dà espressamente atto che il Cessionario non è stato in alcun modo coinvolto, né ha fornito alcun contributo, rispetto al processo di formazione del Credito di Imposta.</w:t>
      </w:r>
    </w:p>
    <w:p>
      <w:pPr>
        <w:pStyle w:val="Paragrafoelenco"/>
        <w:spacing w:after="100" w:line="360" w:lineRule="auto"/>
        <w:jc w:val="both"/>
        <w:rPr>
          <w:rFonts w:ascii="Times New Roman" w:hAnsi="Times New Roman" w:cs="Times New Roman"/>
          <w:sz w:val="20"/>
          <w:szCs w:val="20"/>
        </w:rPr>
      </w:pPr>
    </w:p>
    <w:p>
      <w:pPr>
        <w:pStyle w:val="Paragrafoelenco"/>
        <w:keepNext/>
        <w:numPr>
          <w:ilvl w:val="0"/>
          <w:numId w:val="2"/>
        </w:numPr>
        <w:spacing w:after="100" w:line="360" w:lineRule="auto"/>
        <w:rPr>
          <w:rFonts w:ascii="Times New Roman" w:hAnsi="Times New Roman" w:cs="Times New Roman"/>
          <w:b/>
          <w:bCs/>
          <w:sz w:val="20"/>
          <w:szCs w:val="20"/>
        </w:rPr>
      </w:pPr>
      <w:r>
        <w:rPr>
          <w:rFonts w:ascii="Times New Roman" w:hAnsi="Times New Roman" w:cs="Times New Roman"/>
          <w:b/>
          <w:bCs/>
          <w:sz w:val="20"/>
          <w:szCs w:val="20"/>
        </w:rPr>
        <w:lastRenderedPageBreak/>
        <w:t>CONDIZIONE RISOLUTIVA</w:t>
      </w:r>
    </w:p>
    <w:p>
      <w:pPr>
        <w:pStyle w:val="Paragrafoelenco"/>
        <w:spacing w:after="100" w:line="360" w:lineRule="auto"/>
        <w:jc w:val="both"/>
        <w:rPr>
          <w:rFonts w:ascii="Times New Roman" w:hAnsi="Times New Roman" w:cs="Times New Roman"/>
          <w:sz w:val="20"/>
          <w:szCs w:val="20"/>
        </w:rPr>
      </w:pPr>
      <w:r>
        <w:rPr>
          <w:rFonts w:ascii="Times New Roman" w:hAnsi="Times New Roman" w:cs="Times New Roman"/>
          <w:sz w:val="20"/>
          <w:szCs w:val="20"/>
        </w:rPr>
        <w:t xml:space="preserve">Il presente contratto sarà risolto sin dalla sua sottoscrizione qualora, entro 7 giorni lavorativi dalla data del presente contratto, nella Piattaforma ADE il Cessionario non dovesse riscontrare come ceduto a proprio favore il Credito di Imposta, ovvero dovesse risultare un credito di imposta trasferito dal Cedente diverso, sotto qualunque aspetto (ad es. importo ceduto, codice tributo, anno di riferimento, ecc.), rispetto al Credito di Imposta come sopra individuato.</w:t>
      </w:r>
    </w:p>
    <w:p>
      <w:pPr>
        <w:pStyle w:val="Paragrafoelenco"/>
        <w:spacing w:after="100" w:line="360" w:lineRule="auto"/>
        <w:jc w:val="both"/>
        <w:rPr>
          <w:rFonts w:ascii="Times New Roman" w:hAnsi="Times New Roman" w:cs="Times New Roman"/>
          <w:sz w:val="20"/>
          <w:szCs w:val="20"/>
        </w:rPr>
      </w:pPr>
      <w:r>
        <w:rPr>
          <w:rFonts w:ascii="Times New Roman" w:hAnsi="Times New Roman" w:cs="Times New Roman"/>
          <w:sz w:val="20"/>
          <w:szCs w:val="20"/>
        </w:rPr>
        <w:t xml:space="preserve">In ogni caso di risoluzione di cui al punto che precede, la cessione del Credito di Imposta si intenderà come mai effettuata e, pertanto, non sarà dovuto alcun Prezzo.</w:t>
      </w:r>
    </w:p>
    <w:p>
      <w:pPr>
        <w:pStyle w:val="Paragrafoelenco"/>
        <w:spacing w:after="100" w:line="360" w:lineRule="auto"/>
        <w:jc w:val="both"/>
        <w:rPr>
          <w:rFonts w:ascii="Times New Roman" w:hAnsi="Times New Roman" w:cs="Times New Roman"/>
          <w:sz w:val="20"/>
          <w:szCs w:val="20"/>
        </w:rPr>
      </w:pPr>
      <w:r>
        <w:rPr>
          <w:rFonts w:ascii="Times New Roman" w:hAnsi="Times New Roman" w:cs="Times New Roman"/>
          <w:sz w:val="20"/>
          <w:szCs w:val="20"/>
        </w:rPr>
        <w:t xml:space="preserve">Nel caso di trasferimento di un credito difforme da quello pattuito, sotto qualunque aspetto – ad es. importo ceduto, codice tributo, anno di riferimento, ecc., il Cessionario dovrà rifiutare, entro 7 giorni lavorativi, nella Piattaforma ADE la cessione a proprio favore del credito di imposta da parte del Cedente.</w:t>
      </w:r>
    </w:p>
    <w:p>
      <w:pPr>
        <w:pStyle w:val="Paragrafoelenco"/>
        <w:spacing w:after="100" w:line="360" w:lineRule="auto"/>
        <w:jc w:val="both"/>
        <w:rPr>
          <w:rFonts w:ascii="Times New Roman" w:hAnsi="Times New Roman" w:cs="Times New Roman"/>
          <w:sz w:val="20"/>
          <w:szCs w:val="20"/>
        </w:rPr>
      </w:pPr>
      <w:r>
        <w:rPr>
          <w:rFonts w:ascii="Times New Roman" w:hAnsi="Times New Roman" w:cs="Times New Roman"/>
          <w:sz w:val="20"/>
          <w:szCs w:val="20"/>
        </w:rPr>
        <w:t xml:space="preserve">Qualora una qualsiasi delle dichiarazioni rese dal Cedente nel presente contratto si riveli inesatta in misura tale da pregiudicare l'affidamento del Cessionario, quest'ultimo potrà risolvere il presente contratto ai sensi dell'art. 1456 del codice civile; in tal caso, il presente contratto si intenderà risolto di diritto nel momento in cui il Cessionario comunicherà al Cedente l'intenzione di avvalersi della presente clausola risolutiva espressa.</w:t>
      </w:r>
    </w:p>
    <w:p>
      <w:pPr>
        <w:pStyle w:val="Paragrafoelenco"/>
        <w:spacing w:after="100" w:line="360" w:lineRule="auto"/>
        <w:jc w:val="both"/>
        <w:rPr>
          <w:rFonts w:ascii="Times New Roman" w:hAnsi="Times New Roman" w:cs="Times New Roman"/>
          <w:sz w:val="20"/>
          <w:szCs w:val="20"/>
        </w:rPr>
      </w:pPr>
    </w:p>
    <w:p>
      <w:pPr>
        <w:pStyle w:val="Paragrafoelenco"/>
        <w:keepNext/>
        <w:numPr>
          <w:ilvl w:val="0"/>
          <w:numId w:val="2"/>
        </w:numPr>
        <w:spacing w:after="100" w:line="360" w:lineRule="auto"/>
        <w:rPr>
          <w:rFonts w:ascii="Times New Roman" w:hAnsi="Times New Roman" w:cs="Times New Roman"/>
          <w:b/>
          <w:bCs/>
          <w:sz w:val="20"/>
          <w:szCs w:val="20"/>
        </w:rPr>
      </w:pPr>
      <w:r>
        <w:rPr>
          <w:rFonts w:ascii="Times New Roman" w:hAnsi="Times New Roman" w:cs="Times New Roman"/>
          <w:b/>
          <w:bCs/>
          <w:sz w:val="20"/>
          <w:szCs w:val="20"/>
        </w:rPr>
        <w:t>LEGGE APPLICABILE E FORO COMPETENTE</w:t>
      </w:r>
    </w:p>
    <w:p>
      <w:pPr>
        <w:pStyle w:val="Paragrafoelenco"/>
        <w:spacing w:after="100" w:line="360" w:lineRule="auto"/>
        <w:jc w:val="both"/>
        <w:rPr>
          <w:rFonts w:ascii="Times New Roman" w:hAnsi="Times New Roman" w:cs="Times New Roman"/>
          <w:sz w:val="20"/>
          <w:szCs w:val="20"/>
        </w:rPr>
      </w:pPr>
      <w:r>
        <w:rPr>
          <w:rFonts w:ascii="Times New Roman" w:hAnsi="Times New Roman" w:cs="Times New Roman"/>
          <w:sz w:val="20"/>
          <w:szCs w:val="20"/>
        </w:rPr>
        <w:t>Il presente contratto è esclusivamente sottoposto alla legge italiana.</w:t>
      </w:r>
    </w:p>
    <w:p>
      <w:pPr>
        <w:pStyle w:val="Paragrafoelenco"/>
        <w:spacing w:after="100" w:line="360" w:lineRule="auto"/>
        <w:jc w:val="both"/>
        <w:rPr>
          <w:rFonts w:ascii="Times New Roman" w:hAnsi="Times New Roman" w:cs="Times New Roman"/>
          <w:sz w:val="20"/>
          <w:szCs w:val="20"/>
        </w:rPr>
      </w:pPr>
      <w:r>
        <w:rPr>
          <w:rFonts w:ascii="Times New Roman" w:hAnsi="Times New Roman" w:cs="Times New Roman"/>
          <w:sz w:val="20"/>
          <w:szCs w:val="20"/>
        </w:rPr>
        <w:t>Per ogni controversia relativa o connessa al presente contratto sarà competente in via esclusiva il foro del Cliente.</w:t>
      </w:r>
    </w:p>
    <w:p>
      <w:pPr>
        <w:pStyle w:val="Paragrafoelenco"/>
        <w:spacing w:after="100" w:line="360" w:lineRule="auto"/>
        <w:jc w:val="both"/>
        <w:rPr>
          <w:rFonts w:ascii="Times New Roman" w:hAnsi="Times New Roman" w:cs="Times New Roman"/>
          <w:sz w:val="20"/>
          <w:szCs w:val="20"/>
        </w:rPr>
      </w:pPr>
    </w:p>
    <w:p>
      <w:pPr>
        <w:pStyle w:val="Paragrafoelenco"/>
        <w:keepNext/>
        <w:numPr>
          <w:ilvl w:val="0"/>
          <w:numId w:val="2"/>
        </w:numPr>
        <w:spacing w:after="100" w:line="360" w:lineRule="auto"/>
        <w:rPr>
          <w:rFonts w:ascii="Times New Roman" w:hAnsi="Times New Roman" w:cs="Times New Roman"/>
          <w:b/>
          <w:bCs/>
          <w:sz w:val="20"/>
          <w:szCs w:val="20"/>
        </w:rPr>
      </w:pPr>
      <w:r>
        <w:rPr>
          <w:rFonts w:ascii="Times New Roman" w:hAnsi="Times New Roman" w:cs="Times New Roman"/>
          <w:b/>
          <w:bCs/>
          <w:sz w:val="20"/>
          <w:szCs w:val="20"/>
        </w:rPr>
        <w:t>DISPOSIZIONI FINALI</w:t>
      </w:r>
    </w:p>
    <w:p>
      <w:pPr>
        <w:pStyle w:val="Paragrafoelenco"/>
        <w:keepNext/>
        <w:spacing w:after="100" w:line="360" w:lineRule="auto"/>
        <w:jc w:val="both"/>
        <w:rPr>
          <w:rFonts w:ascii="Times New Roman" w:hAnsi="Times New Roman" w:cs="Times New Roman"/>
          <w:sz w:val="20"/>
          <w:szCs w:val="20"/>
        </w:rPr>
      </w:pPr>
      <w:r>
        <w:rPr>
          <w:rFonts w:ascii="Times New Roman" w:hAnsi="Times New Roman" w:cs="Times New Roman"/>
          <w:sz w:val="20"/>
          <w:szCs w:val="20"/>
        </w:rPr>
        <w:t xml:space="preserve">Il presente contratto prevale su qualunque contratto precedente o contemporaneo, scritto o orale, tra le Parti con riferimento al medesimo oggetto. Qualunque modifica al presente contratto sarà valida solo se firmata ed accettata per iscritto dalle Parti. </w:t>
      </w:r>
    </w:p>
    <w:p>
      <w:pPr>
        <w:pStyle w:val="Paragrafoelenco"/>
        <w:keepNext/>
        <w:spacing w:after="100" w:line="360" w:lineRule="auto"/>
        <w:jc w:val="both"/>
        <w:rPr>
          <w:rFonts w:ascii="Times New Roman" w:hAnsi="Times New Roman" w:cs="Times New Roman"/>
          <w:sz w:val="20"/>
          <w:szCs w:val="20"/>
        </w:rPr>
      </w:pPr>
      <w:r>
        <w:rPr>
          <w:rFonts w:ascii="Times New Roman" w:hAnsi="Times New Roman" w:cs="Times New Roman"/>
          <w:sz w:val="20"/>
          <w:szCs w:val="20"/>
        </w:rPr>
        <w:t xml:space="preserve">Letto, accettato e sottoscritto.                                                                                                         </w:t>
      </w:r>
    </w:p>
    <w:p>
      <w:pPr>
        <w:keepNext/>
        <w:spacing w:after="100" w:line="120" w:lineRule="atLeast"/>
        <w:rPr>
          <w:rFonts w:ascii="Times New Roman" w:hAnsi="Times New Roman" w:cs="Times New Roman"/>
        </w:rPr>
      </w:pPr>
      <w:r>
        <w:rPr>
          <w:rFonts w:ascii="Times New Roman" w:hAnsi="Times New Roman" w:cs="Times New Roman"/>
        </w:rPr>
        <w:t xml:space="preserve">Caserta, lì 29/01/2026</w:t>
      </w:r>
    </w:p>
    <w:p>
      <w:pPr>
        <w:keepNext/>
        <w:ind w:left="1416" w:firstLine="708"/>
        <w:rPr>
          <w:rFonts w:ascii="Times New Roman" w:hAnsi="Times New Roman" w:cs="Times New Roman"/>
        </w:rPr>
      </w:pPr>
      <w:r>
        <w:rPr>
          <w:rFonts w:ascii="Times New Roman" w:hAnsi="Times New Roman" w:cs="Times New Roman"/>
        </w:rPr>
        <w:t>Il Cedente                                                                      Il Cessionario</w:t>
      </w:r>
    </w:p>
    <w:p>
      <w:pPr>
        <w:tabs>
          <w:tab w:val="left" w:pos="5500"/>
        </w:tabs>
        <w:ind w:firstLine="708"/>
      </w:pPr>
      <w:r>
        <w:rPr>
          <w:noProof/>
          <w:lang w:eastAsia="it-IT"/>
        </w:rPr>
        <w:drawing>
          <wp:inline distT="0" distB="0" distL="0" distR="0">
            <wp:extent cx="2324100" cy="714375"/>
            <wp:effectExtent l="0" t="0" r="0" b="9525"/>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324100" cy="714375"/>
                    </a:xfrm>
                    <a:prstGeom prst="rect">
                      <a:avLst/>
                    </a:prstGeom>
                  </pic:spPr>
                </pic:pic>
              </a:graphicData>
            </a:graphic>
          </wp:inline>
        </w:drawing>
      </w:r>
      <w:r>
        <w:tab/>
      </w:r>
      <w:r>
        <w:rPr>
          <w:noProof/>
          <w:lang w:eastAsia="it-IT"/>
        </w:rPr>
        <w:drawing>
          <wp:inline distT="0" distB="0" distL="0" distR="0">
            <wp:extent cx="2324100" cy="718690"/>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9"/>
                    <a:stretch>
                      <a:fillRect/>
                    </a:stretch>
                  </pic:blipFill>
                  <pic:spPr>
                    <a:xfrm>
                      <a:off x="0" y="0"/>
                      <a:ext cx="2324100" cy="718690"/>
                    </a:xfrm>
                    <a:prstGeom prst="rect">
                      <a:avLst/>
                    </a:prstGeom>
                  </pic:spPr>
                </pic:pic>
              </a:graphicData>
            </a:graphic>
          </wp:inline>
        </w:drawing>
      </w:r>
    </w:p>
    <w:sectPr>
      <w:pgSz w:w="11906" w:h="16838"/>
      <w:pgMar w:top="709" w:right="1416" w:bottom="426"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622777"/>
    <w:multiLevelType w:val="hybridMultilevel"/>
    <w:tmpl w:val="D844377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571B798E"/>
    <w:multiLevelType w:val="hybridMultilevel"/>
    <w:tmpl w:val="6DB8B806"/>
    <w:lvl w:ilvl="0" w:tplc="2FE033CC">
      <w:start w:val="1"/>
      <w:numFmt w:val="lowerLetter"/>
      <w:lvlText w:val="(%1)"/>
      <w:lvlJc w:val="left"/>
      <w:pPr>
        <w:ind w:left="1068" w:hanging="360"/>
      </w:pPr>
      <w:rPr>
        <w:rFonts w:hint="default"/>
      </w:r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2" w15:restartNumberingAfterBreak="0">
    <w:nsid w:val="6F0B5395"/>
    <w:multiLevelType w:val="multilevel"/>
    <w:tmpl w:val="695EC1F6"/>
    <w:lvl w:ilvl="0">
      <w:start w:val="1"/>
      <w:numFmt w:val="decimal"/>
      <w:pStyle w:val="Titolo1"/>
      <w:lvlText w:val="%1."/>
      <w:lvlJc w:val="left"/>
      <w:pPr>
        <w:tabs>
          <w:tab w:val="num" w:pos="720"/>
        </w:tabs>
        <w:ind w:left="720" w:hanging="720"/>
      </w:pPr>
    </w:lvl>
    <w:lvl w:ilvl="1">
      <w:start w:val="1"/>
      <w:numFmt w:val="decimal"/>
      <w:pStyle w:val="Titolo2"/>
      <w:lvlText w:val="%2."/>
      <w:lvlJc w:val="left"/>
      <w:pPr>
        <w:tabs>
          <w:tab w:val="num" w:pos="1440"/>
        </w:tabs>
        <w:ind w:left="1440" w:hanging="720"/>
      </w:pPr>
    </w:lvl>
    <w:lvl w:ilvl="2">
      <w:start w:val="1"/>
      <w:numFmt w:val="decimal"/>
      <w:pStyle w:val="Titolo3"/>
      <w:lvlText w:val="%3."/>
      <w:lvlJc w:val="left"/>
      <w:pPr>
        <w:tabs>
          <w:tab w:val="num" w:pos="2160"/>
        </w:tabs>
        <w:ind w:left="2160" w:hanging="720"/>
      </w:pPr>
    </w:lvl>
    <w:lvl w:ilvl="3">
      <w:start w:val="1"/>
      <w:numFmt w:val="decimal"/>
      <w:pStyle w:val="Titolo4"/>
      <w:lvlText w:val="%4."/>
      <w:lvlJc w:val="left"/>
      <w:pPr>
        <w:tabs>
          <w:tab w:val="num" w:pos="2880"/>
        </w:tabs>
        <w:ind w:left="2880" w:hanging="720"/>
      </w:pPr>
    </w:lvl>
    <w:lvl w:ilvl="4">
      <w:start w:val="1"/>
      <w:numFmt w:val="decimal"/>
      <w:pStyle w:val="Titolo5"/>
      <w:lvlText w:val="%5."/>
      <w:lvlJc w:val="left"/>
      <w:pPr>
        <w:tabs>
          <w:tab w:val="num" w:pos="3600"/>
        </w:tabs>
        <w:ind w:left="3600" w:hanging="720"/>
      </w:pPr>
    </w:lvl>
    <w:lvl w:ilvl="5">
      <w:start w:val="1"/>
      <w:numFmt w:val="decimal"/>
      <w:pStyle w:val="Titolo6"/>
      <w:lvlText w:val="%6."/>
      <w:lvlJc w:val="left"/>
      <w:pPr>
        <w:tabs>
          <w:tab w:val="num" w:pos="4320"/>
        </w:tabs>
        <w:ind w:left="4320" w:hanging="720"/>
      </w:pPr>
    </w:lvl>
    <w:lvl w:ilvl="6">
      <w:start w:val="1"/>
      <w:numFmt w:val="decimal"/>
      <w:pStyle w:val="Titolo7"/>
      <w:lvlText w:val="%7."/>
      <w:lvlJc w:val="left"/>
      <w:pPr>
        <w:tabs>
          <w:tab w:val="num" w:pos="5040"/>
        </w:tabs>
        <w:ind w:left="5040" w:hanging="720"/>
      </w:pPr>
    </w:lvl>
    <w:lvl w:ilvl="7">
      <w:start w:val="1"/>
      <w:numFmt w:val="decimal"/>
      <w:pStyle w:val="Titolo8"/>
      <w:lvlText w:val="%8."/>
      <w:lvlJc w:val="left"/>
      <w:pPr>
        <w:tabs>
          <w:tab w:val="num" w:pos="5760"/>
        </w:tabs>
        <w:ind w:left="5760" w:hanging="720"/>
      </w:pPr>
    </w:lvl>
    <w:lvl w:ilvl="8">
      <w:start w:val="1"/>
      <w:numFmt w:val="decimal"/>
      <w:pStyle w:val="Titolo9"/>
      <w:lvlText w:val="%9."/>
      <w:lvlJc w:val="left"/>
      <w:pPr>
        <w:tabs>
          <w:tab w:val="num" w:pos="6480"/>
        </w:tabs>
        <w:ind w:left="6480" w:hanging="720"/>
      </w:pPr>
    </w:lvl>
  </w:abstractNum>
  <w:abstractNum w:abstractNumId="3" w15:restartNumberingAfterBreak="0">
    <w:nsid w:val="76DD46EF"/>
    <w:multiLevelType w:val="hybridMultilevel"/>
    <w:tmpl w:val="EC22949A"/>
    <w:lvl w:ilvl="0" w:tplc="604231DE">
      <w:start w:val="1"/>
      <w:numFmt w:val="upperLetter"/>
      <w:lvlText w:val="%1."/>
      <w:lvlJc w:val="left"/>
      <w:pPr>
        <w:ind w:left="720" w:hanging="360"/>
      </w:pPr>
      <w:rPr>
        <w:rFonts w:hint="default"/>
        <w:b/>
        <w:b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173959457">
    <w:abstractNumId w:val="3"/>
  </w:num>
  <w:num w:numId="2" w16cid:durableId="1801528859">
    <w:abstractNumId w:val="0"/>
  </w:num>
  <w:num w:numId="3" w16cid:durableId="2013146445">
    <w:abstractNumId w:val="1"/>
  </w:num>
  <w:num w:numId="4" w16cid:durableId="4725239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pPr>
      <w:keepNext/>
      <w:numPr>
        <w:numId w:val="4"/>
      </w:numPr>
      <w:spacing w:before="240" w:after="60" w:line="240" w:lineRule="auto"/>
      <w:outlineLvl w:val="0"/>
    </w:pPr>
    <w:rPr>
      <w:rFonts w:asciiTheme="majorHAnsi" w:eastAsiaTheme="majorEastAsia" w:hAnsiTheme="majorHAnsi" w:cstheme="majorBidi"/>
      <w:b/>
      <w:bCs/>
      <w:kern w:val="32"/>
      <w:sz w:val="32"/>
      <w:szCs w:val="32"/>
      <w:lang w:val="en-US"/>
    </w:rPr>
  </w:style>
  <w:style w:type="paragraph" w:styleId="Titolo2">
    <w:name w:val="heading 2"/>
    <w:basedOn w:val="Normale"/>
    <w:next w:val="Normale"/>
    <w:link w:val="Titolo2Carattere"/>
    <w:uiPriority w:val="9"/>
    <w:semiHidden/>
    <w:unhideWhenUsed/>
    <w:qFormat/>
    <w:pPr>
      <w:keepNext/>
      <w:numPr>
        <w:ilvl w:val="1"/>
        <w:numId w:val="4"/>
      </w:numPr>
      <w:spacing w:before="240" w:after="60" w:line="240" w:lineRule="auto"/>
      <w:outlineLvl w:val="1"/>
    </w:pPr>
    <w:rPr>
      <w:rFonts w:asciiTheme="majorHAnsi" w:eastAsiaTheme="majorEastAsia" w:hAnsiTheme="majorHAnsi" w:cstheme="majorBidi"/>
      <w:b/>
      <w:bCs/>
      <w:i/>
      <w:iCs/>
      <w:sz w:val="28"/>
      <w:szCs w:val="28"/>
      <w:lang w:val="en-US"/>
    </w:rPr>
  </w:style>
  <w:style w:type="paragraph" w:styleId="Titolo3">
    <w:name w:val="heading 3"/>
    <w:basedOn w:val="Normale"/>
    <w:next w:val="Normale"/>
    <w:link w:val="Titolo3Carattere"/>
    <w:uiPriority w:val="9"/>
    <w:semiHidden/>
    <w:unhideWhenUsed/>
    <w:qFormat/>
    <w:pPr>
      <w:keepNext/>
      <w:numPr>
        <w:ilvl w:val="2"/>
        <w:numId w:val="4"/>
      </w:numPr>
      <w:spacing w:before="240" w:after="60" w:line="240" w:lineRule="auto"/>
      <w:outlineLvl w:val="2"/>
    </w:pPr>
    <w:rPr>
      <w:rFonts w:asciiTheme="majorHAnsi" w:eastAsiaTheme="majorEastAsia" w:hAnsiTheme="majorHAnsi" w:cstheme="majorBidi"/>
      <w:b/>
      <w:bCs/>
      <w:sz w:val="26"/>
      <w:szCs w:val="26"/>
      <w:lang w:val="en-US"/>
    </w:rPr>
  </w:style>
  <w:style w:type="paragraph" w:styleId="Titolo4">
    <w:name w:val="heading 4"/>
    <w:basedOn w:val="Normale"/>
    <w:next w:val="Normale"/>
    <w:link w:val="Titolo4Carattere"/>
    <w:uiPriority w:val="9"/>
    <w:semiHidden/>
    <w:unhideWhenUsed/>
    <w:qFormat/>
    <w:pPr>
      <w:keepNext/>
      <w:numPr>
        <w:ilvl w:val="3"/>
        <w:numId w:val="4"/>
      </w:numPr>
      <w:spacing w:before="240" w:after="60" w:line="240" w:lineRule="auto"/>
      <w:outlineLvl w:val="3"/>
    </w:pPr>
    <w:rPr>
      <w:rFonts w:eastAsiaTheme="minorEastAsia"/>
      <w:b/>
      <w:bCs/>
      <w:sz w:val="28"/>
      <w:szCs w:val="28"/>
      <w:lang w:val="en-US"/>
    </w:rPr>
  </w:style>
  <w:style w:type="paragraph" w:styleId="Titolo5">
    <w:name w:val="heading 5"/>
    <w:basedOn w:val="Normale"/>
    <w:next w:val="Normale"/>
    <w:link w:val="Titolo5Carattere"/>
    <w:uiPriority w:val="9"/>
    <w:semiHidden/>
    <w:unhideWhenUsed/>
    <w:qFormat/>
    <w:pPr>
      <w:numPr>
        <w:ilvl w:val="4"/>
        <w:numId w:val="4"/>
      </w:numPr>
      <w:spacing w:before="240" w:after="60" w:line="240" w:lineRule="auto"/>
      <w:outlineLvl w:val="4"/>
    </w:pPr>
    <w:rPr>
      <w:rFonts w:eastAsiaTheme="minorEastAsia"/>
      <w:b/>
      <w:bCs/>
      <w:i/>
      <w:iCs/>
      <w:sz w:val="26"/>
      <w:szCs w:val="26"/>
      <w:lang w:val="en-US"/>
    </w:rPr>
  </w:style>
  <w:style w:type="paragraph" w:styleId="Titolo6">
    <w:name w:val="heading 6"/>
    <w:basedOn w:val="Normale"/>
    <w:next w:val="Normale"/>
    <w:link w:val="Titolo6Carattere"/>
    <w:qFormat/>
    <w:pPr>
      <w:numPr>
        <w:ilvl w:val="5"/>
        <w:numId w:val="4"/>
      </w:numPr>
      <w:spacing w:before="240" w:after="60" w:line="240" w:lineRule="auto"/>
      <w:outlineLvl w:val="5"/>
    </w:pPr>
    <w:rPr>
      <w:rFonts w:ascii="Times New Roman" w:eastAsia="Times New Roman" w:hAnsi="Times New Roman" w:cs="Times New Roman"/>
      <w:b/>
      <w:bCs/>
      <w:lang w:val="en-US"/>
    </w:rPr>
  </w:style>
  <w:style w:type="paragraph" w:styleId="Titolo7">
    <w:name w:val="heading 7"/>
    <w:basedOn w:val="Normale"/>
    <w:next w:val="Normale"/>
    <w:link w:val="Titolo7Carattere"/>
    <w:uiPriority w:val="9"/>
    <w:semiHidden/>
    <w:unhideWhenUsed/>
    <w:qFormat/>
    <w:pPr>
      <w:numPr>
        <w:ilvl w:val="6"/>
        <w:numId w:val="4"/>
      </w:numPr>
      <w:spacing w:before="240" w:after="60" w:line="240" w:lineRule="auto"/>
      <w:outlineLvl w:val="6"/>
    </w:pPr>
    <w:rPr>
      <w:rFonts w:eastAsiaTheme="minorEastAsia"/>
      <w:sz w:val="24"/>
      <w:szCs w:val="24"/>
      <w:lang w:val="en-US"/>
    </w:rPr>
  </w:style>
  <w:style w:type="paragraph" w:styleId="Titolo8">
    <w:name w:val="heading 8"/>
    <w:basedOn w:val="Normale"/>
    <w:next w:val="Normale"/>
    <w:link w:val="Titolo8Carattere"/>
    <w:uiPriority w:val="9"/>
    <w:semiHidden/>
    <w:unhideWhenUsed/>
    <w:qFormat/>
    <w:pPr>
      <w:numPr>
        <w:ilvl w:val="7"/>
        <w:numId w:val="4"/>
      </w:numPr>
      <w:spacing w:before="240" w:after="60" w:line="240" w:lineRule="auto"/>
      <w:outlineLvl w:val="7"/>
    </w:pPr>
    <w:rPr>
      <w:rFonts w:eastAsiaTheme="minorEastAsia"/>
      <w:i/>
      <w:iCs/>
      <w:sz w:val="24"/>
      <w:szCs w:val="24"/>
      <w:lang w:val="en-US"/>
    </w:rPr>
  </w:style>
  <w:style w:type="paragraph" w:styleId="Titolo9">
    <w:name w:val="heading 9"/>
    <w:basedOn w:val="Normale"/>
    <w:next w:val="Normale"/>
    <w:link w:val="Titolo9Carattere"/>
    <w:uiPriority w:val="9"/>
    <w:semiHidden/>
    <w:unhideWhenUsed/>
    <w:qFormat/>
    <w:pPr>
      <w:numPr>
        <w:ilvl w:val="8"/>
        <w:numId w:val="4"/>
      </w:numPr>
      <w:spacing w:before="240" w:after="60" w:line="240" w:lineRule="auto"/>
      <w:outlineLvl w:val="8"/>
    </w:pPr>
    <w:rPr>
      <w:rFonts w:asciiTheme="majorHAnsi" w:eastAsiaTheme="majorEastAsia" w:hAnsiTheme="majorHAnsi" w:cstheme="majorBidi"/>
      <w:lang w:val="en-U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pPr>
      <w:ind w:left="720"/>
      <w:contextualSpacing/>
    </w:pPr>
  </w:style>
  <w:style w:type="table" w:styleId="Grigliatabella">
    <w:name w:val="Table Grid"/>
    <w:basedOn w:val="Tabellanormale"/>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basedOn w:val="Carpredefinitoparagrafo"/>
    <w:link w:val="Titolo1"/>
    <w:uiPriority w:val="9"/>
    <w:rPr>
      <w:rFonts w:asciiTheme="majorHAnsi" w:eastAsiaTheme="majorEastAsia" w:hAnsiTheme="majorHAnsi" w:cstheme="majorBidi"/>
      <w:b/>
      <w:bCs/>
      <w:kern w:val="32"/>
      <w:sz w:val="32"/>
      <w:szCs w:val="32"/>
      <w:lang w:val="en-US"/>
    </w:rPr>
  </w:style>
  <w:style w:type="character" w:customStyle="1" w:styleId="Titolo2Carattere">
    <w:name w:val="Titolo 2 Carattere"/>
    <w:basedOn w:val="Carpredefinitoparagrafo"/>
    <w:link w:val="Titolo2"/>
    <w:uiPriority w:val="9"/>
    <w:semiHidden/>
    <w:rPr>
      <w:rFonts w:asciiTheme="majorHAnsi" w:eastAsiaTheme="majorEastAsia" w:hAnsiTheme="majorHAnsi" w:cstheme="majorBidi"/>
      <w:b/>
      <w:bCs/>
      <w:i/>
      <w:iCs/>
      <w:sz w:val="28"/>
      <w:szCs w:val="28"/>
      <w:lang w:val="en-US"/>
    </w:rPr>
  </w:style>
  <w:style w:type="character" w:customStyle="1" w:styleId="Titolo3Carattere">
    <w:name w:val="Titolo 3 Carattere"/>
    <w:basedOn w:val="Carpredefinitoparagrafo"/>
    <w:link w:val="Titolo3"/>
    <w:uiPriority w:val="9"/>
    <w:semiHidden/>
    <w:rPr>
      <w:rFonts w:asciiTheme="majorHAnsi" w:eastAsiaTheme="majorEastAsia" w:hAnsiTheme="majorHAnsi" w:cstheme="majorBidi"/>
      <w:b/>
      <w:bCs/>
      <w:sz w:val="26"/>
      <w:szCs w:val="26"/>
      <w:lang w:val="en-US"/>
    </w:rPr>
  </w:style>
  <w:style w:type="character" w:customStyle="1" w:styleId="Titolo4Carattere">
    <w:name w:val="Titolo 4 Carattere"/>
    <w:basedOn w:val="Carpredefinitoparagrafo"/>
    <w:link w:val="Titolo4"/>
    <w:uiPriority w:val="9"/>
    <w:semiHidden/>
    <w:rPr>
      <w:rFonts w:eastAsiaTheme="minorEastAsia"/>
      <w:b/>
      <w:bCs/>
      <w:sz w:val="28"/>
      <w:szCs w:val="28"/>
      <w:lang w:val="en-US"/>
    </w:rPr>
  </w:style>
  <w:style w:type="character" w:customStyle="1" w:styleId="Titolo5Carattere">
    <w:name w:val="Titolo 5 Carattere"/>
    <w:basedOn w:val="Carpredefinitoparagrafo"/>
    <w:link w:val="Titolo5"/>
    <w:uiPriority w:val="9"/>
    <w:semiHidden/>
    <w:rPr>
      <w:rFonts w:eastAsiaTheme="minorEastAsia"/>
      <w:b/>
      <w:bCs/>
      <w:i/>
      <w:iCs/>
      <w:sz w:val="26"/>
      <w:szCs w:val="26"/>
      <w:lang w:val="en-US"/>
    </w:rPr>
  </w:style>
  <w:style w:type="character" w:customStyle="1" w:styleId="Titolo6Carattere">
    <w:name w:val="Titolo 6 Carattere"/>
    <w:basedOn w:val="Carpredefinitoparagrafo"/>
    <w:link w:val="Titolo6"/>
    <w:rPr>
      <w:rFonts w:ascii="Times New Roman" w:eastAsia="Times New Roman" w:hAnsi="Times New Roman" w:cs="Times New Roman"/>
      <w:b/>
      <w:bCs/>
      <w:lang w:val="en-US"/>
    </w:rPr>
  </w:style>
  <w:style w:type="character" w:customStyle="1" w:styleId="Titolo7Carattere">
    <w:name w:val="Titolo 7 Carattere"/>
    <w:basedOn w:val="Carpredefinitoparagrafo"/>
    <w:link w:val="Titolo7"/>
    <w:uiPriority w:val="9"/>
    <w:semiHidden/>
    <w:rPr>
      <w:rFonts w:eastAsiaTheme="minorEastAsia"/>
      <w:sz w:val="24"/>
      <w:szCs w:val="24"/>
      <w:lang w:val="en-US"/>
    </w:rPr>
  </w:style>
  <w:style w:type="character" w:customStyle="1" w:styleId="Titolo8Carattere">
    <w:name w:val="Titolo 8 Carattere"/>
    <w:basedOn w:val="Carpredefinitoparagrafo"/>
    <w:link w:val="Titolo8"/>
    <w:uiPriority w:val="9"/>
    <w:semiHidden/>
    <w:rPr>
      <w:rFonts w:eastAsiaTheme="minorEastAsia"/>
      <w:i/>
      <w:iCs/>
      <w:sz w:val="24"/>
      <w:szCs w:val="24"/>
      <w:lang w:val="en-US"/>
    </w:rPr>
  </w:style>
  <w:style w:type="character" w:customStyle="1" w:styleId="Titolo9Carattere">
    <w:name w:val="Titolo 9 Carattere"/>
    <w:basedOn w:val="Carpredefinitoparagrafo"/>
    <w:link w:val="Titolo9"/>
    <w:uiPriority w:val="9"/>
    <w:semiHidden/>
    <w:rPr>
      <w:rFonts w:asciiTheme="majorHAnsi" w:eastAsiaTheme="majorEastAsia" w:hAnsiTheme="majorHAnsi" w:cstheme="majorBidi"/>
      <w:lang w:val="en-US"/>
    </w:rPr>
  </w:style>
  <w:style w:type="paragraph" w:styleId="Testofumetto">
    <w:name w:val="Balloon Text"/>
    <w:basedOn w:val="Normale"/>
    <w:link w:val="TestofumettoCarattere"/>
    <w:uiPriority w:val="99"/>
    <w:semiHidden/>
    <w:unhideWhenUsed/>
    <w:pPr>
      <w:spacing w:after="0"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DD5E20-2B85-4C44-B6A0-5E45E5042B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oreProperties>
</file>