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line="360" w:lineRule="auto"/>
        <w:jc w:val="center"/>
        <w:rPr>
          <w:rFonts w:ascii="Times New Roman" w:hAnsi="Times New Roman" w:cs="Times New Roman"/>
          <w:b/>
          <w:bCs/>
          <w:u w:val="single"/>
        </w:rPr>
      </w:pPr>
      <w:r>
        <w:rPr>
          <w:rFonts w:ascii="Times New Roman" w:hAnsi="Times New Roman" w:cs="Times New Roman"/>
          <w:b/>
          <w:bCs/>
          <w:u w:val="single"/>
        </w:rPr>
        <w:t>CONTRATTO DI CESSIONE DEL CREDITO D’IMPOSTA</w:t>
      </w:r>
    </w:p>
    <w:p>
      <w:pPr>
        <w:spacing w:line="240" w:lineRule="auto"/>
        <w:contextualSpacing/>
        <w:jc w:val="center"/>
        <w:rPr>
          <w:rFonts w:ascii="Times New Roman" w:hAnsi="Times New Roman" w:cs="Times New Roman"/>
          <w:b/>
          <w:bCs/>
          <w:sz w:val="20"/>
          <w:szCs w:val="20"/>
        </w:rPr>
      </w:pPr>
      <w:r>
        <w:rPr>
          <w:rFonts w:ascii="Times New Roman" w:hAnsi="Times New Roman" w:cs="Times New Roman"/>
          <w:b/>
          <w:bCs/>
          <w:sz w:val="20"/>
          <w:szCs w:val="20"/>
        </w:rPr>
        <w:t>DECRETO RILANCIO</w:t>
      </w:r>
    </w:p>
    <w:p>
      <w:pPr>
        <w:spacing w:afterLines="100" w:after="240" w:line="240" w:lineRule="auto"/>
        <w:contextualSpacing/>
        <w:jc w:val="center"/>
        <w:rPr>
          <w:rFonts w:ascii="Times New Roman" w:hAnsi="Times New Roman" w:cs="Times New Roman"/>
          <w:b/>
          <w:bCs/>
          <w:sz w:val="18"/>
          <w:szCs w:val="18"/>
        </w:rPr>
      </w:pPr>
      <w:r>
        <w:rPr>
          <w:rFonts w:ascii="Times New Roman" w:hAnsi="Times New Roman" w:cs="Times New Roman"/>
          <w:b/>
          <w:bCs/>
          <w:sz w:val="18"/>
          <w:szCs w:val="18"/>
        </w:rPr>
        <w:t>TRA</w:t>
      </w:r>
    </w:p>
    <w:p>
      <w:pPr>
        <w:spacing w:after="100" w:line="240" w:lineRule="auto"/>
        <w:rPr>
          <w:rFonts w:ascii="Times New Roman" w:hAnsi="Times New Roman" w:cs="Times New Roman"/>
          <w:sz w:val="20"/>
          <w:szCs w:val="20"/>
        </w:rPr>
      </w:pPr>
      <w:r>
        <w:rPr>
          <w:rFonts w:ascii="Times New Roman" w:hAnsi="Times New Roman" w:cs="Times New Roman"/>
          <w:sz w:val="20"/>
          <w:szCs w:val="20"/>
        </w:rPr>
        <w:t xml:space="preserve">Denominazione impresa: </w:t>
      </w:r>
      <w:r>
        <w:rPr>
          <w:rFonts w:ascii="Times New Roman" w:hAnsi="Times New Roman" w:cs="Times New Roman"/>
          <w:b/>
          <w:sz w:val="20"/>
          <w:szCs w:val="20"/>
        </w:rPr>
        <w:t>MODULHOUSE SRL</w:t>
      </w:r>
    </w:p>
    <w:p>
      <w:pPr>
        <w:spacing w:after="100" w:line="240" w:lineRule="auto"/>
        <w:rPr>
          <w:rFonts w:ascii="Times New Roman" w:hAnsi="Times New Roman" w:cs="Times New Roman"/>
          <w:sz w:val="20"/>
          <w:szCs w:val="20"/>
        </w:rPr>
      </w:pPr>
      <w:r>
        <w:rPr>
          <w:rFonts w:ascii="Times New Roman" w:hAnsi="Times New Roman" w:cs="Times New Roman"/>
          <w:sz w:val="20"/>
          <w:szCs w:val="20"/>
        </w:rPr>
        <w:t xml:space="preserve">Indirizzo sede legale: </w:t>
      </w:r>
      <w:r>
        <w:rPr>
          <w:rFonts w:ascii="Times New Roman" w:hAnsi="Times New Roman" w:cs="Times New Roman"/>
          <w:b/>
          <w:sz w:val="20"/>
          <w:szCs w:val="20"/>
        </w:rPr>
        <w:t xml:space="preserve">VIA FALANGOLA N.10 – 81100 CASERTA (CE)</w:t>
      </w:r>
    </w:p>
    <w:p>
      <w:pPr>
        <w:spacing w:after="100" w:line="240" w:lineRule="auto"/>
        <w:rPr>
          <w:rFonts w:ascii="Times New Roman" w:hAnsi="Times New Roman" w:cs="Times New Roman"/>
        </w:rPr>
      </w:pPr>
      <w:r>
        <w:rPr>
          <w:rFonts w:ascii="Times New Roman" w:hAnsi="Times New Roman" w:cs="Times New Roman"/>
          <w:sz w:val="20"/>
          <w:szCs w:val="20"/>
        </w:rPr>
        <w:t xml:space="preserve">Codice fiscale: </w:t>
      </w:r>
      <w:r>
        <w:rPr>
          <w:rFonts w:ascii="Times New Roman" w:hAnsi="Times New Roman" w:cs="Times New Roman"/>
          <w:b/>
          <w:sz w:val="20"/>
          <w:szCs w:val="20"/>
        </w:rPr>
        <w:t>04325590612</w:t>
        <w:tab/>
        <w:tab/>
        <w:tab/>
        <w:tab/>
        <w:tab/>
        <w:tab/>
        <w:tab/>
        <w:t xml:space="preserve">       </w:t>
      </w:r>
      <w:r>
        <w:rPr>
          <w:rFonts w:ascii="Times New Roman" w:hAnsi="Times New Roman" w:cs="Times New Roman"/>
          <w:sz w:val="20"/>
          <w:szCs w:val="20"/>
        </w:rPr>
        <w:t>(di seguito “</w:t>
      </w:r>
      <w:r>
        <w:rPr>
          <w:rFonts w:ascii="Times New Roman" w:hAnsi="Times New Roman" w:cs="Times New Roman"/>
          <w:b/>
          <w:bCs/>
          <w:sz w:val="20"/>
          <w:szCs w:val="20"/>
        </w:rPr>
        <w:t>Cedente</w:t>
      </w:r>
      <w:r>
        <w:rPr>
          <w:rFonts w:ascii="Times New Roman" w:hAnsi="Times New Roman" w:cs="Times New Roman"/>
          <w:sz w:val="20"/>
          <w:szCs w:val="20"/>
        </w:rPr>
        <w:t>”)</w:t>
      </w:r>
    </w:p>
    <w:p>
      <w:pPr>
        <w:spacing w:after="100" w:line="240" w:lineRule="auto"/>
        <w:contextualSpacing/>
        <w:jc w:val="center"/>
        <w:rPr>
          <w:rFonts w:ascii="Times New Roman" w:hAnsi="Times New Roman" w:cs="Times New Roman"/>
          <w:b/>
          <w:bCs/>
          <w:sz w:val="18"/>
          <w:szCs w:val="18"/>
        </w:rPr>
      </w:pPr>
      <w:r>
        <w:rPr>
          <w:rFonts w:ascii="Times New Roman" w:hAnsi="Times New Roman" w:cs="Times New Roman"/>
          <w:b/>
          <w:bCs/>
          <w:sz w:val="18"/>
          <w:szCs w:val="18"/>
        </w:rPr>
        <w:t>E</w:t>
      </w:r>
    </w:p>
    <w:p>
      <w:pPr>
        <w:spacing w:after="100" w:line="240" w:lineRule="auto"/>
        <w:rPr>
          <w:rFonts w:ascii="Times New Roman" w:hAnsi="Times New Roman" w:cs="Times New Roman"/>
          <w:b/>
          <w:sz w:val="20"/>
          <w:szCs w:val="20"/>
        </w:rPr>
      </w:pPr>
      <w:r>
        <w:rPr>
          <w:rFonts w:ascii="Times New Roman" w:hAnsi="Times New Roman" w:cs="Times New Roman"/>
          <w:sz w:val="20"/>
          <w:szCs w:val="20"/>
        </w:rPr>
        <w:t>Denominazione impresa:</w:t>
        <w:softHyphen/>
        <w:t xml:space="preserve"> </w:t>
      </w:r>
      <w:r>
        <w:rPr>
          <w:rFonts w:ascii="Times New Roman" w:hAnsi="Times New Roman" w:cs="Times New Roman"/>
          <w:b/>
          <w:bCs/>
          <w:sz w:val="20"/>
          <w:szCs w:val="20"/>
        </w:rPr>
        <w:t xml:space="preserve">PROVALUE SRL</w:t>
      </w:r>
      <w:r>
        <w:rPr>
          <w:rFonts w:ascii="Times New Roman" w:hAnsi="Times New Roman" w:cs="Times New Roman"/>
          <w:b/>
          <w:sz w:val="20"/>
          <w:szCs w:val="20"/>
        </w:rPr>
        <w:t xml:space="preserve"> SOCIETA’ BENEFIT</w:t>
      </w:r>
    </w:p>
    <w:p>
      <w:pPr>
        <w:spacing w:after="100" w:line="240" w:lineRule="auto"/>
        <w:rPr>
          <w:rFonts w:ascii="Times New Roman" w:hAnsi="Times New Roman" w:cs="Times New Roman"/>
          <w:b/>
          <w:sz w:val="20"/>
          <w:szCs w:val="20"/>
        </w:rPr>
      </w:pPr>
      <w:r>
        <w:rPr>
          <w:rFonts w:ascii="Times New Roman" w:hAnsi="Times New Roman" w:cs="Times New Roman"/>
          <w:sz w:val="20"/>
          <w:szCs w:val="20"/>
        </w:rPr>
        <w:t xml:space="preserve">Indirizzo sede legale: </w:t>
      </w:r>
      <w:r>
        <w:rPr>
          <w:rFonts w:ascii="Times New Roman" w:hAnsi="Times New Roman" w:cs="Times New Roman"/>
          <w:b/>
          <w:bCs/>
          <w:sz w:val="20"/>
          <w:szCs w:val="20"/>
        </w:rPr>
        <w:t xml:space="preserve">VIA NICOTERA N.29</w:t>
      </w:r>
      <w:r>
        <w:rPr>
          <w:rFonts w:ascii="Times New Roman" w:hAnsi="Times New Roman" w:cs="Times New Roman"/>
          <w:b/>
          <w:sz w:val="20"/>
          <w:szCs w:val="20"/>
        </w:rPr>
        <w:t xml:space="preserve"> – 00132 ROMA (RM)</w:t>
      </w:r>
    </w:p>
    <w:p>
      <w:pPr>
        <w:spacing w:after="100" w:line="240" w:lineRule="auto"/>
        <w:jc w:val="center"/>
        <w:rPr>
          <w:rFonts w:ascii="Times New Roman" w:hAnsi="Times New Roman" w:cs="Times New Roman"/>
          <w:sz w:val="20"/>
          <w:szCs w:val="20"/>
        </w:rPr>
      </w:pPr>
      <w:r>
        <w:rPr>
          <w:rFonts w:ascii="Times New Roman" w:hAnsi="Times New Roman" w:cs="Times New Roman"/>
          <w:sz w:val="20"/>
          <w:szCs w:val="20"/>
        </w:rPr>
        <w:t xml:space="preserve">Numero P.IVA: </w:t>
      </w:r>
      <w:r>
        <w:rPr>
          <w:rFonts w:ascii="Times New Roman" w:hAnsi="Times New Roman" w:cs="Times New Roman"/>
          <w:b/>
          <w:bCs/>
          <w:sz w:val="20"/>
          <w:szCs w:val="20"/>
        </w:rPr>
        <w:t xml:space="preserve">0</w:t>
      </w:r>
      <w:r>
        <w:rPr>
          <w:rFonts w:ascii="Times New Roman" w:hAnsi="Times New Roman" w:cs="Times New Roman"/>
          <w:b/>
          <w:sz w:val="20"/>
          <w:szCs w:val="20"/>
        </w:rPr>
        <w:t xml:space="preserve">4367540616</w:t>
      </w:r>
      <w:r>
        <w:rPr>
          <w:rFonts w:ascii="Times New Roman" w:hAnsi="Times New Roman" w:cs="Times New Roman"/>
          <w:sz w:val="20"/>
          <w:szCs w:val="20"/>
        </w:rPr>
        <w:tab/>
        <w:tab/>
        <w:tab/>
        <w:tab/>
        <w:tab/>
        <w:tab/>
        <w:tab/>
        <w:t xml:space="preserve"> (di seguito “</w:t>
      </w:r>
      <w:r>
        <w:rPr>
          <w:rFonts w:ascii="Times New Roman" w:hAnsi="Times New Roman" w:cs="Times New Roman"/>
          <w:b/>
          <w:bCs/>
          <w:sz w:val="20"/>
          <w:szCs w:val="20"/>
        </w:rPr>
        <w:t>Cessionario</w:t>
      </w:r>
      <w:r>
        <w:rPr>
          <w:rFonts w:ascii="Times New Roman" w:hAnsi="Times New Roman" w:cs="Times New Roman"/>
          <w:sz w:val="20"/>
          <w:szCs w:val="20"/>
        </w:rPr>
        <w:t>”)</w:t>
      </w:r>
    </w:p>
    <w:p>
      <w:pPr>
        <w:spacing w:after="100" w:line="240" w:lineRule="auto"/>
        <w:jc w:val="center"/>
        <w:rPr>
          <w:rFonts w:ascii="Times New Roman" w:hAnsi="Times New Roman" w:cs="Times New Roman"/>
          <w:b/>
          <w:bCs/>
          <w:sz w:val="20"/>
          <w:szCs w:val="20"/>
        </w:rPr>
      </w:pPr>
      <w:r>
        <w:rPr>
          <w:rFonts w:ascii="Times New Roman" w:hAnsi="Times New Roman" w:cs="Times New Roman"/>
          <w:b/>
          <w:bCs/>
          <w:sz w:val="20"/>
          <w:szCs w:val="20"/>
        </w:rPr>
        <w:t>PREMESSO CHE</w:t>
      </w:r>
    </w:p>
    <w:p>
      <w:pPr>
        <w:pStyle w:val="Paragrafoelenco"/>
        <w:numPr>
          <w:ilvl w:val="0"/>
          <w:numId w:val="1"/>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il Cedente è titolare di crediti di imposta nei confronti dell'Agenzia delle entrate, maturati ai sensi della predetta normativa del D.L. 34/2020, come convertito con modificazioni dalla L.77/2020, che intende cedere;</w:t>
      </w:r>
    </w:p>
    <w:p>
      <w:pPr>
        <w:pStyle w:val="Paragrafoelenco"/>
        <w:numPr>
          <w:ilvl w:val="0"/>
          <w:numId w:val="1"/>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il Cessionario si è reso disponibile, entro i limiti di tempo in tempo determinati sulla base dei propri oneri fiscali, ad acquistare il credito di imposta di cui alla predetta normativa incentivante.</w:t>
      </w:r>
    </w:p>
    <w:p>
      <w:pPr>
        <w:spacing w:after="100" w:line="240" w:lineRule="auto"/>
        <w:ind w:left="708"/>
        <w:jc w:val="center"/>
        <w:rPr>
          <w:rFonts w:ascii="Times New Roman" w:hAnsi="Times New Roman" w:cs="Times New Roman"/>
          <w:b/>
          <w:bCs/>
          <w:sz w:val="20"/>
          <w:szCs w:val="20"/>
        </w:rPr>
      </w:pPr>
      <w:r>
        <w:rPr>
          <w:rFonts w:ascii="Times New Roman" w:hAnsi="Times New Roman" w:cs="Times New Roman"/>
          <w:b/>
          <w:bCs/>
          <w:sz w:val="20"/>
          <w:szCs w:val="20"/>
        </w:rPr>
        <w:t xml:space="preserve">TUTTO CIO’ PREMESSO, LE PARTI CONVENGONO E STIPULANO QUANTO SEGUE</w:t>
      </w:r>
    </w:p>
    <w:p>
      <w:pPr>
        <w:pStyle w:val="Paragrafoelenco"/>
        <w:keepNext/>
        <w:numPr>
          <w:ilvl w:val="0"/>
          <w:numId w:val="2"/>
        </w:numPr>
        <w:spacing w:after="100" w:line="240" w:lineRule="auto"/>
        <w:rPr>
          <w:rFonts w:ascii="Times New Roman" w:hAnsi="Times New Roman" w:cs="Times New Roman"/>
          <w:b/>
          <w:bCs/>
          <w:sz w:val="20"/>
          <w:szCs w:val="20"/>
        </w:rPr>
      </w:pPr>
      <w:r>
        <w:rPr>
          <w:rFonts w:ascii="Times New Roman" w:hAnsi="Times New Roman" w:cs="Times New Roman"/>
          <w:b/>
          <w:bCs/>
          <w:sz w:val="20"/>
          <w:szCs w:val="20"/>
        </w:rPr>
        <w:t>OGGETTO</w:t>
      </w:r>
    </w:p>
    <w:p>
      <w:pPr>
        <w:spacing w:after="100" w:line="360" w:lineRule="auto"/>
        <w:ind w:firstLine="708"/>
        <w:jc w:val="both"/>
        <w:rPr>
          <w:rFonts w:ascii="Times New Roman" w:hAnsi="Times New Roman" w:cs="Times New Roman"/>
          <w:sz w:val="20"/>
          <w:szCs w:val="20"/>
        </w:rPr>
      </w:pPr>
      <w:r>
        <w:rPr>
          <w:rFonts w:ascii="Times New Roman" w:hAnsi="Times New Roman" w:cs="Times New Roman"/>
          <w:sz w:val="20"/>
          <w:szCs w:val="20"/>
        </w:rPr>
        <w:t xml:space="preserve">Il Cedente con il presente contratto cede il Credito d'Imposta appresso riportato al Cessionario, che accetta. </w:t>
      </w:r>
    </w:p>
    <w:tbl>
      <w:tblPr>
        <w:tblW w:w="5254" w:type="pct"/>
        <w:tblCellMar>
          <w:left w:w="70" w:type="dxa"/>
          <w:right w:w="70" w:type="dxa"/>
        </w:tblCellMar>
        <w:tblLook w:val="04A0" w:firstRow="1" w:lastRow="0" w:firstColumn="1" w:lastColumn="0" w:noHBand="0" w:noVBand="1"/>
      </w:tblPr>
      <w:tblGrid>
        <w:gridCol w:w="1054"/>
        <w:gridCol w:w="761"/>
        <w:gridCol w:w="1895"/>
        <w:gridCol w:w="2248"/>
        <w:gridCol w:w="826"/>
        <w:gridCol w:w="2880"/>
        <w:gridCol w:w="146"/>
      </w:tblGrid>
      <w:tr>
        <w:trPr>
          <w:gridAfter w:val="1"/>
          <w:trHeight w:val="432"/>
        </w:trPr>
        <w:tc>
          <w:tcPr>
            <w:tcW w:w="5000" w:type="pct"/>
            <w:gridSpan w:val="6"/>
            <w:tcBorders>
              <w:top w:val="single" w:sz="8" w:space="0" w:color="auto"/>
              <w:left w:val="single" w:sz="8" w:space="0" w:color="auto"/>
              <w:bottom w:val="single" w:sz="8" w:space="0" w:color="auto"/>
              <w:right w:val="single" w:sz="8" w:space="0" w:color="000000"/>
            </w:tcBorders>
            <w:shd w:val="clear" w:color="auto" w:fill="F2F2F2"/>
            <w:vAlign w:val="center"/>
            <w:hideMark/>
          </w:tcPr>
          <w:p>
            <w:pPr>
              <w:spacing w:line="220" w:lineRule="exact"/>
              <w:jc w:val="center"/>
              <w:rPr>
                <w:rFonts w:ascii="Calibri" w:hAnsi="Calibri"/>
                <w:b/>
                <w:color w:val="000000"/>
                <w:lang w:eastAsia="it-IT"/>
              </w:rPr>
            </w:pPr>
            <w:r>
              <w:rPr>
                <w:rFonts w:ascii="Calibri" w:hAnsi="Calibri"/>
                <w:b/>
                <w:color w:val="000000"/>
                <w:lang w:eastAsia="it-IT"/>
              </w:rPr>
              <w:t>CREDITI CEDUTI</w:t>
              <w:br/>
              <w:t>SCONTO SUPERBONUS 110 ART. 119 DL 34-2020</w:t>
            </w:r>
          </w:p>
        </w:tc>
      </w:tr>
      <w:tr>
        <w:trPr>
          <w:gridAfter w:val="1"/>
          <w:trHeight w:hRule="exact" w:val="340"/>
        </w:trPr>
        <w:tc>
          <w:tcPr>
            <w:tcW w:w="545" w:type="pct"/>
            <w:vMerge w:val="restart"/>
            <w:tcBorders>
              <w:top w:val="nil"/>
              <w:left w:val="single" w:sz="8" w:space="0" w:color="auto"/>
              <w:bottom w:val="single" w:sz="8" w:space="0" w:color="000000"/>
              <w:right w:val="single" w:sz="8" w:space="0" w:color="auto"/>
            </w:tcBorders>
            <w:vAlign w:val="center"/>
            <w:hideMark/>
          </w:tcPr>
          <w:p>
            <w:pPr>
              <w:jc w:val="center"/>
              <w:rPr>
                <w:rFonts w:ascii="Calibri" w:hAnsi="Calibri"/>
                <w:b/>
                <w:bCs/>
                <w:color w:val="000000"/>
                <w:sz w:val="18"/>
                <w:szCs w:val="18"/>
                <w:lang w:eastAsia="it-IT"/>
              </w:rPr>
            </w:pPr>
            <w:r>
              <w:rPr>
                <w:rFonts w:ascii="Calibri" w:hAnsi="Calibri"/>
                <w:b/>
                <w:bCs/>
                <w:color w:val="000000"/>
                <w:sz w:val="18"/>
                <w:szCs w:val="18"/>
                <w:lang w:eastAsia="it-IT"/>
              </w:rPr>
              <w:t>Anno di riferimento</w:t>
            </w:r>
          </w:p>
        </w:tc>
        <w:tc>
          <w:tcPr>
            <w:tcW w:w="394" w:type="pct"/>
            <w:vMerge w:val="restart"/>
            <w:tcBorders>
              <w:top w:val="nil"/>
              <w:left w:val="single" w:sz="8" w:space="0" w:color="auto"/>
              <w:bottom w:val="single" w:sz="8" w:space="0" w:color="000000"/>
              <w:right w:val="single" w:sz="8" w:space="0" w:color="auto"/>
            </w:tcBorders>
            <w:vAlign w:val="center"/>
            <w:hideMark/>
          </w:tcPr>
          <w:p>
            <w:pPr>
              <w:jc w:val="center"/>
              <w:rPr>
                <w:rFonts w:ascii="Calibri" w:hAnsi="Calibri"/>
                <w:b/>
                <w:bCs/>
                <w:color w:val="000000"/>
                <w:sz w:val="18"/>
                <w:szCs w:val="18"/>
                <w:lang w:eastAsia="it-IT"/>
              </w:rPr>
            </w:pPr>
            <w:r>
              <w:rPr>
                <w:rFonts w:ascii="Calibri" w:hAnsi="Calibri"/>
                <w:b/>
                <w:bCs/>
                <w:color w:val="000000"/>
                <w:sz w:val="18"/>
                <w:szCs w:val="18"/>
                <w:lang w:eastAsia="it-IT"/>
              </w:rPr>
              <w:t>Codice tributo</w:t>
            </w:r>
          </w:p>
        </w:tc>
        <w:tc>
          <w:tcPr>
            <w:tcW w:w="981" w:type="pct"/>
            <w:vMerge w:val="restart"/>
            <w:tcBorders>
              <w:top w:val="nil"/>
              <w:left w:val="single" w:sz="8" w:space="0" w:color="auto"/>
              <w:bottom w:val="single" w:sz="8" w:space="0" w:color="000000"/>
              <w:right w:val="single" w:sz="8" w:space="0" w:color="auto"/>
            </w:tcBorders>
            <w:vAlign w:val="center"/>
            <w:hideMark/>
          </w:tcPr>
          <w:p>
            <w:pPr>
              <w:jc w:val="center"/>
              <w:rPr>
                <w:rFonts w:ascii="Calibri" w:hAnsi="Calibri"/>
                <w:b/>
                <w:bCs/>
                <w:color w:val="000000"/>
                <w:sz w:val="18"/>
                <w:szCs w:val="18"/>
                <w:lang w:eastAsia="it-IT"/>
              </w:rPr>
            </w:pPr>
            <w:r>
              <w:rPr>
                <w:rFonts w:ascii="Calibri" w:hAnsi="Calibri"/>
                <w:b/>
                <w:bCs/>
                <w:color w:val="000000"/>
                <w:sz w:val="18"/>
                <w:szCs w:val="18"/>
                <w:lang w:eastAsia="it-IT"/>
              </w:rPr>
              <w:t>C.F. cedente</w:t>
            </w:r>
          </w:p>
        </w:tc>
        <w:tc>
          <w:tcPr>
            <w:tcW w:w="1163" w:type="pct"/>
            <w:vMerge w:val="restart"/>
            <w:tcBorders>
              <w:top w:val="nil"/>
              <w:left w:val="single" w:sz="8" w:space="0" w:color="auto"/>
              <w:bottom w:val="single" w:sz="8" w:space="0" w:color="000000"/>
              <w:right w:val="single" w:sz="8" w:space="0" w:color="auto"/>
            </w:tcBorders>
            <w:vAlign w:val="center"/>
            <w:hideMark/>
          </w:tcPr>
          <w:p>
            <w:pPr>
              <w:jc w:val="center"/>
              <w:rPr>
                <w:rFonts w:ascii="Calibri" w:hAnsi="Calibri"/>
                <w:b/>
                <w:bCs/>
                <w:color w:val="000000"/>
                <w:sz w:val="18"/>
                <w:szCs w:val="18"/>
                <w:lang w:eastAsia="it-IT"/>
              </w:rPr>
            </w:pPr>
            <w:r>
              <w:rPr>
                <w:rFonts w:ascii="Calibri" w:hAnsi="Calibri"/>
                <w:b/>
                <w:bCs/>
                <w:color w:val="000000"/>
                <w:sz w:val="18"/>
                <w:szCs w:val="18"/>
                <w:lang w:eastAsia="it-IT"/>
              </w:rPr>
              <w:t>Nominativo cedente</w:t>
            </w:r>
          </w:p>
        </w:tc>
        <w:tc>
          <w:tcPr>
            <w:tcW w:w="427" w:type="pct"/>
            <w:vMerge w:val="restart"/>
            <w:tcBorders>
              <w:top w:val="nil"/>
              <w:left w:val="single" w:sz="8" w:space="0" w:color="auto"/>
              <w:bottom w:val="single" w:sz="8" w:space="0" w:color="000000"/>
              <w:right w:val="single" w:sz="8" w:space="0" w:color="auto"/>
            </w:tcBorders>
            <w:vAlign w:val="center"/>
            <w:hideMark/>
          </w:tcPr>
          <w:p>
            <w:pPr>
              <w:ind w:left="-68" w:right="-27"/>
              <w:jc w:val="center"/>
              <w:rPr>
                <w:rFonts w:ascii="Calibri" w:hAnsi="Calibri"/>
                <w:b/>
                <w:bCs/>
                <w:color w:val="000000"/>
                <w:sz w:val="18"/>
                <w:szCs w:val="18"/>
                <w:lang w:eastAsia="it-IT"/>
              </w:rPr>
            </w:pPr>
            <w:r>
              <w:rPr>
                <w:rFonts w:ascii="Calibri" w:hAnsi="Calibri"/>
                <w:b/>
                <w:bCs/>
                <w:color w:val="000000"/>
                <w:sz w:val="18"/>
                <w:szCs w:val="18"/>
                <w:lang w:eastAsia="it-IT"/>
              </w:rPr>
              <w:t>Importo             (in Euro)</w:t>
            </w:r>
          </w:p>
        </w:tc>
        <w:tc>
          <w:tcPr>
            <w:tcW w:w="1490" w:type="pct"/>
            <w:vMerge w:val="restart"/>
            <w:tcBorders>
              <w:top w:val="nil"/>
              <w:left w:val="single" w:sz="8" w:space="0" w:color="auto"/>
              <w:bottom w:val="single" w:sz="8" w:space="0" w:color="000000"/>
              <w:right w:val="single" w:sz="8" w:space="0" w:color="auto"/>
            </w:tcBorders>
            <w:vAlign w:val="center"/>
            <w:hideMark/>
          </w:tcPr>
          <w:p>
            <w:pPr>
              <w:jc w:val="center"/>
              <w:rPr>
                <w:rFonts w:ascii="Calibri" w:hAnsi="Calibri"/>
                <w:b/>
                <w:bCs/>
                <w:color w:val="000000"/>
                <w:sz w:val="18"/>
                <w:szCs w:val="18"/>
                <w:lang w:eastAsia="it-IT"/>
              </w:rPr>
            </w:pPr>
            <w:r>
              <w:rPr>
                <w:rFonts w:ascii="Calibri" w:hAnsi="Calibri"/>
                <w:b/>
                <w:bCs/>
                <w:color w:val="000000"/>
                <w:sz w:val="18"/>
                <w:szCs w:val="18"/>
                <w:lang w:eastAsia="it-IT"/>
              </w:rPr>
              <w:t>Codice identificativo univoco</w:t>
            </w:r>
          </w:p>
        </w:tc>
      </w:tr>
      <w:tr>
        <w:trPr>
          <w:trHeight w:val="450"/>
        </w:trPr>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Align w:val="center"/>
            <w:hideMark/>
          </w:tcPr>
          <w:p>
            <w:pPr>
              <w:rPr>
                <w:rFonts w:ascii="Calibri" w:hAnsi="Calibri"/>
                <w:b/>
                <w:bCs/>
                <w:color w:val="000000"/>
                <w:sz w:val="18"/>
                <w:szCs w:val="18"/>
                <w:lang w:eastAsia="it-IT"/>
              </w:rPr>
            </w:pPr>
          </w:p>
        </w:tc>
      </w:tr>
      <w:tr>
        <w:trPr>
          <w:trHeight w:hRule="exact" w:val="312"/>
        </w:trPr>
        <w:tc>
          <w:tcPr>
            <w:tcW w:w="545" w:type="pct"/>
            <w:tcBorders>
              <w:top w:val="nil"/>
              <w:left w:val="single" w:sz="8" w:space="0" w:color="auto"/>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2026</w:t>
            </w:r>
          </w:p>
        </w:tc>
        <w:tc>
          <w:tcPr>
            <w:tcW w:w="394"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7719</w:t>
            </w:r>
          </w:p>
        </w:tc>
        <w:tc>
          <w:tcPr>
            <w:tcW w:w="981"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04325590612</w:t>
            </w:r>
          </w:p>
        </w:tc>
        <w:tc>
          <w:tcPr>
            <w:tcW w:w="1163"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MODULHOUSE SRL</w:t>
            </w:r>
          </w:p>
        </w:tc>
        <w:tc>
          <w:tcPr>
            <w:tcW w:w="427"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12.816,50</w:t>
            </w:r>
          </w:p>
        </w:tc>
        <w:tc>
          <w:tcPr>
            <w:tcW w:w="1490"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240323085700294940000001-000019</w:t>
            </w:r>
          </w:p>
        </w:tc>
        <w:tc>
          <w:tcPr>
            <w:tcW w:w="0" w:type="auto"/>
            <w:vAlign w:val="center"/>
            <w:hideMark/>
          </w:tcPr>
          <w:p>
            <w:pPr>
              <w:spacing w:after="0"/>
              <w:rPr>
                <w:sz w:val="20"/>
                <w:szCs w:val="20"/>
                <w:lang w:eastAsia="it-IT"/>
              </w:rPr>
            </w:pPr>
          </w:p>
        </w:tc>
      </w:tr>
      <w:tr>
        <w:trPr>
          <w:trHeight w:hRule="exact" w:val="312"/>
        </w:trPr>
        <w:tc>
          <w:tcPr>
            <w:tcW w:w="545" w:type="pct"/>
            <w:tcBorders>
              <w:top w:val="nil"/>
              <w:left w:val="single" w:sz="8" w:space="0" w:color="auto"/>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2026</w:t>
            </w:r>
          </w:p>
        </w:tc>
        <w:tc>
          <w:tcPr>
            <w:tcW w:w="394"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7719</w:t>
            </w:r>
          </w:p>
        </w:tc>
        <w:tc>
          <w:tcPr>
            <w:tcW w:w="981"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04325590612</w:t>
            </w:r>
          </w:p>
        </w:tc>
        <w:tc>
          <w:tcPr>
            <w:tcW w:w="1163"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MODULHOUSE SRL</w:t>
            </w:r>
          </w:p>
        </w:tc>
        <w:tc>
          <w:tcPr>
            <w:tcW w:w="427"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12.816,50</w:t>
            </w:r>
          </w:p>
        </w:tc>
        <w:tc>
          <w:tcPr>
            <w:tcW w:w="1490"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240323085700294940000001-000023</w:t>
            </w:r>
          </w:p>
        </w:tc>
        <w:tc>
          <w:tcPr>
            <w:tcW w:w="0" w:type="auto"/>
            <w:vAlign w:val="center"/>
            <w:hideMark/>
          </w:tcPr>
          <w:p>
            <w:pPr>
              <w:spacing w:after="0"/>
              <w:rPr>
                <w:sz w:val="20"/>
                <w:szCs w:val="20"/>
                <w:lang w:eastAsia="it-IT"/>
              </w:rPr>
            </w:pPr>
          </w:p>
        </w:tc>
      </w:tr>
      <w:tr>
        <w:trPr>
          <w:trHeight w:hRule="exact" w:val="312"/>
        </w:trPr>
        <w:tc>
          <w:tcPr>
            <w:tcW w:w="3083" w:type="pct"/>
            <w:gridSpan w:val="4"/>
            <w:tcBorders>
              <w:top w:val="nil"/>
              <w:left w:val="single" w:sz="8" w:space="0" w:color="auto"/>
              <w:bottom w:val="single" w:sz="8" w:space="0" w:color="auto"/>
              <w:right w:val="single" w:sz="8" w:space="0" w:color="auto"/>
            </w:tcBorders>
            <w:shd w:val="clear" w:color="auto" w:fill="F2F2F2" w:themeFill="background1" w:themeFillShade="F2"/>
            <w:vAlign w:val="center"/>
            <w:hideMark/>
          </w:tcPr>
          <w:p>
            <w:pPr>
              <w:jc w:val="center"/>
              <w:rPr>
                <w:b/>
                <w:color w:val="000000"/>
                <w:sz w:val="18"/>
                <w:szCs w:val="18"/>
                <w:lang w:eastAsia="it-IT"/>
              </w:rPr>
            </w:pPr>
            <w:r>
              <w:rPr>
                <w:b/>
                <w:color w:val="000000"/>
                <w:sz w:val="18"/>
                <w:szCs w:val="18"/>
                <w:lang w:eastAsia="it-IT"/>
              </w:rPr>
              <w:t xml:space="preserve">TOTALE CREDITO CEDUTO ANNO 2026</w:t>
            </w:r>
          </w:p>
        </w:tc>
        <w:tc>
          <w:tcPr>
            <w:tcW w:w="1917" w:type="pct"/>
            <w:gridSpan w:val="2"/>
            <w:tcBorders>
              <w:top w:val="nil"/>
              <w:left w:val="nil"/>
              <w:bottom w:val="single" w:sz="8" w:space="0" w:color="auto"/>
              <w:right w:val="single" w:sz="8" w:space="0" w:color="auto"/>
            </w:tcBorders>
            <w:shd w:val="clear" w:color="auto" w:fill="F2F2F2" w:themeFill="background1" w:themeFillShade="F2"/>
            <w:vAlign w:val="center"/>
            <w:hideMark/>
          </w:tcPr>
          <w:p>
            <w:pPr>
              <w:jc w:val="center"/>
              <w:rPr>
                <w:b/>
                <w:color w:val="000000"/>
                <w:lang w:eastAsia="it-IT"/>
              </w:rPr>
            </w:pPr>
            <w:r>
              <w:rPr>
                <w:b/>
                <w:color w:val="000000"/>
                <w:lang w:eastAsia="it-IT"/>
              </w:rPr>
              <w:t xml:space="preserve">25.633,00</w:t>
            </w:r>
          </w:p>
        </w:tc>
        <w:tc>
          <w:tcPr>
            <w:tcW w:w="0" w:type="auto"/>
            <w:vAlign w:val="center"/>
            <w:hideMark/>
          </w:tcPr>
          <w:p>
            <w:pPr>
              <w:spacing w:after="0"/>
              <w:rPr>
                <w:sz w:val="20"/>
                <w:szCs w:val="20"/>
                <w:lang w:eastAsia="it-IT"/>
              </w:rPr>
            </w:pPr>
          </w:p>
        </w:tc>
      </w:tr>
    </w:tbl>
    <w:p>
      <w:pPr>
        <w:spacing w:after="100" w:line="360" w:lineRule="auto"/>
        <w:ind w:firstLine="708"/>
        <w:jc w:val="both"/>
        <w:rPr>
          <w:rFonts w:ascii="Times New Roman" w:hAnsi="Times New Roman" w:cs="Times New Roman"/>
          <w:sz w:val="20"/>
          <w:szCs w:val="20"/>
        </w:rPr>
      </w:pPr>
    </w:p>
    <w:p>
      <w:pPr>
        <w:spacing w:after="100" w:line="360" w:lineRule="auto"/>
        <w:ind w:left="708"/>
        <w:jc w:val="both"/>
        <w:rPr>
          <w:rFonts w:ascii="Times New Roman" w:hAnsi="Times New Roman" w:cs="Times New Roman"/>
          <w:sz w:val="20"/>
          <w:szCs w:val="20"/>
        </w:rPr>
      </w:pPr>
      <w:r>
        <w:rPr>
          <w:rFonts w:ascii="Times New Roman" w:hAnsi="Times New Roman" w:cs="Times New Roman"/>
          <w:sz w:val="20"/>
          <w:szCs w:val="20"/>
        </w:rPr>
        <w:t xml:space="preserve">Al fine di perfezionare e rendere opponibile la cessione nei confronti dell'Agenzia delle Entrate, nonché di qualunque terzo, il Cedente provvederà a compiere, entro 5 Giorni Lavorativi dalla data del presente contratto, tutti gli adempimenti necessari previsti dalla normativa applicabile al Credito di Imposta, in modo tale per cui nella Piattaforma ADE il Cessionario abbia la possibilità di accettare la cessione a proprio favore del Credito di Imposta ceduto ai sensi del presente contratto. Il Cessionario provvederà ad accettare sulla Piattaforma ADE la cessione a proprio favore del Credito di Imposta ceduto ai sensi del presente contratto entro 5 Giorni Lavorativi successivi alla data in cui il credito risulterà nel proprio cassetto fiscale.</w:t>
      </w:r>
    </w:p>
    <w:p>
      <w:pPr>
        <w:pStyle w:val="Paragrafoelenco"/>
        <w:keepNext/>
        <w:numPr>
          <w:ilvl w:val="0"/>
          <w:numId w:val="2"/>
        </w:numPr>
        <w:spacing w:before="240" w:after="100" w:line="360" w:lineRule="auto"/>
        <w:jc w:val="both"/>
        <w:rPr>
          <w:rFonts w:ascii="Times New Roman" w:hAnsi="Times New Roman" w:cs="Times New Roman"/>
          <w:b/>
          <w:bCs/>
          <w:sz w:val="20"/>
          <w:szCs w:val="20"/>
        </w:rPr>
      </w:pPr>
      <w:r>
        <w:rPr>
          <w:rFonts w:ascii="Times New Roman" w:hAnsi="Times New Roman" w:cs="Times New Roman"/>
          <w:b/>
          <w:bCs/>
          <w:sz w:val="20"/>
          <w:szCs w:val="20"/>
        </w:rPr>
        <w:t>PREZZO DI CESSIONE</w:t>
      </w:r>
    </w:p>
    <w:p>
      <w:pPr>
        <w:spacing w:after="100" w:line="360" w:lineRule="auto"/>
        <w:ind w:left="708"/>
        <w:jc w:val="both"/>
        <w:rPr>
          <w:rFonts w:ascii="Times New Roman" w:hAnsi="Times New Roman" w:cs="Times New Roman"/>
          <w:sz w:val="20"/>
          <w:szCs w:val="20"/>
        </w:rPr>
      </w:pPr>
      <w:r>
        <w:rPr>
          <w:rFonts w:ascii="Times New Roman" w:hAnsi="Times New Roman" w:cs="Times New Roman"/>
          <w:sz w:val="20"/>
          <w:szCs w:val="20"/>
        </w:rPr>
        <w:t xml:space="preserve">A fronte della cessione di cui al presente contratto, il Cessionario corrisponderà al Cedente, mediante versamento sul Conto corrente </w:t>
      </w:r>
      <w:r>
        <w:rPr>
          <w:rFonts w:ascii="Times New Roman" w:hAnsi="Times New Roman" w:cs="Times New Roman"/>
          <w:b/>
          <w:sz w:val="20"/>
          <w:szCs w:val="20"/>
          <w:u w:val="single"/>
        </w:rPr>
        <w:t>IT 89 M 02008 14906 000105271156</w:t>
      </w:r>
      <w:r>
        <w:rPr>
          <w:rFonts w:ascii="Times New Roman" w:hAnsi="Times New Roman" w:cs="Times New Roman"/>
          <w:sz w:val="20"/>
          <w:szCs w:val="20"/>
        </w:rPr>
        <w:t xml:space="preserve">, al momento dell’accettazione della cessione sulla Piattaforma ADE, il prezzo di seguito riportato:</w:t>
      </w:r>
    </w:p>
    <w:tbl>
      <w:tblPr>
        <w:tblStyle w:val="Grigliatabella"/>
        <w:tblW w:w="9356" w:type="dxa"/>
        <w:tblInd w:w="137" w:type="dxa"/>
        <w:tblLayout w:type="fixed"/>
        <w:tblLook w:val="04A0" w:firstRow="1" w:lastRow="0" w:firstColumn="1" w:lastColumn="0" w:noHBand="0" w:noVBand="1"/>
      </w:tblPr>
      <w:tblGrid>
        <w:gridCol w:w="2552"/>
        <w:gridCol w:w="1275"/>
        <w:gridCol w:w="1989"/>
        <w:gridCol w:w="1760"/>
        <w:gridCol w:w="1780"/>
      </w:tblGrid>
      <w:tr>
        <w:tc>
          <w:tcPr>
            <w:tcW w:w="2552" w:type="dxa"/>
            <w:shd w:val="clear" w:color="auto" w:fill="F2F2F2" w:themeFill="background1" w:themeFillShade="F2"/>
          </w:tcPr>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Tipologia di credito di imposta ceduto</w:t>
            </w:r>
          </w:p>
        </w:tc>
        <w:tc>
          <w:tcPr>
            <w:tcW w:w="1275" w:type="dxa"/>
            <w:shd w:val="clear" w:color="auto" w:fill="F2F2F2" w:themeFill="background1" w:themeFillShade="F2"/>
          </w:tcPr>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Codice tributo</w:t>
            </w:r>
          </w:p>
        </w:tc>
        <w:tc>
          <w:tcPr>
            <w:tcW w:w="1989" w:type="dxa"/>
            <w:shd w:val="clear" w:color="auto" w:fill="F2F2F2" w:themeFill="background1" w:themeFillShade="F2"/>
          </w:tcPr>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Importo del credito ceduto</w:t>
            </w:r>
          </w:p>
        </w:tc>
        <w:tc>
          <w:tcPr>
            <w:tcW w:w="1760" w:type="dxa"/>
            <w:shd w:val="clear" w:color="auto" w:fill="F2F2F2" w:themeFill="background1" w:themeFillShade="F2"/>
          </w:tcPr>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Anno di</w:t>
            </w:r>
          </w:p>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riferimento</w:t>
            </w:r>
          </w:p>
        </w:tc>
        <w:tc>
          <w:tcPr>
            <w:tcW w:w="1780" w:type="dxa"/>
            <w:shd w:val="clear" w:color="auto" w:fill="F2F2F2" w:themeFill="background1" w:themeFillShade="F2"/>
          </w:tcPr>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Prezzo di cessione</w:t>
            </w:r>
          </w:p>
        </w:tc>
      </w:tr>
      <w:tr>
        <w:trPr>
          <w:trHeight w:val="618"/>
        </w:trPr>
        <w:tc>
          <w:tcPr>
            <w:tcW w:w="2552" w:type="dxa"/>
            <w:vAlign w:val="center"/>
          </w:tcPr>
          <w:p>
            <w:pPr>
              <w:spacing w:before="29"/>
              <w:ind w:left="132" w:right="246"/>
              <w:jc w:val="center"/>
              <w:rPr>
                <w:rFonts w:ascii="Times New Roman" w:hAnsi="Times New Roman" w:cs="Times New Roman"/>
                <w:sz w:val="20"/>
                <w:szCs w:val="20"/>
              </w:rPr>
            </w:pPr>
            <w:r>
              <w:rPr>
                <w:rFonts w:ascii="Times New Roman" w:hAnsi="Times New Roman" w:cs="Times New Roman"/>
                <w:sz w:val="20"/>
                <w:szCs w:val="20"/>
              </w:rPr>
              <w:t>Superbonus</w:t>
            </w:r>
          </w:p>
          <w:p>
            <w:pPr>
              <w:pStyle w:val="Paragrafoelenco"/>
              <w:spacing w:after="100"/>
              <w:ind w:left="0"/>
              <w:jc w:val="center"/>
              <w:rPr>
                <w:rFonts w:ascii="Times New Roman" w:hAnsi="Times New Roman" w:cs="Times New Roman"/>
                <w:sz w:val="20"/>
                <w:szCs w:val="20"/>
              </w:rPr>
            </w:pPr>
            <w:r>
              <w:rPr>
                <w:rFonts w:ascii="Times New Roman" w:hAnsi="Times New Roman" w:cs="Times New Roman"/>
                <w:sz w:val="20"/>
                <w:szCs w:val="20"/>
              </w:rPr>
              <w:t xml:space="preserve">110% (art. 119 DL 34/2020)</w:t>
            </w:r>
          </w:p>
        </w:tc>
        <w:tc>
          <w:tcPr>
            <w:tcW w:w="1275" w:type="dxa"/>
            <w:vAlign w:val="center"/>
          </w:tcPr>
          <w:p>
            <w:pPr>
              <w:pStyle w:val="Paragrafoelenco"/>
              <w:spacing w:after="100"/>
              <w:ind w:left="0"/>
              <w:jc w:val="center"/>
              <w:rPr>
                <w:rFonts w:ascii="Times New Roman" w:hAnsi="Times New Roman" w:cs="Times New Roman"/>
                <w:b/>
                <w:sz w:val="20"/>
                <w:szCs w:val="20"/>
              </w:rPr>
            </w:pPr>
            <w:r>
              <w:rPr>
                <w:rFonts w:ascii="Times New Roman" w:hAnsi="Times New Roman" w:cs="Times New Roman"/>
                <w:b/>
                <w:sz w:val="20"/>
                <w:szCs w:val="20"/>
              </w:rPr>
              <w:t xml:space="preserve">7719</w:t>
            </w:r>
          </w:p>
        </w:tc>
        <w:tc>
          <w:tcPr>
            <w:tcW w:w="1989" w:type="dxa"/>
            <w:vAlign w:val="center"/>
          </w:tcPr>
          <w:p>
            <w:pPr>
              <w:pStyle w:val="Paragrafoelenco"/>
              <w:spacing w:after="100"/>
              <w:ind w:left="0"/>
              <w:jc w:val="center"/>
              <w:rPr>
                <w:rFonts w:ascii="Times New Roman" w:hAnsi="Times New Roman" w:cs="Times New Roman"/>
                <w:b/>
                <w:sz w:val="20"/>
                <w:szCs w:val="20"/>
              </w:rPr>
            </w:pPr>
            <w:r>
              <w:rPr>
                <w:rFonts w:ascii="Times New Roman" w:hAnsi="Times New Roman" w:cs="Times New Roman"/>
                <w:b/>
                <w:sz w:val="20"/>
                <w:szCs w:val="20"/>
              </w:rPr>
              <w:t xml:space="preserve">25.633,00</w:t>
            </w:r>
          </w:p>
        </w:tc>
        <w:tc>
          <w:tcPr>
            <w:tcW w:w="1760" w:type="dxa"/>
            <w:vAlign w:val="center"/>
          </w:tcPr>
          <w:p>
            <w:pPr>
              <w:pStyle w:val="Paragrafoelenco"/>
              <w:spacing w:after="100"/>
              <w:ind w:left="0"/>
              <w:jc w:val="center"/>
              <w:rPr>
                <w:rFonts w:ascii="Times New Roman" w:hAnsi="Times New Roman" w:cs="Times New Roman"/>
                <w:b/>
                <w:sz w:val="20"/>
                <w:szCs w:val="20"/>
              </w:rPr>
            </w:pPr>
            <w:r>
              <w:rPr>
                <w:rFonts w:ascii="Times New Roman" w:hAnsi="Times New Roman" w:cs="Times New Roman"/>
                <w:b/>
                <w:sz w:val="20"/>
                <w:szCs w:val="20"/>
              </w:rPr>
              <w:t xml:space="preserve">2026</w:t>
            </w:r>
          </w:p>
        </w:tc>
        <w:tc>
          <w:tcPr>
            <w:tcW w:w="1780" w:type="dxa"/>
            <w:vAlign w:val="center"/>
          </w:tcPr>
          <w:p>
            <w:pPr>
              <w:pStyle w:val="Paragrafoelenco"/>
              <w:spacing w:after="100"/>
              <w:ind w:left="0"/>
              <w:jc w:val="center"/>
              <w:rPr>
                <w:rFonts w:ascii="Times New Roman" w:hAnsi="Times New Roman" w:cs="Times New Roman"/>
                <w:b/>
                <w:sz w:val="20"/>
                <w:szCs w:val="20"/>
              </w:rPr>
            </w:pPr>
            <w:r>
              <w:rPr>
                <w:rFonts w:ascii="Times New Roman" w:hAnsi="Times New Roman" w:cs="Times New Roman"/>
                <w:b/>
                <w:sz w:val="20"/>
                <w:szCs w:val="20"/>
              </w:rPr>
              <w:t xml:space="preserve">23.069,70</w:t>
            </w:r>
          </w:p>
        </w:tc>
      </w:tr>
    </w:tbl>
    <w:p>
      <w:pPr>
        <w:spacing w:after="100" w:line="360" w:lineRule="auto"/>
        <w:ind w:left="708"/>
        <w:jc w:val="both"/>
        <w:rPr>
          <w:rFonts w:ascii="Times New Roman" w:hAnsi="Times New Roman" w:cs="Times New Roman"/>
          <w:sz w:val="20"/>
          <w:szCs w:val="20"/>
        </w:rPr>
      </w:pPr>
    </w:p>
    <w:p>
      <w:pPr>
        <w:spacing w:after="100" w:line="360" w:lineRule="auto"/>
        <w:ind w:left="708"/>
        <w:jc w:val="both"/>
        <w:rPr>
          <w:rFonts w:ascii="Times New Roman" w:hAnsi="Times New Roman" w:cs="Times New Roman"/>
          <w:sz w:val="20"/>
          <w:szCs w:val="20"/>
        </w:rPr>
      </w:pPr>
      <w:r>
        <w:rPr>
          <w:rFonts w:ascii="Times New Roman" w:hAnsi="Times New Roman" w:cs="Times New Roman"/>
          <w:sz w:val="20"/>
          <w:szCs w:val="20"/>
        </w:rPr>
        <w:t>Il Cedente, con il versamento sul Conto del Prezzo da parte del Cessionario, non avrà null'altro a pretendere nei confronti del Cessionario con riferimento alla cessione del Credito di Imposta di cui al presente contratto.</w:t>
      </w:r>
    </w:p>
    <w:p>
      <w:pPr>
        <w:pStyle w:val="Paragrafoelenco"/>
        <w:keepNext/>
        <w:numPr>
          <w:ilvl w:val="0"/>
          <w:numId w:val="2"/>
        </w:numPr>
        <w:spacing w:before="240" w:after="100" w:line="36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DICHIARAZIONI E GARANZIE DEL CEDENTE – MANLEVA</w:t>
      </w:r>
    </w:p>
    <w:p>
      <w:pPr>
        <w:spacing w:after="100" w:line="360" w:lineRule="auto"/>
        <w:ind w:left="708"/>
        <w:jc w:val="both"/>
        <w:rPr>
          <w:rFonts w:ascii="Times New Roman" w:hAnsi="Times New Roman" w:cs="Times New Roman"/>
          <w:sz w:val="20"/>
          <w:szCs w:val="20"/>
        </w:rPr>
      </w:pPr>
      <w:r>
        <w:rPr>
          <w:rFonts w:ascii="Times New Roman" w:hAnsi="Times New Roman" w:cs="Times New Roman"/>
          <w:sz w:val="20"/>
          <w:szCs w:val="20"/>
        </w:rPr>
        <w:t xml:space="preserve">Il Cedente dichiara e garantisce che il credito oggetto della presente cessione si basa su una detrazione d’imposta a lui spettante. </w:t>
      </w:r>
    </w:p>
    <w:p>
      <w:pPr>
        <w:spacing w:after="100" w:line="360" w:lineRule="auto"/>
        <w:ind w:left="708"/>
        <w:jc w:val="both"/>
        <w:rPr>
          <w:rFonts w:ascii="Times New Roman" w:hAnsi="Times New Roman" w:cs="Times New Roman"/>
          <w:sz w:val="20"/>
          <w:szCs w:val="20"/>
        </w:rPr>
      </w:pPr>
      <w:r>
        <w:rPr>
          <w:rFonts w:ascii="Times New Roman" w:hAnsi="Times New Roman" w:cs="Times New Roman"/>
          <w:sz w:val="20"/>
          <w:szCs w:val="20"/>
        </w:rPr>
        <w:t>Il Cedente dichiara e garantisce al Cessionario:</w:t>
      </w:r>
    </w:p>
    <w:p>
      <w:pPr>
        <w:pStyle w:val="Paragrafoelenco"/>
        <w:numPr>
          <w:ilvl w:val="0"/>
          <w:numId w:val="3"/>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di non aver adottato alcuna iniziativa che possa dar luogo: ad una procedura concorsuale, a piani di risanamento dell'esposizione debitoria o ad accordi di ristrutturazione dei debiti, a liquidazione, ove applicabile, a riduzione del capitale sociale ai sensi degli artt. 2446 o 2447, ovvero ancora ai sensi degli artt. 2482-bis o 2482-ter del codice civile, allo scioglimento, ovvero a situazioni analoghe a quelle sopra indicate;</w:t>
      </w:r>
    </w:p>
    <w:p>
      <w:pPr>
        <w:pStyle w:val="Paragrafoelenco"/>
        <w:numPr>
          <w:ilvl w:val="0"/>
          <w:numId w:val="3"/>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di non essere sottoposto ad alcuna procedura concorsuale o ad altra procedura che comporti restrizioni ai diritti dei creditori;</w:t>
      </w:r>
    </w:p>
    <w:p>
      <w:pPr>
        <w:pStyle w:val="Paragrafoelenco"/>
        <w:numPr>
          <w:ilvl w:val="0"/>
          <w:numId w:val="3"/>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che non sono stati approvati, né sono in corso attività volte alla predisposizione di, piani di risanamento dell'esposizione debitoria o accordi di ristrutturazione dei debiti;</w:t>
      </w:r>
    </w:p>
    <w:p>
      <w:pPr>
        <w:pStyle w:val="Paragrafoelenco"/>
        <w:numPr>
          <w:ilvl w:val="0"/>
          <w:numId w:val="3"/>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che, per quanto a propria conoscenza e dopo aver effettuato le opportune verifiche del caso, non sono stati presentati nei suoi confronti ricorsi o richieste di fallimento o di ammissione ad altre procedure concorsuali, né alcuna richiesta di concordato preventivo;</w:t>
      </w:r>
    </w:p>
    <w:p>
      <w:pPr>
        <w:pStyle w:val="Paragrafoelenco"/>
        <w:numPr>
          <w:ilvl w:val="0"/>
          <w:numId w:val="3"/>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di non essere inadempiente ai propri obblighi fiscali verso le competenti amministrazioni, ai propri obblighi di pagamento derivanti da operazioni di indebitamento di natura finanziaria o ai propri obblighi di pagamento nei confronti dei propri fornitori, in modo tale per cui, tale eventuale inadempimento possa ragionevolmente determinare l'insolvenza del Cedente entro sei mesi dalla data del presente contratto</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Il Cedente dà espressamente atto che il Cessionario non è stato in alcun modo coinvolto, né ha fornito alcun contributo, rispetto al processo di formazione del Credito di Imposta.</w:t>
      </w:r>
    </w:p>
    <w:p>
      <w:pPr>
        <w:pStyle w:val="Paragrafoelenco"/>
        <w:spacing w:after="100" w:line="360" w:lineRule="auto"/>
        <w:jc w:val="both"/>
        <w:rPr>
          <w:rFonts w:ascii="Times New Roman" w:hAnsi="Times New Roman" w:cs="Times New Roman"/>
          <w:sz w:val="20"/>
          <w:szCs w:val="20"/>
        </w:rPr>
      </w:pPr>
    </w:p>
    <w:p>
      <w:pPr>
        <w:pStyle w:val="Paragrafoelenco"/>
        <w:keepNext/>
        <w:numPr>
          <w:ilvl w:val="0"/>
          <w:numId w:val="2"/>
        </w:numPr>
        <w:spacing w:after="100" w:line="360" w:lineRule="auto"/>
        <w:rPr>
          <w:rFonts w:ascii="Times New Roman" w:hAnsi="Times New Roman" w:cs="Times New Roman"/>
          <w:b/>
          <w:bCs/>
          <w:sz w:val="20"/>
          <w:szCs w:val="20"/>
        </w:rPr>
      </w:pPr>
      <w:r>
        <w:rPr>
          <w:rFonts w:ascii="Times New Roman" w:hAnsi="Times New Roman" w:cs="Times New Roman"/>
          <w:b/>
          <w:bCs/>
          <w:sz w:val="20"/>
          <w:szCs w:val="20"/>
        </w:rPr>
        <w:lastRenderedPageBreak/>
        <w:t>CONDIZIONE RISOLUTIVA</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Il presente contratto sarà risolto sin dalla sua sottoscrizione qualora, entro 7 giorni lavorativi dalla data del presente contratto, nella Piattaforma ADE il Cessionario non dovesse riscontrare come ceduto a proprio favore il Credito di Imposta, ovvero dovesse risultare un credito di imposta trasferito dal Cedente diverso, sotto qualunque aspetto (ad es. importo ceduto, codice tributo, anno di riferimento, ecc.), rispetto al Credito di Imposta come sopra individuato.</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In ogni caso di risoluzione di cui al punto che precede, la cessione del Credito di Imposta si intenderà come mai effettuata e, pertanto, non sarà dovuto alcun Prezzo.</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Nel caso di trasferimento di un credito difforme da quello pattuito, sotto qualunque aspetto – ad es. importo ceduto, codice tributo, anno di riferimento, ecc., il Cessionario dovrà rifiutare, entro 7 giorni lavorativi, nella Piattaforma ADE la cessione a proprio favore del credito di imposta da parte del Cedente.</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Qualora una qualsiasi delle dichiarazioni rese dal Cedente nel presente contratto si riveli inesatta in misura tale da pregiudicare l'affidamento del Cessionario, quest'ultimo potrà risolvere il presente contratto ai sensi dell'art. 1456 del codice civile; in tal caso, il presente contratto si intenderà risolto di diritto nel momento in cui il Cessionario comunicherà al Cedente l'intenzione di avvalersi della presente clausola risolutiva espressa.</w:t>
      </w:r>
    </w:p>
    <w:p>
      <w:pPr>
        <w:pStyle w:val="Paragrafoelenco"/>
        <w:spacing w:after="100" w:line="360" w:lineRule="auto"/>
        <w:jc w:val="both"/>
        <w:rPr>
          <w:rFonts w:ascii="Times New Roman" w:hAnsi="Times New Roman" w:cs="Times New Roman"/>
          <w:sz w:val="20"/>
          <w:szCs w:val="20"/>
        </w:rPr>
      </w:pPr>
    </w:p>
    <w:p>
      <w:pPr>
        <w:pStyle w:val="Paragrafoelenco"/>
        <w:keepNext/>
        <w:numPr>
          <w:ilvl w:val="0"/>
          <w:numId w:val="2"/>
        </w:numPr>
        <w:spacing w:after="100" w:line="360" w:lineRule="auto"/>
        <w:rPr>
          <w:rFonts w:ascii="Times New Roman" w:hAnsi="Times New Roman" w:cs="Times New Roman"/>
          <w:b/>
          <w:bCs/>
          <w:sz w:val="20"/>
          <w:szCs w:val="20"/>
        </w:rPr>
      </w:pPr>
      <w:r>
        <w:rPr>
          <w:rFonts w:ascii="Times New Roman" w:hAnsi="Times New Roman" w:cs="Times New Roman"/>
          <w:b/>
          <w:bCs/>
          <w:sz w:val="20"/>
          <w:szCs w:val="20"/>
        </w:rPr>
        <w:t>LEGGE APPLICABILE E FORO COMPETENTE</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Il presente contratto è esclusivamente sottoposto alla legge italiana.</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Per ogni controversia relativa o connessa al presente contratto sarà competente in via esclusiva il foro del Cliente.</w:t>
      </w:r>
    </w:p>
    <w:p>
      <w:pPr>
        <w:pStyle w:val="Paragrafoelenco"/>
        <w:spacing w:after="100" w:line="360" w:lineRule="auto"/>
        <w:jc w:val="both"/>
        <w:rPr>
          <w:rFonts w:ascii="Times New Roman" w:hAnsi="Times New Roman" w:cs="Times New Roman"/>
          <w:sz w:val="20"/>
          <w:szCs w:val="20"/>
        </w:rPr>
      </w:pPr>
    </w:p>
    <w:p>
      <w:pPr>
        <w:pStyle w:val="Paragrafoelenco"/>
        <w:keepNext/>
        <w:numPr>
          <w:ilvl w:val="0"/>
          <w:numId w:val="2"/>
        </w:numPr>
        <w:spacing w:after="100" w:line="360" w:lineRule="auto"/>
        <w:rPr>
          <w:rFonts w:ascii="Times New Roman" w:hAnsi="Times New Roman" w:cs="Times New Roman"/>
          <w:b/>
          <w:bCs/>
          <w:sz w:val="20"/>
          <w:szCs w:val="20"/>
        </w:rPr>
      </w:pPr>
      <w:r>
        <w:rPr>
          <w:rFonts w:ascii="Times New Roman" w:hAnsi="Times New Roman" w:cs="Times New Roman"/>
          <w:b/>
          <w:bCs/>
          <w:sz w:val="20"/>
          <w:szCs w:val="20"/>
        </w:rPr>
        <w:t>DISPOSIZIONI FINALI</w:t>
      </w:r>
    </w:p>
    <w:p>
      <w:pPr>
        <w:pStyle w:val="Paragrafoelenco"/>
        <w:keepNext/>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Il presente contratto prevale su qualunque contratto precedente o contemporaneo, scritto o orale, tra le Parti con riferimento al medesimo oggetto. Qualunque modifica al presente contratto sarà valida solo se firmata ed accettata per iscritto dalle Parti. </w:t>
      </w:r>
    </w:p>
    <w:p>
      <w:pPr>
        <w:pStyle w:val="Paragrafoelenco"/>
        <w:keepNext/>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Letto, accettato e sottoscritto.                                                                                                         </w:t>
      </w:r>
    </w:p>
    <w:p>
      <w:pPr>
        <w:keepNext/>
        <w:spacing w:after="100" w:line="120" w:lineRule="atLeast"/>
        <w:rPr>
          <w:rFonts w:ascii="Times New Roman" w:hAnsi="Times New Roman" w:cs="Times New Roman"/>
        </w:rPr>
      </w:pPr>
      <w:r>
        <w:rPr>
          <w:rFonts w:ascii="Times New Roman" w:hAnsi="Times New Roman" w:cs="Times New Roman"/>
        </w:rPr>
        <w:t xml:space="preserve">Caserta, lì 07/03/2026</w:t>
      </w:r>
    </w:p>
    <w:p>
      <w:pPr>
        <w:keepNext/>
        <w:ind w:left="1416" w:firstLine="708"/>
        <w:rPr>
          <w:rFonts w:ascii="Times New Roman" w:hAnsi="Times New Roman" w:cs="Times New Roman"/>
        </w:rPr>
      </w:pPr>
      <w:r>
        <w:rPr>
          <w:rFonts w:ascii="Times New Roman" w:hAnsi="Times New Roman" w:cs="Times New Roman"/>
        </w:rPr>
        <w:t>Il Cedente                                                                      Il Cessionario</w:t>
      </w:r>
    </w:p>
    <w:p>
      <w:pPr>
        <w:tabs>
          <w:tab w:val="left" w:pos="5500"/>
        </w:tabs>
        <w:ind w:firstLine="708"/>
      </w:pPr>
      <w:r>
        <w:rPr>
          <w:noProof/>
          <w:lang w:eastAsia="it-IT"/>
        </w:rPr>
        <w:drawing>
          <wp:inline distT="0" distB="0" distL="0" distR="0">
            <wp:extent cx="2324100" cy="714375"/>
            <wp:effectExtent l="0" t="0" r="0" b="952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24100" cy="714375"/>
                    </a:xfrm>
                    <a:prstGeom prst="rect">
                      <a:avLst/>
                    </a:prstGeom>
                  </pic:spPr>
                </pic:pic>
              </a:graphicData>
            </a:graphic>
          </wp:inline>
        </w:drawing>
      </w:r>
      <w:r>
        <w:tab/>
      </w:r>
      <w:r>
        <w:rPr>
          <w:noProof/>
          <w:lang w:eastAsia="it-IT"/>
        </w:rPr>
        <w:drawing>
          <wp:inline distT="0" distB="0" distL="0" distR="0">
            <wp:extent cx="2324100" cy="71869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9"/>
                    <a:stretch>
                      <a:fillRect/>
                    </a:stretch>
                  </pic:blipFill>
                  <pic:spPr>
                    <a:xfrm>
                      <a:off x="0" y="0"/>
                      <a:ext cx="2324100" cy="718690"/>
                    </a:xfrm>
                    <a:prstGeom prst="rect">
                      <a:avLst/>
                    </a:prstGeom>
                  </pic:spPr>
                </pic:pic>
              </a:graphicData>
            </a:graphic>
          </wp:inline>
        </w:drawing>
      </w:r>
    </w:p>
    <w:sectPr>
      <w:pgSz w:w="11906" w:h="16838"/>
      <w:pgMar w:top="709" w:right="1416" w:bottom="426"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22777"/>
    <w:multiLevelType w:val="hybridMultilevel"/>
    <w:tmpl w:val="D844377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571B798E"/>
    <w:multiLevelType w:val="hybridMultilevel"/>
    <w:tmpl w:val="6DB8B806"/>
    <w:lvl w:ilvl="0" w:tplc="2FE033CC">
      <w:start w:val="1"/>
      <w:numFmt w:val="lowerLetter"/>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 w15:restartNumberingAfterBreak="0">
    <w:nsid w:val="6F0B5395"/>
    <w:multiLevelType w:val="multilevel"/>
    <w:tmpl w:val="695EC1F6"/>
    <w:lvl w:ilvl="0">
      <w:start w:val="1"/>
      <w:numFmt w:val="decimal"/>
      <w:pStyle w:val="Titolo1"/>
      <w:lvlText w:val="%1."/>
      <w:lvlJc w:val="left"/>
      <w:pPr>
        <w:tabs>
          <w:tab w:val="num" w:pos="720"/>
        </w:tabs>
        <w:ind w:left="720" w:hanging="720"/>
      </w:pPr>
    </w:lvl>
    <w:lvl w:ilvl="1">
      <w:start w:val="1"/>
      <w:numFmt w:val="decimal"/>
      <w:pStyle w:val="Titolo2"/>
      <w:lvlText w:val="%2."/>
      <w:lvlJc w:val="left"/>
      <w:pPr>
        <w:tabs>
          <w:tab w:val="num" w:pos="1440"/>
        </w:tabs>
        <w:ind w:left="1440" w:hanging="720"/>
      </w:pPr>
    </w:lvl>
    <w:lvl w:ilvl="2">
      <w:start w:val="1"/>
      <w:numFmt w:val="decimal"/>
      <w:pStyle w:val="Titolo3"/>
      <w:lvlText w:val="%3."/>
      <w:lvlJc w:val="left"/>
      <w:pPr>
        <w:tabs>
          <w:tab w:val="num" w:pos="2160"/>
        </w:tabs>
        <w:ind w:left="2160" w:hanging="720"/>
      </w:pPr>
    </w:lvl>
    <w:lvl w:ilvl="3">
      <w:start w:val="1"/>
      <w:numFmt w:val="decimal"/>
      <w:pStyle w:val="Titolo4"/>
      <w:lvlText w:val="%4."/>
      <w:lvlJc w:val="left"/>
      <w:pPr>
        <w:tabs>
          <w:tab w:val="num" w:pos="2880"/>
        </w:tabs>
        <w:ind w:left="2880" w:hanging="720"/>
      </w:pPr>
    </w:lvl>
    <w:lvl w:ilvl="4">
      <w:start w:val="1"/>
      <w:numFmt w:val="decimal"/>
      <w:pStyle w:val="Titolo5"/>
      <w:lvlText w:val="%5."/>
      <w:lvlJc w:val="left"/>
      <w:pPr>
        <w:tabs>
          <w:tab w:val="num" w:pos="3600"/>
        </w:tabs>
        <w:ind w:left="3600" w:hanging="720"/>
      </w:pPr>
    </w:lvl>
    <w:lvl w:ilvl="5">
      <w:start w:val="1"/>
      <w:numFmt w:val="decimal"/>
      <w:pStyle w:val="Titolo6"/>
      <w:lvlText w:val="%6."/>
      <w:lvlJc w:val="left"/>
      <w:pPr>
        <w:tabs>
          <w:tab w:val="num" w:pos="4320"/>
        </w:tabs>
        <w:ind w:left="4320" w:hanging="720"/>
      </w:pPr>
    </w:lvl>
    <w:lvl w:ilvl="6">
      <w:start w:val="1"/>
      <w:numFmt w:val="decimal"/>
      <w:pStyle w:val="Titolo7"/>
      <w:lvlText w:val="%7."/>
      <w:lvlJc w:val="left"/>
      <w:pPr>
        <w:tabs>
          <w:tab w:val="num" w:pos="5040"/>
        </w:tabs>
        <w:ind w:left="5040" w:hanging="720"/>
      </w:pPr>
    </w:lvl>
    <w:lvl w:ilvl="7">
      <w:start w:val="1"/>
      <w:numFmt w:val="decimal"/>
      <w:pStyle w:val="Titolo8"/>
      <w:lvlText w:val="%8."/>
      <w:lvlJc w:val="left"/>
      <w:pPr>
        <w:tabs>
          <w:tab w:val="num" w:pos="5760"/>
        </w:tabs>
        <w:ind w:left="5760" w:hanging="720"/>
      </w:pPr>
    </w:lvl>
    <w:lvl w:ilvl="8">
      <w:start w:val="1"/>
      <w:numFmt w:val="decimal"/>
      <w:pStyle w:val="Titolo9"/>
      <w:lvlText w:val="%9."/>
      <w:lvlJc w:val="left"/>
      <w:pPr>
        <w:tabs>
          <w:tab w:val="num" w:pos="6480"/>
        </w:tabs>
        <w:ind w:left="6480" w:hanging="720"/>
      </w:pPr>
    </w:lvl>
  </w:abstractNum>
  <w:abstractNum w:abstractNumId="3" w15:restartNumberingAfterBreak="0">
    <w:nsid w:val="76DD46EF"/>
    <w:multiLevelType w:val="hybridMultilevel"/>
    <w:tmpl w:val="EC22949A"/>
    <w:lvl w:ilvl="0" w:tplc="604231DE">
      <w:start w:val="1"/>
      <w:numFmt w:val="upperLetter"/>
      <w:lvlText w:val="%1."/>
      <w:lvlJc w:val="left"/>
      <w:pPr>
        <w:ind w:left="720" w:hanging="360"/>
      </w:pPr>
      <w:rPr>
        <w:rFonts w:hint="default"/>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173959457">
    <w:abstractNumId w:val="3"/>
  </w:num>
  <w:num w:numId="2" w16cid:durableId="1801528859">
    <w:abstractNumId w:val="0"/>
  </w:num>
  <w:num w:numId="3" w16cid:durableId="2013146445">
    <w:abstractNumId w:val="1"/>
  </w:num>
  <w:num w:numId="4" w16cid:durableId="472523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pPr>
      <w:keepNext/>
      <w:numPr>
        <w:numId w:val="4"/>
      </w:numPr>
      <w:spacing w:before="240" w:after="60" w:line="240" w:lineRule="auto"/>
      <w:outlineLvl w:val="0"/>
    </w:pPr>
    <w:rPr>
      <w:rFonts w:asciiTheme="majorHAnsi" w:eastAsiaTheme="majorEastAsia" w:hAnsiTheme="majorHAnsi" w:cstheme="majorBidi"/>
      <w:b/>
      <w:bCs/>
      <w:kern w:val="32"/>
      <w:sz w:val="32"/>
      <w:szCs w:val="32"/>
      <w:lang w:val="en-US"/>
    </w:rPr>
  </w:style>
  <w:style w:type="paragraph" w:styleId="Titolo2">
    <w:name w:val="heading 2"/>
    <w:basedOn w:val="Normale"/>
    <w:next w:val="Normale"/>
    <w:link w:val="Titolo2Carattere"/>
    <w:uiPriority w:val="9"/>
    <w:semiHidden/>
    <w:unhideWhenUsed/>
    <w:qFormat/>
    <w:pPr>
      <w:keepNext/>
      <w:numPr>
        <w:ilvl w:val="1"/>
        <w:numId w:val="4"/>
      </w:numPr>
      <w:spacing w:before="240" w:after="60" w:line="240" w:lineRule="auto"/>
      <w:outlineLvl w:val="1"/>
    </w:pPr>
    <w:rPr>
      <w:rFonts w:asciiTheme="majorHAnsi" w:eastAsiaTheme="majorEastAsia" w:hAnsiTheme="majorHAnsi" w:cstheme="majorBidi"/>
      <w:b/>
      <w:bCs/>
      <w:i/>
      <w:iCs/>
      <w:sz w:val="28"/>
      <w:szCs w:val="28"/>
      <w:lang w:val="en-US"/>
    </w:rPr>
  </w:style>
  <w:style w:type="paragraph" w:styleId="Titolo3">
    <w:name w:val="heading 3"/>
    <w:basedOn w:val="Normale"/>
    <w:next w:val="Normale"/>
    <w:link w:val="Titolo3Carattere"/>
    <w:uiPriority w:val="9"/>
    <w:semiHidden/>
    <w:unhideWhenUsed/>
    <w:qFormat/>
    <w:pPr>
      <w:keepNext/>
      <w:numPr>
        <w:ilvl w:val="2"/>
        <w:numId w:val="4"/>
      </w:numPr>
      <w:spacing w:before="240" w:after="60" w:line="240" w:lineRule="auto"/>
      <w:outlineLvl w:val="2"/>
    </w:pPr>
    <w:rPr>
      <w:rFonts w:asciiTheme="majorHAnsi" w:eastAsiaTheme="majorEastAsia" w:hAnsiTheme="majorHAnsi" w:cstheme="majorBidi"/>
      <w:b/>
      <w:bCs/>
      <w:sz w:val="26"/>
      <w:szCs w:val="26"/>
      <w:lang w:val="en-US"/>
    </w:rPr>
  </w:style>
  <w:style w:type="paragraph" w:styleId="Titolo4">
    <w:name w:val="heading 4"/>
    <w:basedOn w:val="Normale"/>
    <w:next w:val="Normale"/>
    <w:link w:val="Titolo4Carattere"/>
    <w:uiPriority w:val="9"/>
    <w:semiHidden/>
    <w:unhideWhenUsed/>
    <w:qFormat/>
    <w:pPr>
      <w:keepNext/>
      <w:numPr>
        <w:ilvl w:val="3"/>
        <w:numId w:val="4"/>
      </w:numPr>
      <w:spacing w:before="240" w:after="60" w:line="240" w:lineRule="auto"/>
      <w:outlineLvl w:val="3"/>
    </w:pPr>
    <w:rPr>
      <w:rFonts w:eastAsiaTheme="minorEastAsia"/>
      <w:b/>
      <w:bCs/>
      <w:sz w:val="28"/>
      <w:szCs w:val="28"/>
      <w:lang w:val="en-US"/>
    </w:rPr>
  </w:style>
  <w:style w:type="paragraph" w:styleId="Titolo5">
    <w:name w:val="heading 5"/>
    <w:basedOn w:val="Normale"/>
    <w:next w:val="Normale"/>
    <w:link w:val="Titolo5Carattere"/>
    <w:uiPriority w:val="9"/>
    <w:semiHidden/>
    <w:unhideWhenUsed/>
    <w:qFormat/>
    <w:pPr>
      <w:numPr>
        <w:ilvl w:val="4"/>
        <w:numId w:val="4"/>
      </w:numPr>
      <w:spacing w:before="240" w:after="60" w:line="240" w:lineRule="auto"/>
      <w:outlineLvl w:val="4"/>
    </w:pPr>
    <w:rPr>
      <w:rFonts w:eastAsiaTheme="minorEastAsia"/>
      <w:b/>
      <w:bCs/>
      <w:i/>
      <w:iCs/>
      <w:sz w:val="26"/>
      <w:szCs w:val="26"/>
      <w:lang w:val="en-US"/>
    </w:rPr>
  </w:style>
  <w:style w:type="paragraph" w:styleId="Titolo6">
    <w:name w:val="heading 6"/>
    <w:basedOn w:val="Normale"/>
    <w:next w:val="Normale"/>
    <w:link w:val="Titolo6Carattere"/>
    <w:qFormat/>
    <w:pPr>
      <w:numPr>
        <w:ilvl w:val="5"/>
        <w:numId w:val="4"/>
      </w:numPr>
      <w:spacing w:before="240" w:after="60" w:line="240" w:lineRule="auto"/>
      <w:outlineLvl w:val="5"/>
    </w:pPr>
    <w:rPr>
      <w:rFonts w:ascii="Times New Roman" w:eastAsia="Times New Roman" w:hAnsi="Times New Roman" w:cs="Times New Roman"/>
      <w:b/>
      <w:bCs/>
      <w:lang w:val="en-US"/>
    </w:rPr>
  </w:style>
  <w:style w:type="paragraph" w:styleId="Titolo7">
    <w:name w:val="heading 7"/>
    <w:basedOn w:val="Normale"/>
    <w:next w:val="Normale"/>
    <w:link w:val="Titolo7Carattere"/>
    <w:uiPriority w:val="9"/>
    <w:semiHidden/>
    <w:unhideWhenUsed/>
    <w:qFormat/>
    <w:pPr>
      <w:numPr>
        <w:ilvl w:val="6"/>
        <w:numId w:val="4"/>
      </w:numPr>
      <w:spacing w:before="240" w:after="60" w:line="240" w:lineRule="auto"/>
      <w:outlineLvl w:val="6"/>
    </w:pPr>
    <w:rPr>
      <w:rFonts w:eastAsiaTheme="minorEastAsia"/>
      <w:sz w:val="24"/>
      <w:szCs w:val="24"/>
      <w:lang w:val="en-US"/>
    </w:rPr>
  </w:style>
  <w:style w:type="paragraph" w:styleId="Titolo8">
    <w:name w:val="heading 8"/>
    <w:basedOn w:val="Normale"/>
    <w:next w:val="Normale"/>
    <w:link w:val="Titolo8Carattere"/>
    <w:uiPriority w:val="9"/>
    <w:semiHidden/>
    <w:unhideWhenUsed/>
    <w:qFormat/>
    <w:pPr>
      <w:numPr>
        <w:ilvl w:val="7"/>
        <w:numId w:val="4"/>
      </w:numPr>
      <w:spacing w:before="240" w:after="60" w:line="240" w:lineRule="auto"/>
      <w:outlineLvl w:val="7"/>
    </w:pPr>
    <w:rPr>
      <w:rFonts w:eastAsiaTheme="minorEastAsia"/>
      <w:i/>
      <w:iCs/>
      <w:sz w:val="24"/>
      <w:szCs w:val="24"/>
      <w:lang w:val="en-US"/>
    </w:rPr>
  </w:style>
  <w:style w:type="paragraph" w:styleId="Titolo9">
    <w:name w:val="heading 9"/>
    <w:basedOn w:val="Normale"/>
    <w:next w:val="Normale"/>
    <w:link w:val="Titolo9Carattere"/>
    <w:uiPriority w:val="9"/>
    <w:semiHidden/>
    <w:unhideWhenUsed/>
    <w:qFormat/>
    <w:pPr>
      <w:numPr>
        <w:ilvl w:val="8"/>
        <w:numId w:val="4"/>
      </w:numPr>
      <w:spacing w:before="240" w:after="60" w:line="240" w:lineRule="auto"/>
      <w:outlineLvl w:val="8"/>
    </w:pPr>
    <w:rPr>
      <w:rFonts w:asciiTheme="majorHAnsi" w:eastAsiaTheme="majorEastAsia" w:hAnsiTheme="majorHAnsi" w:cstheme="majorBidi"/>
      <w:lang w:val="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pPr>
      <w:ind w:left="720"/>
      <w:contextualSpacing/>
    </w:pPr>
  </w:style>
  <w:style w:type="table" w:styleId="Grigliatabella">
    <w:name w:val="Table Grid"/>
    <w:basedOn w:val="Tabellanormale"/>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basedOn w:val="Carpredefinitoparagrafo"/>
    <w:link w:val="Titolo1"/>
    <w:uiPriority w:val="9"/>
    <w:rPr>
      <w:rFonts w:asciiTheme="majorHAnsi" w:eastAsiaTheme="majorEastAsia" w:hAnsiTheme="majorHAnsi" w:cstheme="majorBidi"/>
      <w:b/>
      <w:bCs/>
      <w:kern w:val="32"/>
      <w:sz w:val="32"/>
      <w:szCs w:val="32"/>
      <w:lang w:val="en-US"/>
    </w:rPr>
  </w:style>
  <w:style w:type="character" w:customStyle="1" w:styleId="Titolo2Carattere">
    <w:name w:val="Titolo 2 Carattere"/>
    <w:basedOn w:val="Carpredefinitoparagrafo"/>
    <w:link w:val="Titolo2"/>
    <w:uiPriority w:val="9"/>
    <w:semiHidden/>
    <w:rPr>
      <w:rFonts w:asciiTheme="majorHAnsi" w:eastAsiaTheme="majorEastAsia" w:hAnsiTheme="majorHAnsi" w:cstheme="majorBidi"/>
      <w:b/>
      <w:bCs/>
      <w:i/>
      <w:iCs/>
      <w:sz w:val="28"/>
      <w:szCs w:val="28"/>
      <w:lang w:val="en-US"/>
    </w:rPr>
  </w:style>
  <w:style w:type="character" w:customStyle="1" w:styleId="Titolo3Carattere">
    <w:name w:val="Titolo 3 Carattere"/>
    <w:basedOn w:val="Carpredefinitoparagrafo"/>
    <w:link w:val="Titolo3"/>
    <w:uiPriority w:val="9"/>
    <w:semiHidden/>
    <w:rPr>
      <w:rFonts w:asciiTheme="majorHAnsi" w:eastAsiaTheme="majorEastAsia" w:hAnsiTheme="majorHAnsi" w:cstheme="majorBidi"/>
      <w:b/>
      <w:bCs/>
      <w:sz w:val="26"/>
      <w:szCs w:val="26"/>
      <w:lang w:val="en-US"/>
    </w:rPr>
  </w:style>
  <w:style w:type="character" w:customStyle="1" w:styleId="Titolo4Carattere">
    <w:name w:val="Titolo 4 Carattere"/>
    <w:basedOn w:val="Carpredefinitoparagrafo"/>
    <w:link w:val="Titolo4"/>
    <w:uiPriority w:val="9"/>
    <w:semiHidden/>
    <w:rPr>
      <w:rFonts w:eastAsiaTheme="minorEastAsia"/>
      <w:b/>
      <w:bCs/>
      <w:sz w:val="28"/>
      <w:szCs w:val="28"/>
      <w:lang w:val="en-US"/>
    </w:rPr>
  </w:style>
  <w:style w:type="character" w:customStyle="1" w:styleId="Titolo5Carattere">
    <w:name w:val="Titolo 5 Carattere"/>
    <w:basedOn w:val="Carpredefinitoparagrafo"/>
    <w:link w:val="Titolo5"/>
    <w:uiPriority w:val="9"/>
    <w:semiHidden/>
    <w:rPr>
      <w:rFonts w:eastAsiaTheme="minorEastAsia"/>
      <w:b/>
      <w:bCs/>
      <w:i/>
      <w:iCs/>
      <w:sz w:val="26"/>
      <w:szCs w:val="26"/>
      <w:lang w:val="en-US"/>
    </w:rPr>
  </w:style>
  <w:style w:type="character" w:customStyle="1" w:styleId="Titolo6Carattere">
    <w:name w:val="Titolo 6 Carattere"/>
    <w:basedOn w:val="Carpredefinitoparagrafo"/>
    <w:link w:val="Titolo6"/>
    <w:rPr>
      <w:rFonts w:ascii="Times New Roman" w:eastAsia="Times New Roman" w:hAnsi="Times New Roman" w:cs="Times New Roman"/>
      <w:b/>
      <w:bCs/>
      <w:lang w:val="en-US"/>
    </w:rPr>
  </w:style>
  <w:style w:type="character" w:customStyle="1" w:styleId="Titolo7Carattere">
    <w:name w:val="Titolo 7 Carattere"/>
    <w:basedOn w:val="Carpredefinitoparagrafo"/>
    <w:link w:val="Titolo7"/>
    <w:uiPriority w:val="9"/>
    <w:semiHidden/>
    <w:rPr>
      <w:rFonts w:eastAsiaTheme="minorEastAsia"/>
      <w:sz w:val="24"/>
      <w:szCs w:val="24"/>
      <w:lang w:val="en-US"/>
    </w:rPr>
  </w:style>
  <w:style w:type="character" w:customStyle="1" w:styleId="Titolo8Carattere">
    <w:name w:val="Titolo 8 Carattere"/>
    <w:basedOn w:val="Carpredefinitoparagrafo"/>
    <w:link w:val="Titolo8"/>
    <w:uiPriority w:val="9"/>
    <w:semiHidden/>
    <w:rPr>
      <w:rFonts w:eastAsiaTheme="minorEastAsia"/>
      <w:i/>
      <w:iCs/>
      <w:sz w:val="24"/>
      <w:szCs w:val="24"/>
      <w:lang w:val="en-US"/>
    </w:rPr>
  </w:style>
  <w:style w:type="character" w:customStyle="1" w:styleId="Titolo9Carattere">
    <w:name w:val="Titolo 9 Carattere"/>
    <w:basedOn w:val="Carpredefinitoparagrafo"/>
    <w:link w:val="Titolo9"/>
    <w:uiPriority w:val="9"/>
    <w:semiHidden/>
    <w:rPr>
      <w:rFonts w:asciiTheme="majorHAnsi" w:eastAsiaTheme="majorEastAsia" w:hAnsiTheme="majorHAnsi" w:cstheme="majorBidi"/>
      <w:lang w:val="en-US"/>
    </w:rPr>
  </w:style>
  <w:style w:type="paragraph" w:styleId="Testofumetto">
    <w:name w:val="Balloon Text"/>
    <w:basedOn w:val="Normale"/>
    <w:link w:val="TestofumettoCarattere"/>
    <w:uiPriority w:val="99"/>
    <w:semiHidden/>
    <w:unhideWhenUsed/>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D5E20-2B85-4C44-B6A0-5E45E5042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