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mallCaps/>
        </w:rPr>
        <w:t xml:space="preserve">Contratto preliminare di compravendita immobiliare</w:t>
      </w:r>
    </w:p>
    <w:p>
      <w:pPr>
        <w:keepNext/>
        <w:spacing w:after="240"/>
        <w:jc w:val="center"/>
      </w:pPr>
      <w:r>
        <w:t xml:space="preserve">(art. 1351 c.c.)</w:t>
      </w:r>
    </w:p>
    <w:p>
      <w:pPr>
        <w:spacing w:after="100"/>
        <w:jc w:val="both"/>
      </w:pPr>
      <w:r>
        <w:t xml:space="preserve">Con la presente scrittura privata, redatta in duplice originale, tra:</w:t>
      </w:r>
    </w:p>
    <w:p>
      <w:pPr>
        <w:spacing w:after="100"/>
        <w:jc w:val="both"/>
      </w:pPr>
      <w:r>
        <w:rPr>
          <w:b/>
          <w:bCs/>
        </w:rPr>
        <w:t xml:space="preserve">MODULHOUSE S.R.L. SOCIETÀ BENEFIT</w:t>
      </w:r>
      <w:r>
        <w:t xml:space="preserve">, con sede in Caserta (CE), Via Molino Militare nn. 13-19-21, capitale sociale 10.000,00 € interamente versato, codice fiscale, partita IVA e numero di iscrizione al Registro delle imprese di Caserta 04325590612, R.E.A. n. CE-317565, in persona dell’amministratore unico e legale rappresentante pro tempore Lorenzo SCIALLA, nato a Caserta (CE) il 15 dicembre 1963, codice fiscale SCL LNZ 63T15 B963Z, domiciliato per la carica presso la sede sociale e munito dei necessari poteri in forza del vigente statuto (di seguito «Parte promittente venditrice»);</w:t>
      </w:r>
    </w:p>
    <w:p>
      <w:pPr>
        <w:keepNext/>
        <w:spacing w:after="100"/>
        <w:jc w:val="center"/>
      </w:pPr>
      <w:r>
        <w:t xml:space="preserve">e</w:t>
      </w:r>
    </w:p>
    <w:p>
      <w:pPr>
        <w:spacing w:after="100"/>
        <w:jc w:val="both"/>
      </w:pPr>
      <w:r>
        <w:rPr>
          <w:b/>
          <w:bCs/>
        </w:rPr>
        <w:t xml:space="preserve">Chiara D’ANNA</w:t>
      </w:r>
      <w:r>
        <w:t xml:space="preserve">, nata a Caserta (CE) il 17 gennaio 1999, codice fiscale DNN CHR 99A57 B963I, residente in Portico di Caserta (CE), Via Giacomo Matteotti n. 24, identificata a mezzo di carta d’identità n. CA82989HZ rilasciata dal Comune di Portico di Caserta il 28 gennaio 2021, con scadenza al 17 gennaio 2032 (di seguito «Parte promissaria acquirente»);</w:t>
      </w:r>
    </w:p>
    <w:p>
      <w:pPr>
        <w:spacing w:after="100"/>
        <w:jc w:val="both"/>
      </w:pPr>
      <w:r>
        <w:t xml:space="preserve">(di seguito, congiuntamente, le «Parti»)</w:t>
      </w:r>
    </w:p>
    <w:p>
      <w:pPr>
        <w:keepNext/>
        <w:spacing w:after="100" w:before="160"/>
        <w:jc w:val="center"/>
      </w:pPr>
      <w:r>
        <w:rPr>
          <w:b/>
          <w:bCs/>
        </w:rPr>
        <w:t xml:space="preserve">premesso che</w:t>
      </w:r>
    </w:p>
    <w:p>
      <w:pPr>
        <w:spacing w:after="100"/>
        <w:jc w:val="both"/>
      </w:pPr>
      <w:r>
        <w:t xml:space="preserve">a) con atto di compravendita a rogito del Notaio Vincenzo Calderini di Maddaloni del 28 aprile 2026, rep. n. 29048, racc. n. 21623, registrato a Caserta il 5 maggio 2026 al n. 14317 serie 1T e trascritto presso l’Ufficio provinciale di Caserta, Servizio di pubblicità immobiliare di Santa Maria Capua Vetere, il 6 maggio 2026 ai nn. 17795/13939, la Parte promittente venditrice ha acquistato dalla sig.ra Michelina Rossacco la piena proprietà del fabbricato sito in Caserta, Via Campania, allora censito al Catasto fabbricati al foglio 45, particella 124, subalterni da 1 a 7, unitamente al suolo pertinenziale censito al foglio 45, particella 5257, e all’area di risulta censita al foglio 45, particella 5141;</w:t>
      </w:r>
    </w:p>
    <w:p>
      <w:pPr>
        <w:spacing w:after="100"/>
        <w:jc w:val="both"/>
      </w:pPr>
      <w:r>
        <w:t xml:space="preserve">b) la Parte promittente venditrice, quale impresa esecutrice, ha realizzato sul fabbricato un intervento di ristrutturazione edilizia con frazionamento, in forza dei titoli indicati all’art. 3, ultimato il 16 luglio 2026; il complesso, denominato «Palais de la Lumière» e ubicato in Caserta al Vicolo Onofrio Teti (catastalmente Via Campania) senza numero civico, è oggi censito al Catasto fabbricati del Comune di Caserta al foglio 45, particella 5141, e comprende dodici unità abitative, locali deposito al piano seminterrato e posti auto;</w:t>
      </w:r>
    </w:p>
    <w:p>
      <w:pPr>
        <w:spacing w:after="100"/>
        <w:jc w:val="both"/>
      </w:pPr>
      <w:r>
        <w:t xml:space="preserve">c) la Parte promittente venditrice intende vendere e la Parte promissaria acquirente intende acquistare gli immobili di seguito descritti;</w:t>
      </w:r>
    </w:p>
    <w:p>
      <w:pPr>
        <w:spacing w:after="100"/>
        <w:jc w:val="both"/>
      </w:pPr>
      <w:r>
        <w:t xml:space="preserve">tutto ciò premesso, quale parte integrante del presente contratto, le Parti convengono quanto segue.</w:t>
      </w:r>
    </w:p>
    <w:p>
      <w:pPr>
        <w:keepNext/>
        <w:keepLines/>
        <w:spacing w:after="100" w:before="200"/>
        <w:jc w:val="left"/>
      </w:pPr>
      <w:r>
        <w:rPr>
          <w:b/>
          <w:bCs/>
          <w:smallCaps/>
        </w:rPr>
        <w:t xml:space="preserve">Art. 1. Oggetto</w:t>
      </w:r>
    </w:p>
    <w:p>
      <w:pPr>
        <w:spacing w:after="100"/>
        <w:jc w:val="both"/>
      </w:pPr>
      <w:r>
        <w:t xml:space="preserve">1.1. La Parte promittente venditrice promette di vendere alla Parte promissaria acquirente, che promette di acquistare, la piena ed esclusiva proprietà dei seguenti immobili facenti parte del complesso «Palais de la Lumière»:</w:t>
      </w:r>
    </w:p>
    <w:p>
      <w:pPr>
        <w:spacing w:after="100"/>
        <w:jc w:val="both"/>
      </w:pPr>
      <w:r>
        <w:t xml:space="preserve">a) appartamento al piano rialzato, composto da cucina, disimpegno, camera e bagno, con altezza interna di 3,00 m, confinante per due lati con vano scala e parti comuni censiti con il subalterno 20 e per gli altri due lati con l’unità immobiliare censita con il subalterno 11, salvo altri; censito al Catasto fabbricati del Comune di Caserta al </w:t>
      </w:r>
      <w:r>
        <w:rPr>
          <w:b/>
          <w:bCs/>
        </w:rPr>
        <w:t xml:space="preserve">foglio 45, particella 5141, subalterno 10</w:t>
      </w:r>
      <w:r>
        <w:t xml:space="preserve">, Via Campania snc, piano T, come raffigurato nella planimetria catastale allegata sotto la lettera «A»;</w:t>
      </w:r>
    </w:p>
    <w:p>
      <w:pPr>
        <w:spacing w:after="100"/>
        <w:jc w:val="both"/>
      </w:pPr>
      <w:r>
        <w:t xml:space="preserve">b) un posto auto scoperto nel cortile del complesso, da individuare tra quelli censiti al foglio 45, particella 5141, subalterni da 33 a 46;</w:t>
      </w:r>
    </w:p>
    <w:p>
      <w:pPr>
        <w:spacing w:after="100"/>
        <w:jc w:val="both"/>
      </w:pPr>
      <w:r>
        <w:t xml:space="preserve">c) un locale deposito (cantinola) al piano seminterrato, da individuare tra quelli censiti al foglio 45, particella 5141, subalterni da 21 a 32.</w:t>
      </w:r>
    </w:p>
    <w:p>
      <w:pPr>
        <w:spacing w:after="100"/>
        <w:jc w:val="both"/>
      </w:pPr>
      <w:r>
        <w:t xml:space="preserve">1.2. La vendita è convenuta a corpo e comprende accessori, pertinenze, servitù attive e passive e i proporzionali diritti di comproprietà sulle parti comuni del complesso ai sensi degli artt. 1117 e seguenti c.c.</w:t>
      </w:r>
    </w:p>
    <w:p>
      <w:pPr>
        <w:keepNext/>
        <w:keepLines/>
        <w:spacing w:after="100" w:before="200"/>
        <w:jc w:val="left"/>
      </w:pPr>
      <w:r>
        <w:rPr>
          <w:b/>
          <w:bCs/>
          <w:smallCaps/>
        </w:rPr>
        <w:t xml:space="preserve">Art. 2. Scelta del posto auto e della cantinola</w:t>
      </w:r>
    </w:p>
    <w:p>
      <w:pPr>
        <w:spacing w:after="100"/>
        <w:jc w:val="both"/>
      </w:pPr>
      <w:r>
        <w:t xml:space="preserve">2.1. La scelta del posto auto e della cantinola spetta alla Parte promissaria acquirente, che la esercita entro il 31 ottobre 2026 mediante comunicazione scritta alla Parte promittente venditrice, tra le unità non ancora vendute né promesse in vendita a terzi alla data della comunicazione. La Parte promittente venditrice fornisce, a semplice richiesta, l’elenco aggiornato delle unità disponibili e si obbliga a mantenere disponibili almeno un posto auto scoperto e una cantinola fino alla scadenza del termine.</w:t>
      </w:r>
    </w:p>
    <w:p>
      <w:pPr>
        <w:spacing w:after="100"/>
        <w:jc w:val="both"/>
      </w:pPr>
      <w:r>
        <w:t xml:space="preserve">2.2. Decorso inutilmente il termine, la scelta passa alla Parte promittente venditrice ai sensi dell’art. 1286, comma 3, c.c., che la esercita con comunicazione scritta entro i dieci giorni successivi.</w:t>
      </w:r>
    </w:p>
    <w:p>
      <w:pPr>
        <w:spacing w:after="100"/>
        <w:jc w:val="both"/>
      </w:pPr>
      <w:r>
        <w:t xml:space="preserve">2.3. Le unità prescelte saranno indicate, con i relativi dati catastali e confini, nel contratto definitivo. La scelta non incide sul prezzo di cui all’art. 5.</w:t>
      </w:r>
    </w:p>
    <w:p>
      <w:pPr>
        <w:keepNext/>
        <w:keepLines/>
        <w:spacing w:after="100" w:before="200"/>
        <w:jc w:val="left"/>
      </w:pPr>
      <w:r>
        <w:rPr>
          <w:b/>
          <w:bCs/>
          <w:smallCaps/>
        </w:rPr>
        <w:t xml:space="preserve">Art. 3. Dichiarazioni urbanistiche, catastali ed energetiche</w:t>
      </w:r>
    </w:p>
    <w:p>
      <w:pPr>
        <w:spacing w:after="100"/>
        <w:jc w:val="both"/>
      </w:pPr>
      <w:r>
        <w:t xml:space="preserve">3.1. La Parte promittente venditrice dichiara che il fabbricato è stato edificato in forza della licenza edilizia n. 255/71 rilasciata dal Comune di Caserta il 1° luglio 1974 e che sono stati successivamente presentati o rilasciati: S.C.I.A. in sanatoria prot. n. 124956 del 6 dicembre 2018; permesso di costruire n. 43/2020 del 22 luglio 2020, per opere non eseguite; S.C.I.A. n. 2165 del 12 luglio 2024, prot. n. 75028, per frazionamento, diversa distribuzione degli spazi interni e modifica dei prospetti; S.C.I.A. in variante n. 11858 del 28 gennaio 2026; S.C.I.A. in variante prot. n. 81965 del 7 luglio 2026. I lavori sono stati ultimati il 16 luglio 2026, come da comunicazione di fine lavori prot. n. 86270, e il 4 agosto 2026 è stata presentata la segnalazione certificata per l’agibilità ai sensi dell’art. 24 del d.P.R. 6 giugno 2001, n. 380 (istanza n. 13089).</w:t>
      </w:r>
    </w:p>
    <w:p>
      <w:pPr>
        <w:spacing w:after="100"/>
        <w:jc w:val="both"/>
      </w:pPr>
      <w:r>
        <w:t xml:space="preserve">3.2. Le Parti si danno atto che, essendo le opere ultimate e la segnalazione certificata per l’agibilità già presentata, al presente contratto non si applica il d.lgs. 20 giugno 2005, n. 122.</w:t>
      </w:r>
    </w:p>
    <w:p>
      <w:pPr>
        <w:spacing w:after="100"/>
        <w:jc w:val="both"/>
      </w:pPr>
      <w:r>
        <w:t xml:space="preserve">3.3. La Parte promittente venditrice garantisce che gli immobili sono conformi ai titoli edilizi e ne sussiste lo stato legittimo ai sensi dell’art. 9-</w:t>
      </w:r>
      <w:r>
        <w:rPr>
          <w:i/>
          <w:iCs/>
        </w:rPr>
        <w:t xml:space="preserve">bis</w:t>
      </w:r>
      <w:r>
        <w:t xml:space="preserve"> d.P.R. n. 380/2001; che i dati catastali e le planimetrie depositate sono conformi allo stato di fatto ai sensi dell’art. 29, comma 1-</w:t>
      </w:r>
      <w:r>
        <w:rPr>
          <w:i/>
          <w:iCs/>
        </w:rPr>
        <w:t xml:space="preserve">bis</w:t>
      </w:r>
      <w:r>
        <w:t xml:space="preserve">, della l. 27 febbraio 1985, n. 52; che gli impianti sono conformi al d.m. 22 gennaio 2008, n. 37, e che le relative dichiarazioni di conformità saranno consegnate alla stipula del contratto definitivo. Le medesime dichiarazioni saranno rinnovate in sede di rogito.</w:t>
      </w:r>
    </w:p>
    <w:p>
      <w:pPr>
        <w:spacing w:after="100"/>
        <w:jc w:val="both"/>
      </w:pPr>
      <w:r>
        <w:t xml:space="preserve">3.4. La Parte promissaria acquirente dichiara di aver ricevuto le informazioni e la documentazione relative alla prestazione energetica dell’appartamento, comprensiva dell’attestato di prestazione energetica codice identificativo 20260910-061022-28388, redatto l’11 settembre 2026 dall’ing. Michele Caserta, iscritto all’Ordine degli ingegneri della provincia di Caserta al n. 2530, valido fino all’11 settembre 2036, che attribuisce all’unità la classe energetica A1 (EPgl,nren 88,90 kWh/m² anno) e si allega sotto la lettera «B».</w:t>
      </w:r>
    </w:p>
    <w:p>
      <w:pPr>
        <w:keepNext/>
        <w:keepLines/>
        <w:spacing w:after="100" w:before="200"/>
        <w:jc w:val="left"/>
      </w:pPr>
      <w:r>
        <w:rPr>
          <w:b/>
          <w:bCs/>
          <w:smallCaps/>
        </w:rPr>
        <w:t xml:space="preserve">Art. 4. Garanzie e regolamento di condominio</w:t>
      </w:r>
    </w:p>
    <w:p>
      <w:pPr>
        <w:spacing w:after="100"/>
        <w:jc w:val="both"/>
      </w:pPr>
      <w:r>
        <w:t xml:space="preserve">4.1. La Parte promittente venditrice garantisce la piena proprietà e disponibilità degli immobili e si obbliga a trasferirli liberi da ipoteche, pignoramenti, trascrizioni e iscrizioni pregiudizievoli, privilegi anche fiscali, oneri e diritti di terzi, con garanzia per evizione, salvo l’atto unilaterale d’obbligo edilizio a rogito del Notaio Giuseppe Ronza di Bellona dell’8 luglio 2010, rep. n. 1081, racc. n. 684, trascritto a Santa Maria Capua Vetere il 14 luglio 2010 ai nn. 28781/19484, a favore del Comune di Caserta, recante vincolo di inedificabilità sul terreno già censito al foglio 45, particella 5257, oggi compreso nella particella 5141, del quale la Parte promissaria acquirente dichiara di essere a conoscenza.</w:t>
      </w:r>
    </w:p>
    <w:p>
      <w:pPr>
        <w:spacing w:after="100"/>
        <w:jc w:val="both"/>
      </w:pPr>
      <w:r>
        <w:t xml:space="preserve">4.2. Sono a carico della Parte promittente venditrice imposte, tasse, spese condominiali e ogni altro onere relativo agli immobili maturati fino alla data del contratto definitivo.</w:t>
      </w:r>
    </w:p>
    <w:p>
      <w:pPr>
        <w:spacing w:after="100"/>
        <w:jc w:val="both"/>
      </w:pPr>
      <w:r>
        <w:t xml:space="preserve">4.3. La Parte promissaria acquirente si obbliga ad accettare nel contratto definitivo il regolamento di condominio del complesso, con le relative tabelle millesimali, che le viene consegnato in copia con la sottoscrizione del presente contratto. Prende atto, in particolare, che sono esclusi dalle parti comuni il lastrico solare di copertura (subalterno 50), riservato in proprietà esclusiva alla Parte promittente venditrice e ai suoi aventi causa con diritto di accesso attraverso androne, vano scala e ascensore, e la porzione di suolo di 98 mq destinata a giardino, pertinenza esclusiva dell’unità censita con il subalterno 9.</w:t>
      </w:r>
    </w:p>
    <w:p>
      <w:pPr>
        <w:keepNext/>
        <w:keepLines/>
        <w:spacing w:after="100" w:before="200"/>
        <w:jc w:val="left"/>
      </w:pPr>
      <w:r>
        <w:rPr>
          <w:b/>
          <w:bCs/>
          <w:smallCaps/>
        </w:rPr>
        <w:t xml:space="preserve">Art. 5. Prezzo e modalità di pagamento</w:t>
      </w:r>
    </w:p>
    <w:p>
      <w:pPr>
        <w:spacing w:after="100"/>
        <w:jc w:val="both"/>
      </w:pPr>
      <w:r>
        <w:t xml:space="preserve">5.1. Il prezzo complessivo degli immobili di cui all’art. 1 è convenuto a corpo in </w:t>
      </w:r>
      <w:r>
        <w:rPr>
          <w:b/>
          <w:bCs/>
        </w:rPr>
        <w:t xml:space="preserve">100.000,00 € (centomila/00), comprensivo di IVA</w:t>
      </w:r>
      <w:r>
        <w:t xml:space="preserve">.</w:t>
      </w:r>
    </w:p>
    <w:p>
      <w:pPr>
        <w:spacing w:after="100"/>
        <w:jc w:val="both"/>
      </w:pPr>
      <w:r>
        <w:t xml:space="preserve">5.2. Il prezzo è corrisposto come segue:</w:t>
      </w:r>
    </w:p>
    <w:p>
      <w:pPr>
        <w:spacing w:after="100"/>
        <w:jc w:val="both"/>
      </w:pPr>
      <w:r>
        <w:t xml:space="preserve">a) 10.000,00 € (diecimila/00) a titolo di caparra confirmatoria ai sensi dell’art. 1385 c.c., mediante bonifico bancario sul conto corrente intestato alla Parte promittente venditrice, disposto contestualmente alla sottoscrizione del presente contratto, che ne costituisce quietanza salvo buon fine;</w:t>
      </w:r>
    </w:p>
    <w:p>
      <w:pPr>
        <w:spacing w:after="100"/>
        <w:jc w:val="both"/>
      </w:pPr>
      <w:r>
        <w:t xml:space="preserve">b) 90.000,00 € (novantamila/00) a saldo, alla stipula del contratto definitivo, con mezzi di pagamento tracciabili, anche mediante il ricavato di un mutuo ipotecario che la Parte promissaria acquirente ha facoltà di richiedere. La concessione del mutuo non costituisce condizione del presente contratto.</w:t>
      </w:r>
    </w:p>
    <w:p>
      <w:pPr>
        <w:spacing w:after="100"/>
        <w:jc w:val="both"/>
      </w:pPr>
      <w:r>
        <w:t xml:space="preserve">5.3. La caparra sarà imputata al prezzo alla stipula del contratto definitivo, con emissione della relativa fattura.</w:t>
      </w:r>
    </w:p>
    <w:p>
      <w:pPr>
        <w:spacing w:after="100"/>
        <w:jc w:val="both"/>
      </w:pPr>
      <w:r>
        <w:t xml:space="preserve">5.4. La Parte promissaria acquirente dichiara che intende richiedere, in sede di contratto definitivo, le agevolazioni fiscali previste per l’acquisto della prima casa, anche per il posto auto e la cantinola quali pertinenze dell’abitazione.</w:t>
      </w:r>
    </w:p>
    <w:p>
      <w:pPr>
        <w:keepNext/>
        <w:keepLines/>
        <w:spacing w:after="100" w:before="200"/>
        <w:jc w:val="left"/>
      </w:pPr>
      <w:r>
        <w:rPr>
          <w:b/>
          <w:bCs/>
          <w:smallCaps/>
        </w:rPr>
        <w:t xml:space="preserve">Art. 6. Contratto definitivo e consegna</w:t>
      </w:r>
    </w:p>
    <w:p>
      <w:pPr>
        <w:spacing w:after="100"/>
        <w:jc w:val="both"/>
      </w:pPr>
      <w:r>
        <w:t xml:space="preserve">6.1. Il contratto definitivo sarà stipulato </w:t>
      </w:r>
      <w:r>
        <w:rPr>
          <w:b/>
          <w:bCs/>
        </w:rPr>
        <w:t xml:space="preserve">entro e non oltre il 30 novembre 2026</w:t>
      </w:r>
      <w:r>
        <w:t xml:space="preserve">, innanzi al Notaio scelto dalla Parte promissaria acquirente, che comunica alla Parte promittente venditrice il nominativo del Notaio, la data e l’ora della stipula con un preavviso di almeno dieci giorni.</w:t>
      </w:r>
    </w:p>
    <w:p>
      <w:pPr>
        <w:spacing w:after="100"/>
        <w:jc w:val="both"/>
      </w:pPr>
      <w:r>
        <w:t xml:space="preserve">6.2. Il possesso degli immobili sarà trasferito alla stipula del contratto definitivo, con la consegna delle chiavi; gli immobili saranno consegnati ultimati, liberi da persone e cose, con impianti funzionanti.</w:t>
      </w:r>
    </w:p>
    <w:p>
      <w:pPr>
        <w:keepNext/>
        <w:keepLines/>
        <w:spacing w:after="100" w:before="200"/>
        <w:jc w:val="left"/>
      </w:pPr>
      <w:r>
        <w:rPr>
          <w:b/>
          <w:bCs/>
          <w:smallCaps/>
        </w:rPr>
        <w:t xml:space="preserve">Art. 7. Caparra confirmatoria e inadempimento</w:t>
      </w:r>
    </w:p>
    <w:p>
      <w:pPr>
        <w:spacing w:after="100"/>
        <w:jc w:val="both"/>
      </w:pPr>
      <w:r>
        <w:t xml:space="preserve">7.1. In caso di inadempimento della Parte promissaria acquirente, la Parte promittente venditrice può recedere dal contratto trattenendo la caparra; in caso di inadempimento della Parte promittente venditrice, la Parte promissaria acquirente può recedere ed esigere il doppio della caparra versata.</w:t>
      </w:r>
    </w:p>
    <w:p>
      <w:pPr>
        <w:spacing w:after="100"/>
        <w:jc w:val="both"/>
      </w:pPr>
      <w:r>
        <w:t xml:space="preserve">7.2. Resta salva per la parte adempiente la facoltà di domandare l’esecuzione in forma specifica ai sensi dell’art. 2932 c.c. ovvero la risoluzione del contratto e il risarcimento del danno.</w:t>
      </w:r>
    </w:p>
    <w:p>
      <w:pPr>
        <w:keepNext/>
        <w:keepLines/>
        <w:spacing w:after="100" w:before="200"/>
        <w:jc w:val="left"/>
      </w:pPr>
      <w:r>
        <w:rPr>
          <w:b/>
          <w:bCs/>
          <w:smallCaps/>
        </w:rPr>
        <w:t xml:space="preserve">Art. 8. Spese</w:t>
      </w:r>
    </w:p>
    <w:p>
      <w:pPr>
        <w:spacing w:after="100"/>
        <w:jc w:val="both"/>
      </w:pPr>
      <w:r>
        <w:t xml:space="preserve">8.1. Le spese, le imposte e le tasse relative al presente contratto, compresa la sua registrazione, e quelle del contratto definitivo e dell’eventuale mutuo, compresi gli onorari notarili, sono a carico della Parte promissaria acquirente. Sono a carico della Parte promittente venditrice le spese per la cancellazione di eventuali formalità pregiudizievoli e per il reperimento della documentazione di cui all’art. 3.</w:t>
      </w:r>
    </w:p>
    <w:p>
      <w:pPr>
        <w:keepNext/>
        <w:keepLines/>
        <w:spacing w:after="100" w:before="200"/>
        <w:jc w:val="left"/>
      </w:pPr>
      <w:r>
        <w:rPr>
          <w:b/>
          <w:bCs/>
          <w:smallCaps/>
        </w:rPr>
        <w:t xml:space="preserve">Art. 9. Disposizioni finali</w:t>
      </w:r>
    </w:p>
    <w:p>
      <w:pPr>
        <w:spacing w:after="100"/>
        <w:jc w:val="both"/>
      </w:pPr>
      <w:r>
        <w:t xml:space="preserve">9.1. Ogni modifica del presente contratto richiede la forma scritta. Le comunicazioni previste dal contratto sono validamente effettuate per iscritto agli indirizzi indicati in epigrafe, anche a mezzo di posta elettronica certificata.</w:t>
      </w:r>
    </w:p>
    <w:p>
      <w:pPr>
        <w:spacing w:after="100"/>
        <w:jc w:val="both"/>
      </w:pPr>
      <w:r>
        <w:t xml:space="preserve">9.2. Per quanto non previsto si applicano le norme del codice civile. Per ogni controversia relativa al presente contratto è competente il Foro di Santa Maria Capua Vetere.</w:t>
      </w:r>
    </w:p>
    <w:p>
      <w:pPr>
        <w:spacing w:after="100" w:before="120"/>
        <w:jc w:val="both"/>
      </w:pPr>
      <w:r>
        <w:t xml:space="preserve">Allegati: «A» planimetria catastale dell’unità censita al foglio 45, particella 5141, subalterno 10; «B» attestato di prestazione energetica; «C» copia del documento d’identità della Parte promissaria acquirente.</w:t>
      </w:r>
    </w:p>
    <w:p>
      <w:pPr>
        <w:keepNext/>
        <w:spacing w:after="100" w:before="120"/>
        <w:jc w:val="both"/>
      </w:pPr>
      <w:r>
        <w:t xml:space="preserve">Letto, confermato e sottoscritto.</w:t>
      </w:r>
    </w:p>
    <w:p>
      <w:pPr>
        <w:keepNext/>
        <w:spacing w:after="100"/>
        <w:jc w:val="both"/>
      </w:pPr>
      <w:r>
        <w:t xml:space="preserve">Caserta, lì ____________________</w:t>
      </w:r>
    </w:p>
    <w:p>
      <w:pPr>
        <w:keepNext/>
        <w:spacing w:after="0" w:before="240"/>
      </w:pPr>
      <w:r>
        <w:t xml:space="preserve">La Parte promittente venditrice</w:t>
      </w:r>
    </w:p>
    <w:p>
      <w:pPr>
        <w:keepNext/>
        <w:spacing w:after="0"/>
      </w:pPr>
      <w:r>
        <w:t xml:space="preserve">MODULHOUSE S.R.L. Società Benefit</w:t>
      </w:r>
    </w:p>
    <w:p>
      <w:pPr>
        <w:keepNext/>
        <w:spacing w:after="120" w:before="360"/>
      </w:pPr>
      <w:r>
        <w:t xml:space="preserve">_______________________________________</w:t>
      </w:r>
    </w:p>
    <w:p>
      <w:pPr>
        <w:keepNext/>
        <w:spacing w:after="0" w:before="240"/>
      </w:pPr>
      <w:r>
        <w:t xml:space="preserve">La Parte promissaria acquirente</w:t>
      </w:r>
    </w:p>
    <w:p>
      <w:pPr>
        <w:keepNext/>
        <w:spacing w:after="0"/>
      </w:pPr>
      <w:r>
        <w:t xml:space="preserve">Chiara D’Anna</w:t>
      </w:r>
    </w:p>
    <w:p>
      <w:pPr>
        <w:keepNext/>
        <w:spacing w:after="120" w:before="360"/>
      </w:pPr>
      <w:r>
        <w:t xml:space="preserve">_______________________________________</w:t>
      </w:r>
    </w:p>
    <w:p>
      <w:pPr>
        <w:keepNext/>
        <w:spacing w:after="100" w:before="240"/>
        <w:jc w:val="both"/>
      </w:pPr>
      <w:r>
        <w:t xml:space="preserve">Ai sensi e per gli effetti degli artt. 1341 e 1342 c.c., le Parti approvano specificamente le clausole di cui agli artt. 2 (scelta del posto auto e della cantinola), 6 (contratto definitivo e consegna), 7 (caparra confirmatoria e inadempimento) e 9.2 (foro competente).</w:t>
      </w:r>
    </w:p>
    <w:p>
      <w:pPr>
        <w:keepNext/>
        <w:spacing w:after="0" w:before="240"/>
      </w:pPr>
      <w:r>
        <w:t xml:space="preserve">La Parte promittente venditrice</w:t>
      </w:r>
    </w:p>
    <w:p>
      <w:pPr>
        <w:keepNext/>
        <w:spacing w:after="120" w:before="360"/>
      </w:pPr>
      <w:r>
        <w:t xml:space="preserve">_______________________________________</w:t>
      </w:r>
    </w:p>
    <w:p>
      <w:pPr>
        <w:keepNext/>
        <w:spacing w:after="0" w:before="240"/>
      </w:pPr>
      <w:r>
        <w:t xml:space="preserve">La Parte promissaria acquirente</w:t>
      </w:r>
    </w:p>
    <w:p>
      <w:pPr>
        <w:keepNext/>
        <w:spacing w:after="120" w:before="360"/>
      </w:pPr>
      <w:r>
        <w:t xml:space="preserve">_______________________________________</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2026-10-01T06:10:55.809Z</dcterms:created>
  <dcterms:modified xsi:type="dcterms:W3CDTF">2026-10-01T06:10:55.809Z</dcterms:modified>
</cp:coreProperties>
</file>

<file path=docProps/custom.xml><?xml version="1.0" encoding="utf-8"?>
<Properties xmlns="http://schemas.openxmlformats.org/officeDocument/2006/custom-properties" xmlns:vt="http://schemas.openxmlformats.org/officeDocument/2006/docPropsVTypes"/>
</file>