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mallCaps/>
        </w:rPr>
        <w:t xml:space="preserve">Parere</w:t>
      </w:r>
    </w:p>
    <w:p>
      <w:pPr>
        <w:spacing w:after="0"/>
        <w:jc w:val="left"/>
      </w:pPr>
      <w:r>
        <w:rPr>
          <w:b/>
          <w:bCs/>
        </w:rPr>
        <w:t xml:space="preserve">Destinatario:</w:t>
      </w:r>
      <w:r>
        <w:t xml:space="preserve"> Reviance S.r.l., Via Antonio Marino 78, 81100 Caserta</w:t>
      </w:r>
    </w:p>
    <w:p>
      <w:pPr>
        <w:spacing w:after="0"/>
        <w:jc w:val="both"/>
      </w:pPr>
      <w:r>
        <w:rPr>
          <w:b/>
          <w:bCs/>
        </w:rPr>
        <w:t xml:space="preserve">Oggetto:</w:t>
      </w:r>
      <w:r>
        <w:t xml:space="preserve"> contestazione di responsabilità professionale formulata da Campus Service S.r.l. con lettera del 3 luglio 2026. Analisi e strategia difensiva</w:t>
      </w:r>
    </w:p>
    <w:p>
      <w:pPr>
        <w:pBdr>
          <w:bottom w:val="single" w:color="808080" w:sz="6" w:space="6"/>
        </w:pBdr>
        <w:spacing w:after="240"/>
        <w:jc w:val="left"/>
      </w:pPr>
      <w:r>
        <w:rPr>
          <w:b/>
          <w:bCs/>
        </w:rPr>
        <w:t xml:space="preserve">Data:</w:t>
      </w:r>
      <w:r>
        <w:t xml:space="preserve"> 29 settembre 2026</w:t>
      </w:r>
    </w:p>
    <w:p>
      <w:pPr>
        <w:pStyle w:val="Heading1"/>
        <w:keepNext/>
        <w:keepLines/>
      </w:pPr>
      <w:r>
        <w:t xml:space="preserve">1. Oggetto del parere</w:t>
      </w:r>
    </w:p>
    <w:p>
      <w:pPr>
        <w:widowControl/>
        <w:jc w:val="both"/>
      </w:pPr>
      <w:r>
        <w:t xml:space="preserve">Con lettera del 3 luglio 2026, trasmessa a mezzo PEC in pari data dai propri legali, Campus Service S.r.l. (di seguito «Campus») ha contestato a Reviance S.r.l. (di seguito «Reviance») la responsabilità professionale nell’esecuzione di un incarico di certificazione contabile. L’incarico riguardava le spese di formazione sostenute nel 2022 ai fini del credito d’imposta «Formazione 4.0», previsto dall’art. 1, commi da 46 a 56, della l. 27 dicembre 2017, n. 205.</w:t>
      </w:r>
    </w:p>
    <w:p>
      <w:pPr>
        <w:widowControl/>
        <w:jc w:val="both"/>
      </w:pPr>
      <w:r>
        <w:t xml:space="preserve">Con la stessa lettera Campus ha costituito Reviance in mora, le ha chiesto di comunicare entro quindici giorni le proprie osservazioni e i dati della polizza di responsabilità civile professionale e l’ha invitata ad attivare la compagnia assicuratrice. Il parere valuta la fondatezza della contestazione e indica la strategia difensiva ritenuta più efficace, con le iniziative da assumere nell’immediato.</w:t>
      </w:r>
    </w:p>
    <w:p>
      <w:pPr>
        <w:pStyle w:val="Heading1"/>
        <w:keepNext/>
        <w:keepLines/>
      </w:pPr>
      <w:r>
        <w:t xml:space="preserve">2. I fatti rilevanti</w:t>
      </w:r>
    </w:p>
    <w:p>
      <w:pPr>
        <w:pStyle w:val="Heading2"/>
        <w:keepNext/>
        <w:keepLines/>
      </w:pPr>
      <w:r>
        <w:t xml:space="preserve">2.1 La verifica fiscale e i rilievi dell’Ufficio</w:t>
      </w:r>
    </w:p>
    <w:p>
      <w:pPr>
        <w:widowControl/>
        <w:jc w:val="both"/>
      </w:pPr>
      <w:r>
        <w:t xml:space="preserve">Secondo quanto riferito da Campus, gli ispettori dell’Agenzia delle Entrate, Direzione provinciale di Bari, hanno avviato il 14 aprile 2026 una verifica fiscale nei suoi confronti, in forza della nota di incarico prot. n. 5074 del 10 aprile 2026. La verifica ha riguardato, tra l’altro, il credito «Formazione 4.0» maturato nel 2022 e utilizzato in compensazione nel 2023. Essa si è chiusa con il processo verbale di constatazione del 20 maggio 2026, che non ha rilevato violazioni sugli altri profili esaminati.</w:t>
      </w:r>
    </w:p>
    <w:p>
      <w:pPr>
        <w:widowControl/>
        <w:jc w:val="both"/>
      </w:pPr>
      <w:r>
        <w:t xml:space="preserve">Sul credito d’imposta il verbale formula tre rilievi. Il primo investe l’attendibilità del «</w:t>
      </w:r>
      <w:r>
        <w:rPr>
          <w:i/>
          <w:iCs/>
        </w:rPr>
        <w:t xml:space="preserve">Registro didattico e delle presenze del programma di formazione</w:t>
      </w:r>
      <w:r>
        <w:t xml:space="preserve">». Il secondo nega una correlazione sostanziale tra l’oggetto del corso e le mansioni dei discenti. Il terzo rileva l’incongruenza tra le ore dichiarate per il calcolo della spesa agevolabile, le ore desumibili dai fogli firma e quelle riferite dal personale in sede di accesso.</w:t>
      </w:r>
    </w:p>
    <w:p>
      <w:pPr>
        <w:widowControl/>
        <w:jc w:val="both"/>
      </w:pPr>
      <w:r>
        <w:t xml:space="preserve">Ne sono derivate la contestazione dell’indebita compensazione del credito, pari a 35.763,00 €, e la ripresa a tassazione ai fini IRES e IRAP dei costi di due fatture, con il disconoscimento della relativa detrazione IVA. La prima è la fattura n. 104/6 del 31 ottobre 2022 di Sabanet S.r.l., ente formatore, per 20.000,00 € oltre IVA per 4.400,00 €. La seconda è la fattura di Reviance n. 111 del 6 aprile 2023, per 5.000,00 € oltre IVA per 1.100,00 €, avente ad oggetto le «</w:t>
      </w:r>
      <w:r>
        <w:rPr>
          <w:i/>
          <w:iCs/>
        </w:rPr>
        <w:t xml:space="preserve">Competenze certificazione contabile progetto formazione 4.0 L. 205/2017</w:t>
      </w:r>
      <w:r>
        <w:t xml:space="preserve">».</w:t>
      </w:r>
    </w:p>
    <w:p>
      <w:pPr>
        <w:pStyle w:val="Heading2"/>
        <w:keepNext/>
        <w:keepLines/>
      </w:pPr>
      <w:r>
        <w:t xml:space="preserve">2.2 La tesi di Campus</w:t>
      </w:r>
    </w:p>
    <w:p>
      <w:pPr>
        <w:widowControl/>
        <w:jc w:val="both"/>
      </w:pPr>
      <w:r>
        <w:t xml:space="preserve">Campus sostiene che il personale abbia fruito di 1.948 ore di formazione, quali risultano dal registro presenze, mentre Reviance ne avrebbe certificate come erogate 4.080, pari a quelle previste nel progetto formativo predisposto da Sabanet. Secondo la lettera, Reviance avrebbe recepito il programma senza esaminare i fogli presenza, senza riscontrare le ore effettivamente erogate e senza verificare la coerenza dei contenuti con le mansioni dei dipendenti.</w:t>
      </w:r>
    </w:p>
    <w:p>
      <w:pPr>
        <w:widowControl/>
        <w:jc w:val="both"/>
      </w:pPr>
      <w:r>
        <w:t xml:space="preserve">Tale condotta, contraria alla diligenza qualificata richiesta dall’art. 1176, comma 2, c.c., sarebbe causalmente riconducibile ai rilievi dell’Ufficio. I danni prospettati comprendono il recupero del credito con interessi e sanzioni, il recupero dei costi dedotti e dell’IVA detratta sulle fatture Sabanet e Reviance, le spese di difesa nel procedimento tributario e ogni ulteriore pregiudizio. Campus dichiara di contestare i rilievi dell’Amministrazione finanziaria e si riserva di agire per il risarcimento nella misura che sarà determinata.</w:t>
      </w:r>
    </w:p>
    <w:p>
      <w:pPr>
        <w:pStyle w:val="Heading2"/>
        <w:keepNext/>
        <w:keepLines/>
      </w:pPr>
      <w:r>
        <w:t xml:space="preserve">2.3 Cronologia</w:t>
      </w:r>
    </w:p>
    <w:p>
      <w:pPr>
        <w:keepNext/>
        <w:widowControl/>
        <w:jc w:val="both"/>
      </w:pPr>
      <w:r>
        <w:t xml:space="preserve">Le date rilevanti sono le seguenti.</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rPr>
          <w:cantSplit/>
          <w:tblHeader/>
        </w:trPr>
        <w:tc>
          <w:tcPr>
            <w:tcW w:type="dxa" w:w="17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Data</w:t>
            </w:r>
          </w:p>
        </w:tc>
        <w:tc>
          <w:tcPr>
            <w:tcW w:type="dxa" w:w="73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Evento</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31/10/2022</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Fattura Sabanet S.r.l. n. 104/6 (imponibile 20.000,00 €; IVA 4.400,00 €)</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2023</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Utilizzo in compensazione del credito di 35.763,00 €</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06/04/2023</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Fattura Reviance n. 111 (imponibile 5.000,00 €; IVA 1.100,00 €)</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10/04/2026</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Nota di incarico dell’Agenzia delle Entrate prot. n. 5074</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14/04/2026</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Inizio della verifica fiscale presso Campus</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20/05/2026</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Processo verbale di constatazione</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03/07/2026</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Lettera di contestazione e costituzione in mora, trasmessa a mezzo PEC alle ore 15:15</w:t>
            </w:r>
          </w:p>
        </w:tc>
      </w:tr>
      <w:tr>
        <w:trPr>
          <w:cantSplit/>
          <w:tblHeader w:val="off"/>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18/07/2026</w:t>
            </w:r>
          </w:p>
        </w:tc>
        <w:tc>
          <w:tcPr>
            <w:tcW w:type="dxa" w:w="73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Scadenza del termine di quindici giorni assegnato da Campus per la risposta</w:t>
            </w:r>
          </w:p>
        </w:tc>
      </w:tr>
    </w:tbl>
    <w:p>
      <w:pPr>
        <w:widowControl/>
        <w:spacing w:before="160"/>
        <w:jc w:val="both"/>
      </w:pPr>
      <w:r>
        <w:t xml:space="preserve">Il termine assegnato da Campus non è perentorio. Il suo decorso non produce preclusioni né può essere letto come acquiescenza; la risposta, se non ancora inviata, conserva la sua utilità e va resa senza ulteriore ritardo, nei modi indicati al § 7.</w:t>
      </w:r>
    </w:p>
    <w:p>
      <w:pPr>
        <w:pStyle w:val="Heading1"/>
        <w:keepNext/>
        <w:keepLines/>
      </w:pPr>
      <w:r>
        <w:t xml:space="preserve">3. Il punto decisivo: l’oggetto della certificazione</w:t>
      </w:r>
    </w:p>
    <w:p>
      <w:pPr>
        <w:pStyle w:val="Heading2"/>
        <w:keepNext/>
        <w:keepLines/>
      </w:pPr>
      <w:r>
        <w:t xml:space="preserve">3.1 La certificazione nella disciplina del credito</w:t>
      </w:r>
    </w:p>
    <w:p>
      <w:pPr>
        <w:widowControl/>
        <w:jc w:val="both"/>
      </w:pPr>
      <w:r>
        <w:t xml:space="preserve">La contestazione presuppone che Reviance fosse tenuta a garantire l’effettività della formazione, la sua pertinenza alle mansioni e la genuinità dei registri. Il presupposto non trova riscontro nella disciplina del credito.</w:t>
      </w:r>
    </w:p>
    <w:p>
      <w:pPr>
        <w:widowControl/>
        <w:jc w:val="both"/>
      </w:pPr>
      <w:r>
        <w:t xml:space="preserve">L’art. 1, comma 53, l. n. 205/2017 subordina l’ammissibilità al credito alla certificazione dei costi da parte del soggetto incaricato della revisione legale o di un professionista iscritto nel Registro dei revisori legali. La disciplina è stata estesa alle spese del 2022 dall’art. 1, comma 210, della l. 27 dicembre 2019, n. 160, e dall’art. 1, comma 1064, lett. i) e l), della l. 30 dicembre 2020, n. 178.</w:t>
      </w:r>
    </w:p>
    <w:p>
      <w:pPr>
        <w:widowControl/>
        <w:jc w:val="both"/>
      </w:pPr>
      <w:r>
        <w:t xml:space="preserve">L’oggetto della certificazione è definito dall’art. 6, comma 1, del decreto interministeriale 4 maggio 2018 (G.U. n. 143 del 22 giugno 2018), che la richiede per attestare «</w:t>
      </w:r>
      <w:r>
        <w:rPr>
          <w:i/>
          <w:iCs/>
        </w:rPr>
        <w:t xml:space="preserve">l’effettivo sostenimento delle spese ammissibili e la corrispondenza delle stesse alla documentazione contabile predisposta dall’impresa</w:t>
      </w:r>
      <w:r>
        <w:t xml:space="preserve">». Si tratta di un’attestazione contabile, che verte sulla spesa e sul suo riscontro documentale. Essa non si estende alla qualità della formazione, alla sua coerenza con le mansioni o con gli ambiti aziendali, né all’autenticità dei documenti extracontabili formati dall’impresa e dall’ente formatore.</w:t>
      </w:r>
    </w:p>
    <w:p>
      <w:pPr>
        <w:pStyle w:val="Heading2"/>
        <w:keepNext/>
        <w:keepLines/>
      </w:pPr>
      <w:r>
        <w:t xml:space="preserve">3.2 Gli adempimenti riservati all’impresa</w:t>
      </w:r>
    </w:p>
    <w:p>
      <w:pPr>
        <w:widowControl/>
        <w:jc w:val="both"/>
      </w:pPr>
      <w:r>
        <w:t xml:space="preserve">Lo stesso decreto pone a carico dell’impresa beneficiaria, e non del certificatore, la conservazione di una relazione sulle modalità organizzative e sui contenuti delle attività svolte. All’impresa compete anche la tenuta dei registri nominativi di svolgimento delle attività, sottoscritti congiuntamente dai discenti e dai docenti o dal soggetto formatore esterno. L’impresa deve inoltre rilasciare a ciascun dipendente, con dichiarazione del legale rappresentante, l’attestazione dell’effettiva partecipazione alle attività formative, con l’indicazione degli ambiti aziendali di applicazione delle conoscenze acquisite.</w:t>
      </w:r>
    </w:p>
    <w:p>
      <w:pPr>
        <w:widowControl/>
        <w:jc w:val="both"/>
      </w:pPr>
      <w:r>
        <w:t xml:space="preserve">I tre profili che Campus imputa a Reviance appartengono dunque, per scelta normativa, alla sfera dell’impresa. L’effettiva partecipazione è attestata dal legale rappresentante; la correlazione tra formazione e ambiti aziendali è dichiarata dalla stessa impresa; i registri sono formati e sottoscritti da discenti, docenti ed ente formatore. Il certificatore non concorre alla formazione di alcuno di questi documenti.</w:t>
      </w:r>
    </w:p>
    <w:p>
      <w:pPr>
        <w:pStyle w:val="Heading2"/>
        <w:keepNext/>
        <w:keepLines/>
      </w:pPr>
      <w:r>
        <w:t xml:space="preserve">3.3 I rilievi dell’Ufficio non investono la certificazione</w:t>
      </w:r>
    </w:p>
    <w:p>
      <w:pPr>
        <w:widowControl/>
        <w:jc w:val="both"/>
      </w:pPr>
      <w:r>
        <w:t xml:space="preserve">Nella sintesi fornita dalla stessa Campus, il verbale non muove alcun addebito alla certificazione. I rilievi colpiscono il registro didattico, la pertinenza del corso e le dichiarazioni del personale, cioè documenti e fatti interni all’impresa. L’inattendibilità della certificazione, affermata alla lettera h) della contestazione, è una deduzione di Campus e non un accertamento dell’Ufficio.</w:t>
      </w:r>
    </w:p>
    <w:p>
      <w:pPr>
        <w:widowControl/>
        <w:jc w:val="both"/>
      </w:pPr>
      <w:r>
        <w:t xml:space="preserve">Due dei tre rilievi sono estranei all’attività di Reviance. L’inattendibilità del registro didattico riguarda un documento predisposto dall’ente formatore e sottoscritto dai partecipanti. La mancata correlazione tra corso e mansioni investe la scelta del programma, compiuta da Campus con Sabanet. Nessuno dei due rilievi sarebbe venuto meno se la certificazione avesse esposto un diverso numero di ore.</w:t>
      </w:r>
    </w:p>
    <w:p>
      <w:pPr>
        <w:pStyle w:val="Heading1"/>
        <w:keepNext/>
        <w:keepLines/>
      </w:pPr>
      <w:r>
        <w:t xml:space="preserve">4. Il profilo da presidiare: le ore di formazione</w:t>
      </w:r>
    </w:p>
    <w:p>
      <w:pPr>
        <w:pStyle w:val="Heading2"/>
        <w:keepNext/>
        <w:keepLines/>
      </w:pPr>
      <w:r>
        <w:t xml:space="preserve">4.1 La tesi avversaria nella sua versione più forte</w:t>
      </w:r>
    </w:p>
    <w:p>
      <w:pPr>
        <w:widowControl/>
        <w:jc w:val="both"/>
      </w:pPr>
      <w:r>
        <w:t xml:space="preserve">Il profilo delle ore richiede un esame distinto, perché è l’unico che tocca la quantificazione della spesa certificata. Tra le spese ammissibili del periodo rientra il costo del personale discente per le ore di partecipazione alla formazione, sicché il numero delle ore è un fattore di calcolo della spesa. Campus potrà sostenere che la verifica dell’effettivo sostenimento di quella spesa imponeva di riscontrare le ore esposte nel prospetto di calcolo con i fogli firma, che ne costituiscono la prova primaria.</w:t>
      </w:r>
    </w:p>
    <w:p>
      <w:pPr>
        <w:widowControl/>
        <w:jc w:val="both"/>
      </w:pPr>
      <w:r>
        <w:t xml:space="preserve">La tesi può fare leva sull’orientamento che esige dal professionista un controllo sostanziale dei dati ricevuti. Cass. civ., sez. III, ord. n. 21061/2026 ha affermato che il consulente fiscale non può limitarsi a recepire passivamente la documentazione del cliente e risponde delle irregolarità riconoscibili nell’ambito dell’incarico affidato. Se i fogli firma erano nella disponibilità di Reviance, un giudice potrebbe ritenere riconoscibile una divergenza di 2.132 ore su 4.080 dichiarate.</w:t>
      </w:r>
    </w:p>
    <w:p>
      <w:pPr>
        <w:pStyle w:val="Heading2"/>
        <w:keepNext/>
        <w:keepLines/>
      </w:pPr>
      <w:r>
        <w:t xml:space="preserve">4.2 I limiti della tesi avversaria</w:t>
      </w:r>
    </w:p>
    <w:p>
      <w:pPr>
        <w:widowControl/>
        <w:jc w:val="both"/>
      </w:pPr>
      <w:r>
        <w:t xml:space="preserve">La tesi incontra anzitutto un limite documentale. La riconoscibilità della divergenza dipende da ciò che Campus ha consegnato a Reviance e dal perimetro delle verifiche pattuite nella lettera d’incarico. Si supponga che la certificazione sia stata resa sulla base del prospetto delle ore e dei costi predisposto dall’impresa, dei cedolini o del libro unico del lavoro, del contratto e delle fatture dell’ente formatore. Se i fogli firma non erano tra i documenti trasmessi, non vi era alcuna anomalia da intercettare.</w:t>
      </w:r>
    </w:p>
    <w:p>
      <w:pPr>
        <w:widowControl/>
        <w:jc w:val="both"/>
      </w:pPr>
      <w:r>
        <w:t xml:space="preserve">Lo stesso vale se a Reviance è stato consegnato un registro didattico coerente con le 4.080 ore, poi ritenuto inattendibile dall’Ufficio. In tal caso la certificazione corrisponde alla documentazione ricevuta, e secondo i principi di revisione (ISA Italia 240) il revisore, in mancanza di elementi contrari, può considerare autentici i documenti che esamina. Anche dove la divergenza fosse stata riconoscibile, la pretesa incontrerebbe i limiti del nesso causale e del danno risarcibile, oltre al concorso del fatto di Campus, esaminati al § 5.</w:t>
      </w:r>
    </w:p>
    <w:p>
      <w:pPr>
        <w:pStyle w:val="Heading2"/>
        <w:keepNext/>
        <w:keepLines/>
      </w:pPr>
      <w:r>
        <w:t xml:space="preserve">4.3 L’alternativa che Campus non può evitare</w:t>
      </w:r>
    </w:p>
    <w:p>
      <w:pPr>
        <w:widowControl/>
        <w:jc w:val="both"/>
      </w:pPr>
      <w:r>
        <w:t xml:space="preserve">Campus non può sostenere insieme due tesi incompatibili. Nel procedimento tributario ha interesse a dimostrare l’effettività della formazione nella misura dichiarata. Nei confronti di Reviance afferma invece che le ore effettive sono state 1.948 e non 4.080.</w:t>
      </w:r>
    </w:p>
    <w:p>
      <w:pPr>
        <w:widowControl/>
        <w:jc w:val="both"/>
      </w:pPr>
      <w:r>
        <w:t xml:space="preserve">Se prevale la prima tesi, la certificazione è corretta e il danno non sussiste. Se prevale la seconda, Campus riconosce di aver dichiarato per il calcolo della spesa agevolabile un numero di ore diverso da quello risultante dai propri registri, e il pregiudizio discende da un fatto proprio. In entrambe le ipotesi la pretesa verso Reviance resta priva di fondamento. La lettera del 3 luglio 2026 contiene già, alla lettera f), il riconoscimento che il dato delle 1.948 ore era desumibile dal registro presenze di Campus.</w:t>
      </w:r>
    </w:p>
    <w:p>
      <w:pPr>
        <w:pStyle w:val="Heading1"/>
        <w:keepNext/>
        <w:keepLines/>
      </w:pPr>
      <w:r>
        <w:t xml:space="preserve">5. Nesso causale e danno risarcibile</w:t>
      </w:r>
    </w:p>
    <w:p>
      <w:pPr>
        <w:pStyle w:val="Heading2"/>
        <w:keepNext/>
        <w:keepLines/>
      </w:pPr>
      <w:r>
        <w:t xml:space="preserve">5.1 L’onere della prova</w:t>
      </w:r>
    </w:p>
    <w:p>
      <w:pPr>
        <w:widowControl/>
        <w:jc w:val="both"/>
      </w:pPr>
      <w:r>
        <w:t xml:space="preserve">Nella responsabilità contrattuale del professionista spetta al creditore provare, oltre alla fonte dell’obbligazione, il nesso causale tra la condotta e il danno secondo il criterio del «più probabile che non» (Cass. civ., sez. III, 29 marzo 2022, n. 10050). Il nesso tra inadempimento e danno è elemento costitutivo della domanda e resta a carico dell’attore anche alla luce del principio di vicinanza della prova (Cass. civ., sez. III, ord. 17 luglio 2023, n. 20707).</w:t>
      </w:r>
    </w:p>
    <w:p>
      <w:pPr>
        <w:widowControl/>
        <w:jc w:val="both"/>
      </w:pPr>
      <w:r>
        <w:t xml:space="preserve">Campus dovrà dunque dimostrare che, con una certificazione diversa, non avrebbe subito le conseguenze lamentate. La prova non è possibile per i rilievi estranei alle ore e, per il resto, incontra i limiti che seguono.</w:t>
      </w:r>
    </w:p>
    <w:p>
      <w:pPr>
        <w:pStyle w:val="Heading2"/>
        <w:keepNext/>
        <w:keepLines/>
      </w:pPr>
      <w:r>
        <w:t xml:space="preserve">5.2 Il credito non spettante non è un danno</w:t>
      </w:r>
    </w:p>
    <w:p>
      <w:pPr>
        <w:widowControl/>
        <w:jc w:val="both"/>
      </w:pPr>
      <w:r>
        <w:t xml:space="preserve">Il danno risarcibile si misura sulla differenza tra la situazione patrimoniale del danneggiato e quella in cui egli si sarebbe trovato senza l’inadempimento (art. 1223 c.c.). Se Reviance avesse certificato le sole spese riferibili a 1.948 ore, Campus avrebbe maturato un credito minore e non avrebbe mai goduto della parte eccedente.</w:t>
      </w:r>
    </w:p>
    <w:p>
      <w:pPr>
        <w:widowControl/>
        <w:jc w:val="both"/>
      </w:pPr>
      <w:r>
        <w:t xml:space="preserve">La restituzione di quella parte ripristina la situazione conforme alla legge. Non è una perdita, ma il venir meno di un vantaggio al quale Campus non aveva diritto. Per la stessa ragione non sono risarcibili gli interessi sul credito recuperato, che remunerano la disponibilità di somme di cui Campus ha goduto nel frattempo.</w:t>
      </w:r>
    </w:p>
    <w:p>
      <w:pPr>
        <w:widowControl/>
        <w:jc w:val="both"/>
      </w:pPr>
      <w:r>
        <w:t xml:space="preserve">Il principio non contrasta con Cass. civ., ord. 20 ottobre 2020, n. 22855, che ha riconosciuto al cliente anche il risarcimento delle maggiori imposte. In quel caso le maggiori imposte erano la conseguenza della non corretta tenuta della contabilità affidata al professionista, e dunque di un debito che una condotta diligente avrebbe evitato. Qui il debito verso l’Erario corrisponde a un credito mai spettato, che nessuna certificazione avrebbe potuto rendere legittimo.</w:t>
      </w:r>
    </w:p>
    <w:p>
      <w:pPr>
        <w:widowControl/>
        <w:jc w:val="both"/>
      </w:pPr>
      <w:r>
        <w:t xml:space="preserve">Residuano, sul piano astratto, le sole sanzioni riferibili alla quota eccedente del credito e i costi di difesa specificamente imputabili a quella quota. Anche queste voci, tuttavia, scontano il concorso del fatto di Campus.</w:t>
      </w:r>
    </w:p>
    <w:p>
      <w:pPr>
        <w:pStyle w:val="Heading2"/>
        <w:keepNext/>
        <w:keepLines/>
      </w:pPr>
      <w:r>
        <w:t xml:space="preserve">5.3 Il concorso del fatto di Campus</w:t>
      </w:r>
    </w:p>
    <w:p>
      <w:pPr>
        <w:widowControl/>
        <w:jc w:val="both"/>
      </w:pPr>
      <w:r>
        <w:t xml:space="preserve">Anche se si ravvisasse una negligenza del certificatore, il risarcimento andrebbe escluso o ridotto a norma dell’art. 1227, comma 1, c.c. Il numero delle ore è stato determinato e dichiarato da Campus, che deteneva i registri, conosceva la partecipazione dei propri dipendenti ed era tenuta ad attestarla tramite il legale rappresentante. Le dichiarazioni rese dal personale agli ispettori, poste dall’Ufficio a fondamento del terzo rilievo, sono fatti che nessuna procedura di certificazione avrebbe potuto anticipare.</w:t>
      </w:r>
    </w:p>
    <w:p>
      <w:pPr>
        <w:widowControl/>
        <w:jc w:val="both"/>
      </w:pPr>
      <w:r>
        <w:t xml:space="preserve">Quando l’errore nasce da dati forniti dal cliente e contraddetti da documenti che il cliente stesso detiene, il contributo causale del cliente è prevalente e può assorbire interamente quello del professionista. Rileva inoltre l’art. 1227, comma 2, c.c., del quale la stessa Campus dà atto alla lettera k). Non sono risarcibili le maggiori sanzioni derivanti da scelte difensive irragionevoli o dal mancato ricorso agli strumenti deflativi, quando la pretesa fiscale appaia fondata.</w:t>
      </w:r>
    </w:p>
    <w:p>
      <w:pPr>
        <w:pStyle w:val="Heading2"/>
        <w:keepNext/>
        <w:keepLines/>
      </w:pPr>
      <w:r>
        <w:t xml:space="preserve">5.4 Le voci di danno estranee alla certificazione</w:t>
      </w:r>
    </w:p>
    <w:p>
      <w:pPr>
        <w:widowControl/>
        <w:jc w:val="both"/>
      </w:pPr>
      <w:r>
        <w:t xml:space="preserve">Il recupero dei costi dedotti e dell’IVA detratta sulla fattura Sabanet dipende dall’effettività e dall’inerenza della prestazione dell’ente formatore. Reviance non ha scelto Sabanet, non ha definito i contenuti del corso e non ha erogato la formazione.</w:t>
      </w:r>
    </w:p>
    <w:p>
      <w:pPr>
        <w:widowControl/>
        <w:jc w:val="both"/>
      </w:pPr>
      <w:r>
        <w:t xml:space="preserve">Il recupero relativo alla fattura di Reviance attiene a una prestazione effettivamente resa, la cui deducibilità non dipende dalla qualità della certificazione. Su questo punto Reviance può anzi sostenere la difesa di Campus, confermando l’esecuzione della prestazione.</w:t>
      </w:r>
    </w:p>
    <w:p>
      <w:pPr>
        <w:widowControl/>
        <w:jc w:val="both"/>
      </w:pPr>
      <w:r>
        <w:t xml:space="preserve">Le spese di difesa nel procedimento tributario sarebbero state sostenute in ogni caso, perché i primi due rilievi sono autonomi. La voce residuale di «ogni ulteriore pregiudizio» è priva di qualsiasi allegazione e non richiede, allo stato, una replica specifica.</w:t>
      </w:r>
    </w:p>
    <w:p>
      <w:pPr>
        <w:pStyle w:val="Heading2"/>
        <w:keepNext/>
        <w:keepLines/>
      </w:pPr>
      <w:r>
        <w:t xml:space="preserve">5.5 L’ordine di grandezza dell’esposizione</w:t>
      </w:r>
    </w:p>
    <w:p>
      <w:pPr>
        <w:widowControl/>
        <w:jc w:val="both"/>
      </w:pPr>
      <w:r>
        <w:t xml:space="preserve">L’importo capitale complessivamente in contestazione può stimarsi in circa 48.238,00 €. La cifra somma il credito (35.763,00 €), l’IVA sulle due fatture (5.500,00 €) e le imposte sui redditi riferibili ai 25.000,00 € di costi ripresi. Queste ultime ammontano a circa 6.975,00 € con le aliquote ordinarie IRES del 24 per cento e IRAP del 3,9 per cento. Vi si aggiungono sanzioni e interessi, la cui misura dipende dalla qualificazione delle violazioni.</w:t>
      </w:r>
    </w:p>
    <w:p>
      <w:pPr>
        <w:keepNext/>
        <w:widowControl/>
        <w:jc w:val="both"/>
      </w:pPr>
      <w:r>
        <w:t xml:space="preserve">Di questo importo, la sola componente astrattamente incisa dalla divergenza oraria è quella del costo del personale discente, nella proporzione di 2.132 ore su 4.080 (52,25 per cento). Restano estranee la quota del credito riferita alla fattura Sabanet e quella riferita al costo della certificazione. In attesa di riscontrare la composizione del credito sul prospetto di calcolo, la tabella seguente ne stima l’entità per le aliquote astrattamente applicabili. Essa assume che la fattura Sabanet sia stata integralmente ammessa e considera il credito con e senza la maggiorazione di 5.000,00 € per il costo della certificazione.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200"/>
        <w:gridCol w:w="2486"/>
        <w:gridCol w:w="2486"/>
      </w:tblGrid>
      <w:tr>
        <w:trPr>
          <w:cantSplit/>
          <w:tblHeader/>
        </w:trPr>
        <w:tc>
          <w:tcPr>
            <w:tcW w:type="dxa" w:w="19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Aliquota del credito</w:t>
            </w:r>
          </w:p>
        </w:tc>
        <w:tc>
          <w:tcPr>
            <w:tcW w:type="dxa" w:w="22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Quota riferita alla fattura Sabanet</w:t>
            </w:r>
          </w:p>
        </w:tc>
        <w:tc>
          <w:tcPr>
            <w:tcW w:type="dxa" w:w="2486"/>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Quota incisa dalla divergenza, con maggiorazione</w:t>
            </w:r>
          </w:p>
        </w:tc>
        <w:tc>
          <w:tcPr>
            <w:tcW w:type="dxa" w:w="2486"/>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Quota incisa dalla divergenza, senza maggiorazione</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40 per cento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8.000,00 €</w:t>
            </w:r>
          </w:p>
        </w:tc>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11.894,78 €</w:t>
            </w:r>
          </w:p>
        </w:tc>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14.507,53 €</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50 per cento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10.000,00 €</w:t>
            </w:r>
          </w:p>
        </w:tc>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10.849,69 €</w:t>
            </w:r>
          </w:p>
        </w:tc>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right"/>
            </w:pPr>
            <w:r>
              <w:rPr>
                <w:sz w:val="20"/>
                <w:szCs w:val="20"/>
              </w:rPr>
              <w:t xml:space="preserve">13.462,43 €</w:t>
            </w:r>
          </w:p>
        </w:tc>
      </w:tr>
      <w:tr>
        <w:trPr>
          <w:cantSplit/>
          <w:tblHeader w:val="off"/>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70 per cento</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r>
              <w:rPr>
                <w:sz w:val="20"/>
                <w:szCs w:val="20"/>
              </w:rPr>
              <w:t xml:space="preserve">14.000,00 €</w:t>
            </w:r>
          </w:p>
        </w:tc>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r>
              <w:rPr>
                <w:sz w:val="20"/>
                <w:szCs w:val="20"/>
              </w:rPr>
              <w:t xml:space="preserve">8.759,49 €</w:t>
            </w:r>
          </w:p>
        </w:tc>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right"/>
            </w:pPr>
            <w:r>
              <w:rPr>
                <w:sz w:val="20"/>
                <w:szCs w:val="20"/>
              </w:rPr>
              <w:t xml:space="preserve">11.372,23 €</w:t>
            </w:r>
          </w:p>
        </w:tc>
      </w:tr>
    </w:tbl>
    <w:p>
      <w:pPr>
        <w:widowControl/>
        <w:spacing w:before="160"/>
        <w:jc w:val="both"/>
      </w:pPr>
      <w:r>
        <w:t xml:space="preserve">La quota astrattamente riferibile alla divergenza oraria oscilla dunque tra 8.759,49 € e 14.507,53 €, cioè tra il 24 e il 41 per cento del credito. Per le ragioni esposte al § 5.2 essa non costituisce danno; l’esposizione effettiva si concentra sulle sanzioni riferibili a tale quota.</w:t>
      </w:r>
    </w:p>
    <w:p>
      <w:pPr>
        <w:pStyle w:val="Heading1"/>
        <w:keepNext/>
        <w:keepLines/>
      </w:pPr>
      <w:r>
        <w:t xml:space="preserve">6. Profili collaterali</w:t>
      </w:r>
    </w:p>
    <w:p>
      <w:pPr>
        <w:pStyle w:val="Heading2"/>
        <w:keepNext/>
        <w:keepLines/>
      </w:pPr>
      <w:r>
        <w:t xml:space="preserve">6.1 La copertura assicurativa</w:t>
      </w:r>
    </w:p>
    <w:p>
      <w:pPr>
        <w:widowControl/>
        <w:jc w:val="both"/>
      </w:pPr>
      <w:r>
        <w:t xml:space="preserve">La lettera del 3 luglio 2026 è una richiesta di risarcimento e, nelle polizze in regime </w:t>
      </w:r>
      <w:r>
        <w:rPr>
          <w:i/>
          <w:iCs/>
        </w:rPr>
        <w:t xml:space="preserve">claims made</w:t>
      </w:r>
      <w:r>
        <w:t xml:space="preserve">, individua il periodo assicurativo di riferimento. La validità di tale regime è stata riconosciuta da Cass. civ., sez. un., 24 settembre 2018, n. 22437.</w:t>
      </w:r>
    </w:p>
    <w:p>
      <w:pPr>
        <w:widowControl/>
        <w:jc w:val="both"/>
      </w:pPr>
      <w:r>
        <w:t xml:space="preserve">L’art. 1913 c.c. impone di dare avviso del sinistro entro tre giorni, salvo il termine più favorevole previsto in polizza. L’art. 1915 c.c. collega all’omissione dolosa la perdita dell’indennità e all’omissione colposa la sua riduzione in ragione del pregiudizio sofferto dall’assicuratore. Se la denuncia non è stata ancora effettuata, va effettuata subito: dalla ricezione della lettera sono trascorsi quasi tre mesi.</w:t>
      </w:r>
    </w:p>
    <w:p>
      <w:pPr>
        <w:widowControl/>
        <w:jc w:val="both"/>
      </w:pPr>
      <w:r>
        <w:t xml:space="preserve">Occorre inoltre verificare che il periodo di retroattività copra l’attività svolta nel 2023 e che non operi l’esclusione delle circostanze note, ove Reviance avesse avuto notizia della verifica prima della lettera. Vanno considerate, infine, le clausole che vietano all’assicurato di riconoscere la propria responsabilità o di transigere senza il consenso della compagnia. Ogni comunicazione a Campus va perciò concordata con l’assicuratore, che di regola si riserva la gestione della lite e sostiene le spese di resistenza nei limiti dell’art. 1917, comma 3, c.c.</w:t>
      </w:r>
    </w:p>
    <w:p>
      <w:pPr>
        <w:widowControl/>
        <w:jc w:val="both"/>
      </w:pPr>
      <w:r>
        <w:t xml:space="preserve">Quanto ai dati di polizza richiesti da Campus, è corretto comunicare la compagnia e il numero di polizza, precisando che il sinistro è stato denunciato; la comunicazione non comporta alcun riconoscimento. Non è invece opportuno indicare massimale e franchigie, che orienterebbero la controparte nella quantificazione della pretesa, salvo che tali dati siano già stati comunicati al conferimento dell’incarico.</w:t>
      </w:r>
    </w:p>
    <w:p>
      <w:pPr>
        <w:pStyle w:val="Heading2"/>
        <w:keepNext/>
        <w:keepLines/>
      </w:pPr>
      <w:r>
        <w:t xml:space="preserve">6.2 I possibili riflessi tributari e penali</w:t>
      </w:r>
    </w:p>
    <w:p>
      <w:pPr>
        <w:widowControl/>
        <w:jc w:val="both"/>
      </w:pPr>
      <w:r>
        <w:t xml:space="preserve">Il verbale, per quanto riferito, non contiene contestazioni rivolte a Reviance. La sua lettura integrale serve anche a escludere che l’Ufficio abbia prospettato un concorso del certificatore nelle violazioni, ai sensi dell’art. 9 del d.lgs. 18 dicembre 1997, n. 472.</w:t>
      </w:r>
    </w:p>
    <w:p>
      <w:pPr>
        <w:widowControl/>
        <w:jc w:val="both"/>
      </w:pPr>
      <w:r>
        <w:t xml:space="preserve">Sul piano penale l’importo del credito, pari a 35.763,00 €, è inferiore alla soglia annua di 50.000,00 € fissata dall’art. 10-quater del d.lgs. 10 marzo 2000, n. 74. La giurisprudenza di legittimità esige comunque la prova di un contributo causale del certificatore alla compensazione, e lo esclude quando la certificazione sia successiva alla presentazione degli F24 (Cass. pen., sez. III, 5 maggio 2025, n. 16532).</w:t>
      </w:r>
    </w:p>
    <w:p>
      <w:pPr>
        <w:widowControl/>
        <w:jc w:val="both"/>
      </w:pPr>
      <w:r>
        <w:t xml:space="preserve">Il rischio penale per Reviance è quindi remoto, ma incide sulla redazione degli scritti. Quanto Reviance dichiara oggi a Campus può essere acquisito in altre sedi, e la linea difensiva deve restare coerente in ciascuna di esse. Per la stessa ragione, i profili penali della vicenda non vanno mai evocati nella trattativa con Campus.</w:t>
      </w:r>
    </w:p>
    <w:p>
      <w:pPr>
        <w:pStyle w:val="Heading2"/>
        <w:keepNext/>
        <w:keepLines/>
      </w:pPr>
      <w:r>
        <w:t xml:space="preserve">6.3 La posizione di Sabanet</w:t>
      </w:r>
    </w:p>
    <w:p>
      <w:pPr>
        <w:widowControl/>
        <w:jc w:val="both"/>
      </w:pPr>
      <w:r>
        <w:t xml:space="preserve">Sabanet ha predisposto il progetto formativo da 4.080 ore, ha erogato la formazione, ha verosimilmente curato il registro didattico e ha fatturato 20.000,00 €. Se le ore effettive sono state 1.948, la divergenza trae origine dalla sfera dell’ente formatore prima ancora che da quella di Campus.</w:t>
      </w:r>
    </w:p>
    <w:p>
      <w:pPr>
        <w:widowControl/>
        <w:jc w:val="both"/>
      </w:pPr>
      <w:r>
        <w:t xml:space="preserve">In un eventuale giudizio, la chiamata in causa di Sabanet quale terzo responsabile, ai sensi dell’art. 106 c.p.c., consentirà di ricondurre il pregiudizio al soggetto cui è riferibile e di acquisire al processo la documentazione della formazione. Va inoltre verificato se sia stata Sabanet a indicare Reviance a Campus e a trasmetterle i documenti: la circostanza confermerebbe che i dati certificati provenivano interamente da terzi.</w:t>
      </w:r>
    </w:p>
    <w:p>
      <w:pPr>
        <w:pStyle w:val="Heading1"/>
        <w:keepNext/>
        <w:keepLines/>
      </w:pPr>
      <w:r>
        <w:t xml:space="preserve">7. La strategia raccomandata</w:t>
      </w:r>
    </w:p>
    <w:p>
      <w:pPr>
        <w:pStyle w:val="Heading2"/>
        <w:keepNext/>
        <w:keepLines/>
      </w:pPr>
      <w:r>
        <w:t xml:space="preserve">7.1 Impostazione</w:t>
      </w:r>
    </w:p>
    <w:p>
      <w:pPr>
        <w:widowControl/>
        <w:jc w:val="both"/>
      </w:pPr>
      <w:r>
        <w:t xml:space="preserve">La strategia più efficace unisce un rigetto netto della contestazione a una condotta che non anticipi il contenzioso. Il danno non è attuale: il verbale di constatazione non è un atto impositivo, alla data della lettera non risultava notificato alcun atto di recupero e Campus dichiara di contestare i rilievi. Fino alla definizione del procedimento tributario la pretesa resta incerta nell’</w:t>
      </w:r>
      <w:r>
        <w:rPr>
          <w:i/>
          <w:iCs/>
        </w:rPr>
        <w:t xml:space="preserve">an</w:t>
      </w:r>
      <w:r>
        <w:t xml:space="preserve"> e indeterminata nel </w:t>
      </w:r>
      <w:r>
        <w:rPr>
          <w:i/>
          <w:iCs/>
        </w:rPr>
        <w:t xml:space="preserve">quantum</w:t>
      </w:r>
      <w:r>
        <w:t xml:space="preserve">.</w:t>
      </w:r>
    </w:p>
    <w:p>
      <w:pPr>
        <w:widowControl/>
        <w:jc w:val="both"/>
      </w:pPr>
      <w:r>
        <w:t xml:space="preserve">Reviance ha interesse a che Campus prevalga nei confronti dell’Erario, perché ogni riduzione della pretesa fiscale riduce il danno lamentato. Non è consigliabile, per converso, un’azione di accertamento negativo, che esporrebbe Reviance a costi e rischi prima che il danno si sia prodotto e anticiperebbe un giudizio che Campus potrebbe non promuovere mai.</w:t>
      </w:r>
    </w:p>
    <w:p>
      <w:pPr>
        <w:pStyle w:val="Heading2"/>
        <w:keepNext/>
        <w:keepLines/>
      </w:pPr>
      <w:r>
        <w:t xml:space="preserve">7.2 Le iniziative immediate</w:t>
      </w:r>
    </w:p>
    <w:p>
      <w:pPr>
        <w:keepNext/>
        <w:widowControl/>
        <w:jc w:val="both"/>
      </w:pPr>
      <w:r>
        <w:t xml:space="preserve">Le iniziative da assumere, in ordine di priorità, sono indicate nella tabella seguente.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200"/>
        <w:gridCol w:w="4572"/>
        <w:gridCol w:w="1800"/>
      </w:tblGrid>
      <w:tr>
        <w:trPr>
          <w:cantSplit/>
          <w:tblHeader/>
        </w:trPr>
        <w:tc>
          <w:tcPr>
            <w:tcW w:type="dxa" w:w="5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N.</w:t>
            </w:r>
          </w:p>
        </w:tc>
        <w:tc>
          <w:tcPr>
            <w:tcW w:type="dxa" w:w="22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Iniziativa</w:t>
            </w:r>
          </w:p>
        </w:tc>
        <w:tc>
          <w:tcPr>
            <w:tcW w:type="dxa" w:w="45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Contenuto</w:t>
            </w:r>
          </w:p>
        </w:tc>
        <w:tc>
          <w:tcPr>
            <w:tcW w:type="dxa" w:w="18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Tempi</w:t>
            </w:r>
          </w:p>
        </w:tc>
      </w:tr>
      <w:tr>
        <w:trPr>
          <w:cantSplit/>
          <w:tblHeader w:val="off"/>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1</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Denuncia all’assicuratore</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Trasmissione della lettera e della PEC; verifica di retroattività, circostanze note e clausole sulla gestione della lite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Immediata, se non già effettuata</w:t>
            </w:r>
          </w:p>
        </w:tc>
      </w:tr>
      <w:tr>
        <w:trPr>
          <w:cantSplit/>
          <w:tblHeader w:val="off"/>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Conservazione dei documenti</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Sospensione di ogni cancellazione di file, messaggi di posta e carte di lavoro relativi all’incarico</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Immediata</w:t>
            </w:r>
          </w:p>
        </w:tc>
      </w:tr>
      <w:tr>
        <w:trPr>
          <w:cantSplit/>
          <w:tblHeader w:val="off"/>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3</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Ricostruzione del fascicolo</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Lettera d’incarico; testo e data della certificazione; carte di lavoro; documenti ricevuti, con data e mittente; attestazioni del legale rappresentante; corrispondenza con Campus e Sabanet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Entro dieci giorni</w:t>
            </w:r>
          </w:p>
        </w:tc>
      </w:tr>
      <w:tr>
        <w:trPr>
          <w:cantSplit/>
          <w:tblHeader w:val="off"/>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4</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Risposta a Campus</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Rigetto motivato, concordato con l’assicuratore, con richiesta degli atti del procedimento tributario</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Entro quindici giorni dai punti 1 e 3</w:t>
            </w:r>
          </w:p>
        </w:tc>
      </w:tr>
      <w:tr>
        <w:trPr>
          <w:cantSplit/>
          <w:tblHeader w:val="off"/>
        </w:trP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Monitoraggio del procedimento tributario</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Schema d’atto, atto di recupero, eventuale contenzioso ed esiti rilevanti per il </w:t>
            </w:r>
            <w:r>
              <w:rPr>
                <w:i/>
                <w:iCs/>
                <w:sz w:val="20"/>
                <w:szCs w:val="20"/>
              </w:rPr>
              <w:t xml:space="preserve">quantum</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Continuativa</w:t>
            </w:r>
          </w:p>
        </w:tc>
      </w:tr>
    </w:tbl>
    <w:p>
      <w:pPr>
        <w:pStyle w:val="Heading2"/>
        <w:keepNext/>
        <w:keepLines/>
      </w:pPr>
      <w:r>
        <w:t xml:space="preserve">7.3 La verifica del fascicolo e i due scenari</w:t>
      </w:r>
    </w:p>
    <w:p>
      <w:pPr>
        <w:widowControl/>
        <w:jc w:val="both"/>
      </w:pPr>
      <w:r>
        <w:t xml:space="preserve">L’esito della difesa sul profilo delle ore dipende da quattro elementi del fascicolo. Il primo è la lettera d’incarico, dalla quale devono risultare l’oggetto e le procedure pattuite. Rilevano anche le dichiarazioni dell’impresa sulla completezza e veridicità dei dati, le eventuali limitazioni di responsabilità, valide nei limiti dell’art. 1229 c.c., e le clausole sul foro competente e sulla mediazione.</w:t>
      </w:r>
    </w:p>
    <w:p>
      <w:pPr>
        <w:widowControl/>
        <w:jc w:val="both"/>
      </w:pPr>
      <w:r>
        <w:t xml:space="preserve">Il secondo è il testo della certificazione: va verificato se Reviance abbia attestato le sole spese o anche il numero delle ore e l’importo del credito, che Campus, alla lettera c.1), qualifica come «</w:t>
      </w:r>
      <w:r>
        <w:rPr>
          <w:i/>
          <w:iCs/>
        </w:rPr>
        <w:t xml:space="preserve">da voi certificato</w:t>
      </w:r>
      <w:r>
        <w:t xml:space="preserve">». Il terzo è la data della certificazione, da confrontare con quelle degli F24. Se il credito è stato utilizzato prima del rilascio, le compensazioni anteriori non possono essere ricondotte alla condotta di Reviance, per la ragione già richiamata al § 6.2: un atto successivo non può aver cagionato un evento anteriore.</w:t>
      </w:r>
    </w:p>
    <w:p>
      <w:pPr>
        <w:widowControl/>
        <w:jc w:val="both"/>
      </w:pPr>
      <w:r>
        <w:t xml:space="preserve">Il quarto elemento, decisivo, è l’elenco dei documenti ricevuti, con la data e il mittente di ciascuno. Occorre stabilire se tra essi vi fossero i fogli firma e quale versione del registro didattico sia stata consegnata.</w:t>
      </w:r>
    </w:p>
    <w:p>
      <w:pPr>
        <w:widowControl/>
        <w:jc w:val="both"/>
      </w:pPr>
      <w:r>
        <w:t xml:space="preserve">Ne discendono due scenari. Nel primo, i fogli firma non sono stati consegnati, oppure il registro ricevuto era coerente con le 4.080 ore, oppure le ore risultavano da un’attestazione del legale rappresentante. La difesa è allora piena su ogni voce e non vi è spazio per aperture transattive.</w:t>
      </w:r>
    </w:p>
    <w:p>
      <w:pPr>
        <w:widowControl/>
        <w:jc w:val="both"/>
      </w:pPr>
      <w:r>
        <w:t xml:space="preserve">Nel secondo, i fogli firma con le 1.948 ore erano nel fascicolo di Reviance. La vulnerabilità diventa concreta sul solo profilo delle ore, mentre resta ferma la difesa sulle altre voci, e l’esposizione si riduce alle sanzioni sulla quota eccedente. In questo scenario conviene valutare, tramite l’assicuratore e soltanto dopo la definizione del procedimento tributario, una transazione limitata a tale componente, senza alcun riconoscimento anticipato.</w:t>
      </w:r>
    </w:p>
    <w:p>
      <w:pPr>
        <w:pStyle w:val="Heading2"/>
        <w:keepNext/>
        <w:keepLines/>
      </w:pPr>
      <w:r>
        <w:t xml:space="preserve">7.4 Il contenuto della risposta a Campus</w:t>
      </w:r>
    </w:p>
    <w:p>
      <w:pPr>
        <w:widowControl/>
        <w:jc w:val="both"/>
      </w:pPr>
      <w:r>
        <w:t xml:space="preserve">La risposta deve essere sobria e ferma, e non deve indebolire la difesa di Campus davanti all’Erario, che coincide con l’interesse di Reviance. Essa dovrebbe respingere la contestazione e richiamare l’oggetto legale della certificazione e gli adempimenti riservati all’impresa. Dovrebbe poi rilevare che i rilievi del verbale, come riferiti, riguardano documenti e fatti di Campus e non la certificazione, e che il numero delle ore è stato determinato e dichiarato da Campus sulla base di documenti in suo possesso.</w:t>
      </w:r>
    </w:p>
    <w:p>
      <w:pPr>
        <w:widowControl/>
        <w:jc w:val="both"/>
      </w:pPr>
      <w:r>
        <w:t xml:space="preserve">Va inoltre contestata l’attualità del danno e la risarcibilità delle singole voci, con particolare riguardo alla quota di credito non spettante, agli interessi, ai costi e all’IVA della fattura Sabanet e alle spese di difesa. È opportuno osservare, senza toni polemici, che l’effettività della formazione nella misura dichiarata, se sostenuta da Campus in sede tributaria, esclude in radice ogni addebito alla certificazione. La lettera dovrebbe infine chiedere copia integrale del verbale del 20 maggio 2026, delle osservazioni eventualmente presentate e di ogni atto successivo, comunicare l’avvenuta denuncia del sinistro con gli estremi della compagnia e riservare ogni diritto.</w:t>
      </w:r>
    </w:p>
    <w:p>
      <w:pPr>
        <w:widowControl/>
        <w:jc w:val="both"/>
      </w:pPr>
      <w:r>
        <w:t xml:space="preserve">Vanno invece evitati: ogni affermazione sul numero effettivo delle ore, che rientra nella conoscenza esclusiva di Campus; la produzione delle carte di lavoro; giudizi sull’operato di Sabanet; qualsiasi riferimento a profili penali; l’indicazione del massimale. Il richiamo alla provenienza dei dati dall’impresa andrà calibrato sull’esito della verifica del fascicolo, così da non affermare circostanze che i documenti non confermino.</w:t>
      </w:r>
    </w:p>
    <w:p>
      <w:pPr>
        <w:pStyle w:val="Heading2"/>
        <w:keepNext/>
        <w:keepLines/>
      </w:pPr>
      <w:r>
        <w:t xml:space="preserve">7.5 In caso di giudizio</w:t>
      </w:r>
    </w:p>
    <w:p>
      <w:pPr>
        <w:widowControl/>
        <w:jc w:val="both"/>
      </w:pPr>
      <w:r>
        <w:t xml:space="preserve">Prima dell’azione Campus dovrà verosimilmente esperire il tentativo di mediazione, se la controversia sarà ricondotta al contratto d’opera, compreso tra le materie indicate dall’art. 5, comma 1, del d.lgs. 4 marzo 2010, n. 28, come modificato dal d.lgs. 10 ottobre 2022, n. 149. La partecipazione di Reviance, con l’assicuratore, va assicurata, perché l’assenza ingiustificata produce conseguenze processuali e pecuniarie (art. 12-bis d.lgs. n. 28/2010).</w:t>
      </w:r>
    </w:p>
    <w:p>
      <w:pPr>
        <w:widowControl/>
        <w:jc w:val="both"/>
      </w:pPr>
      <w:r>
        <w:t xml:space="preserve">In giudizio la difesa si articolerà sui profili esaminati: perimetro legale della certificazione, onere della prova del nesso causale, non risarcibilità del credito non spettante e degli interessi, concorso del fatto di Campus, estraneità delle voci relative alla fattura Sabanet e alle spese di difesa. La chiamata in causa di Sabanet e la richiesta di una consulenza tecnica contabile sul prospetto di calcolo completeranno l’impianto difensivo.</w:t>
      </w:r>
    </w:p>
    <w:p>
      <w:pPr>
        <w:pStyle w:val="Heading1"/>
        <w:keepNext/>
        <w:keepLines/>
      </w:pPr>
      <w:r>
        <w:t xml:space="preserve">8. Valutazione del rischio</w:t>
      </w:r>
    </w:p>
    <w:p>
      <w:pPr>
        <w:keepNext/>
        <w:widowControl/>
        <w:jc w:val="both"/>
      </w:pPr>
      <w:r>
        <w:t xml:space="preserve">La tabella seguente indica, per ciascuna voce, gli argomenti difensivi principali e il grado di rischio stimato.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872"/>
        <w:gridCol w:w="2200"/>
      </w:tblGrid>
      <w:tr>
        <w:trPr>
          <w:cantSplit/>
          <w:tblHeader/>
        </w:trPr>
        <w:tc>
          <w:tcPr>
            <w:tcW w:type="dxa" w:w="30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Voce</w:t>
            </w:r>
          </w:p>
        </w:tc>
        <w:tc>
          <w:tcPr>
            <w:tcW w:type="dxa" w:w="3872"/>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Argomenti difensivi</w:t>
            </w:r>
          </w:p>
        </w:tc>
        <w:tc>
          <w:tcPr>
            <w:tcW w:type="dxa" w:w="2200"/>
            <w:tcBorders>
              <w:top w:val="single" w:color="A6A6A6" w:sz="4"/>
              <w:left w:val="single" w:color="A6A6A6" w:sz="4"/>
              <w:bottom w:val="single" w:color="A6A6A6" w:sz="4"/>
              <w:right w:val="single" w:color="A6A6A6" w:sz="4"/>
            </w:tcBorders>
            <w:shd w:fill="D9D9D9" w:color="auto" w:val="clear"/>
            <w:tcMar>
              <w:top w:type="dxa" w:w="50"/>
              <w:left w:type="dxa" w:w="90"/>
              <w:bottom w:type="dxa" w:w="50"/>
              <w:right w:type="dxa" w:w="90"/>
            </w:tcMar>
            <w:vAlign w:val="center"/>
          </w:tcPr>
          <w:p>
            <w:pPr>
              <w:keepNext/>
              <w:keepLines/>
              <w:spacing w:after="0" w:before="0" w:line="240" w:lineRule="auto"/>
              <w:jc w:val="center"/>
            </w:pPr>
            <w:r>
              <w:rPr>
                <w:b/>
                <w:bCs/>
                <w:sz w:val="20"/>
                <w:szCs w:val="20"/>
              </w:rPr>
              <w:t xml:space="preserve">Rischio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Credito riferibile alle 1.948 ore o ai primi due rilievi</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Estraneità alla certificazione; difetto di nesso causale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Credito riferibile alle 2.132 ore eccedenti, con interessi</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Credito mai spettato: nessun danno (art. 1223 c.c.)</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Sanzioni sulla quota eccedente</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Perimetro della certificazione; documenti ricevuti; art. 1227 c.c.</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 nel primo scenario, medio nel secondo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Sanzioni sulla restante parte del credito</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Estraneità alla certificazione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IRES, IRAP e IVA sulla fattura Sabanet</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Estraneità all’attività di Reviance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IRES, IRAP e IVA sulla fattura Reviance</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Prestazione effettivamente resa; deducibilità indipendente dalla qualità della certificazione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Spese di difesa tributaria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left"/>
            </w:pPr>
            <w:r>
              <w:rPr>
                <w:sz w:val="20"/>
                <w:szCs w:val="20"/>
              </w:rPr>
              <w:t xml:space="preserve">Necessarie in ogni caso per i rilievi autonomi</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keepLines/>
              <w:spacing w:after="0" w:before="0" w:line="240" w:lineRule="auto"/>
              <w:jc w:val="center"/>
            </w:pPr>
            <w:r>
              <w:rPr>
                <w:sz w:val="20"/>
                <w:szCs w:val="20"/>
              </w:rPr>
              <w:t xml:space="preserve">Basso</w:t>
            </w:r>
          </w:p>
        </w:tc>
      </w:tr>
      <w:tr>
        <w:trPr>
          <w:cantSplit/>
          <w:tblHeader w:val="off"/>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Restituzione del compenso, allo stato non richiesta</w:t>
            </w:r>
          </w:p>
        </w:tc>
        <w:tc>
          <w:tcPr>
            <w:tcW w:type="dxa" w:w="3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left"/>
            </w:pPr>
            <w:r>
              <w:rPr>
                <w:sz w:val="20"/>
                <w:szCs w:val="20"/>
              </w:rPr>
              <w:t xml:space="preserve">Prestazione eseguita nel perimetro legale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keepLines/>
              <w:spacing w:after="0" w:before="0" w:line="240" w:lineRule="auto"/>
              <w:jc w:val="center"/>
            </w:pPr>
            <w:r>
              <w:rPr>
                <w:sz w:val="20"/>
                <w:szCs w:val="20"/>
              </w:rPr>
              <w:t xml:space="preserve">Basso nel primo scenario, medio-basso nel secondo</w:t>
            </w:r>
          </w:p>
        </w:tc>
      </w:tr>
    </w:tbl>
    <w:p>
      <w:pPr>
        <w:pStyle w:val="Heading1"/>
        <w:keepNext/>
        <w:keepLines/>
      </w:pPr>
      <w:r>
        <w:t xml:space="preserve">9. Conclusioni</w:t>
      </w:r>
    </w:p>
    <w:p>
      <w:pPr>
        <w:widowControl/>
        <w:jc w:val="both"/>
      </w:pPr>
      <w:r>
        <w:t xml:space="preserve">La contestazione si fonda su un presupposto errato: attribuisce alla certificazione contabile una funzione di garanzia dell’effettività e della pertinenza della formazione che la legge non le assegna e che il decreto attuativo riserva all’impresa. L’unico profilo meritevole di attenzione è quello delle ore, il cui peso dipende dai documenti consegnati a Reviance; anche nello scenario meno favorevole, l’esposizione si limita alle sanzioni riferibili alla quota di credito eccedente.</w:t>
      </w:r>
    </w:p>
    <w:p>
      <w:pPr>
        <w:widowControl/>
        <w:jc w:val="both"/>
      </w:pPr>
      <w:r>
        <w:t xml:space="preserve">Si raccomanda di denunciare subito il sinistro all’assicuratore, di ricostruire il fascicolo dell’incarico e di rispondere a Campus con un rigetto motivato, chiedendo gli atti del procedimento tributario. Ogni valutazione transattiva va rinviata alla definizione di quel procedimento e condotta tramite l’assicuratore.</w:t>
      </w:r>
    </w:p>
    <w:sectPr>
      <w:footerReference w:type="default" r:id="rId6"/>
      <w:pgSz w:w="11906" w:h="16838" w:orient="portrait"/>
      <w:pgMar w:top="1417" w:right="1417" w:bottom="1417" w:left="1417"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lang w:val="it-IT"/>
      </w:rPr>
    </w:rPrDefault>
    <w:pPrDefault>
      <w:pPr>
        <w:spacing w:after="120" w:before="0"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line="360"/>
      <w:outlineLvl w:val="0"/>
    </w:pPr>
    <w:rPr>
      <w:rFonts w:ascii="Palatino Linotype" w:cs="Palatino Linotype" w:eastAsia="Palatino Linotype" w:hAnsi="Palatino Linotype"/>
      <w:b/>
      <w:bCs/>
      <w:smallCaps/>
      <w:color w:val="000000"/>
      <w:sz w:val="22"/>
      <w:szCs w:val="22"/>
      <w:lang w:val="it-IT"/>
    </w:rPr>
  </w:style>
  <w:style w:type="paragraph" w:styleId="Heading2">
    <w:name w:val="Heading 2"/>
    <w:basedOn w:val="Normal"/>
    <w:next w:val="Normal"/>
    <w:qFormat/>
    <w:pPr>
      <w:keepNext/>
      <w:keepLines/>
      <w:spacing w:after="80" w:before="160" w:line="360"/>
      <w:outlineLvl w:val="1"/>
    </w:pPr>
    <w:rPr>
      <w:rFonts w:ascii="Palatino Linotype" w:cs="Palatino Linotype" w:eastAsia="Palatino Linotype" w:hAnsi="Palatino Linotype"/>
      <w:b/>
      <w:bCs/>
      <w:color w:val="000000"/>
      <w:sz w:val="22"/>
      <w:szCs w:val="22"/>
      <w:lang w:val="it-I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Parere strategia difensiva contestazione Campus Service Reviance</dc:title>
  <cp:revision>1</cp:revision>
  <dcterms:created xsi:type="dcterms:W3CDTF">2026-09-29T18:26:43.827Z</dcterms:created>
  <dcterms:modified xsi:type="dcterms:W3CDTF">2026-09-29T18:26:43.827Z</dcterms:modified>
</cp:coreProperties>
</file>

<file path=docProps/custom.xml><?xml version="1.0" encoding="utf-8"?>
<Properties xmlns="http://schemas.openxmlformats.org/officeDocument/2006/custom-properties" xmlns:vt="http://schemas.openxmlformats.org/officeDocument/2006/docPropsVTypes"/>
</file>