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mallCaps/>
        </w:rPr>
        <w:t xml:space="preserve">Parere</w:t>
      </w:r>
    </w:p>
    <w:p>
      <w:pPr>
        <w:spacing w:after="0"/>
        <w:jc w:val="left"/>
      </w:pPr>
      <w:r>
        <w:rPr>
          <w:b/>
          <w:bCs/>
        </w:rPr>
        <w:t xml:space="preserve">Destinatario:</w:t>
      </w:r>
      <w:r>
        <w:t xml:space="preserve"> Reviance S.r.l., Via Antonio Marino 78, 81100 Caserta</w:t>
      </w:r>
    </w:p>
    <w:p>
      <w:pPr>
        <w:spacing w:after="0"/>
        <w:jc w:val="both"/>
      </w:pPr>
      <w:r>
        <w:rPr>
          <w:b/>
          <w:bCs/>
        </w:rPr>
        <w:t xml:space="preserve">Oggetto:</w:t>
      </w:r>
      <w:r>
        <w:t xml:space="preserve"> processo verbale di constatazione del 20 maggio 2026 e schema d’atto notificato il 22 settembre 2026 a Campus Service S.r.l. Fondatezza delle pretese di Campus e condotta raccomandata</w:t>
      </w:r>
    </w:p>
    <w:p>
      <w:pPr>
        <w:pBdr>
          <w:bottom w:val="single" w:color="808080" w:sz="6" w:space="6"/>
        </w:pBdr>
        <w:spacing w:after="240"/>
        <w:jc w:val="left"/>
      </w:pPr>
      <w:r>
        <w:rPr>
          <w:b/>
          <w:bCs/>
        </w:rPr>
        <w:t xml:space="preserve">Data:</w:t>
      </w:r>
      <w:r>
        <w:t xml:space="preserve"> 1 ottobre 2026</w:t>
      </w:r>
    </w:p>
    <w:p>
      <w:pPr>
        <w:pStyle w:val="Heading1"/>
        <w:keepNext/>
        <w:keepLines/>
      </w:pPr>
      <w:r>
        <w:t xml:space="preserve">1. Oggetto del parere</w:t>
      </w:r>
    </w:p>
    <w:p>
      <w:pPr>
        <w:widowControl/>
        <w:jc w:val="both"/>
      </w:pPr>
      <w:r>
        <w:t xml:space="preserve">Il legale di Campus Service S.r.l. (di seguito «Campus») ha trasmesso a Reviance S.r.l. (di seguito «Reviance») il processo verbale di constatazione redatto il 20 maggio 2026 dall’Agenzia delle Entrate, Direzione provinciale di Bari (di seguito «PVC»). Ha trasmesso anche lo schema d’atto n. TVFQ3M103166/2026, notificato a Campus il 22 settembre 2026 ai sensi dell’art. 6-bis della l. 27 luglio 2000, n. 212.</w:t>
      </w:r>
    </w:p>
    <w:p>
      <w:pPr>
        <w:widowControl/>
        <w:jc w:val="both"/>
      </w:pPr>
      <w:r>
        <w:t xml:space="preserve">Il parere risponde a due quesiti: se le pretese formulate da Campus con la lettera del 3 luglio 2026 siano fondate, voce per voce, e quale condotta debba tenere ora Reviance. Esso aggiorna il parere del 29 settembre 2026, reso sulla sola base della sintesi contenuta in quella lettera; i punti che la lettura degli atti ha superato sono indicati al § 3.4.</w:t>
      </w:r>
    </w:p>
    <w:p>
      <w:pPr>
        <w:pStyle w:val="Heading1"/>
        <w:keepNext/>
        <w:keepLines/>
      </w:pPr>
      <w:r>
        <w:t xml:space="preserve">2. Cosa risulta dagli atti</w:t>
      </w:r>
    </w:p>
    <w:p>
      <w:pPr>
        <w:pStyle w:val="Heading2"/>
        <w:keepNext/>
        <w:keepLines/>
      </w:pPr>
      <w:r>
        <w:t xml:space="preserve">2.1 La quantificazione del credito</w:t>
      </w:r>
    </w:p>
    <w:p>
      <w:pPr>
        <w:widowControl/>
        <w:jc w:val="both"/>
      </w:pPr>
      <w:r>
        <w:t xml:space="preserve">Il credito «Formazione 4.0» di 35.763,13 € è stato determinato sul solo costo del personale discente, moltiplicando il costo orario di ciascun dipendente per le ore di formazione, con l’aggiunta della maggiorazione di 5.000,00 € per il costo della certificazione. La fattura di Sabanet S.r.l. (di seguito «Sabanet»), di 20.000,00 €, non entra nella base di calcolo. Le ore sono dunque l’unico fattore che determina l’entità del credito.</w:t>
      </w:r>
    </w:p>
    <w:p>
      <w:pPr>
        <w:keepNext/>
        <w:widowControl/>
        <w:jc w:val="both"/>
      </w:pPr>
      <w:r>
        <w:t xml:space="preserve">Le ore provengono dalla tabella della «</w:t>
      </w:r>
      <w:r>
        <w:rPr>
          <w:i/>
          <w:iCs/>
        </w:rPr>
        <w:t xml:space="preserve">Relazione di revisione sul Prospetto delle spese sostenute per attività di formazione del personale dipendente</w:t>
      </w:r>
      <w:r>
        <w:t xml:space="preserve">», redatta da Reviance il 6 marzo 2023 e acquisita come allegato 7 al PVC. La tabella attribuisce 272 ore a ciascuno dei quindici dipendenti, per 4.080 ore complessive, e il PVC la indica come fonte delle ore «</w:t>
      </w:r>
      <w:r>
        <w:rPr>
          <w:i/>
          <w:iCs/>
        </w:rPr>
        <w:t xml:space="preserve">utilizzate per quantificazione credito</w:t>
      </w:r>
      <w:r>
        <w:t xml:space="preserve">» (foglio 42).</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2"/>
        <w:gridCol w:w="2100"/>
        <w:gridCol w:w="1600"/>
        <w:gridCol w:w="2200"/>
      </w:tblGrid>
      <w:tr>
        <w:trPr>
          <w:cantSplit/>
          <w:tblHeader/>
        </w:trPr>
        <w:tc>
          <w:tcPr>
            <w:tcW w:type="dxa" w:w="3172"/>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Componente</w:t>
            </w:r>
          </w:p>
        </w:tc>
        <w:tc>
          <w:tcPr>
            <w:tcW w:type="dxa" w:w="21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Spesa</w:t>
            </w:r>
          </w:p>
        </w:tc>
        <w:tc>
          <w:tcPr>
            <w:tcW w:type="dxa" w:w="16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Aliquota</w:t>
            </w:r>
          </w:p>
        </w:tc>
        <w:tc>
          <w:tcPr>
            <w:tcW w:type="dxa" w:w="22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Credito</w:t>
            </w:r>
          </w:p>
        </w:tc>
      </w:tr>
      <w:tr>
        <w:trPr>
          <w:cantSplit/>
          <w:tblHeader w:val="off"/>
        </w:trPr>
        <w:tc>
          <w:tcPr>
            <w:tcW w:type="dxa" w:w="31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Personale (13 dipendenti)</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right"/>
            </w:pPr>
            <w:r>
              <w:rPr>
                <w:sz w:val="20"/>
                <w:szCs w:val="20"/>
              </w:rPr>
              <w:t xml:space="preserve">51.725,47 €</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50 per cento</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right"/>
            </w:pPr>
            <w:r>
              <w:rPr>
                <w:sz w:val="20"/>
                <w:szCs w:val="20"/>
              </w:rPr>
              <w:t xml:space="preserve">25.862,74 €</w:t>
            </w:r>
          </w:p>
        </w:tc>
      </w:tr>
      <w:tr>
        <w:trPr>
          <w:cantSplit/>
          <w:tblHeader w:val="off"/>
        </w:trPr>
        <w:tc>
          <w:tcPr>
            <w:tcW w:type="dxa" w:w="31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Personale (2 dipendenti)</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right"/>
            </w:pPr>
            <w:r>
              <w:rPr>
                <w:sz w:val="20"/>
                <w:szCs w:val="20"/>
              </w:rPr>
              <w:t xml:space="preserve">8.167,32 €</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60 per cento</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right"/>
            </w:pPr>
            <w:r>
              <w:rPr>
                <w:sz w:val="20"/>
                <w:szCs w:val="20"/>
              </w:rPr>
              <w:t xml:space="preserve">4.900,39 €</w:t>
            </w:r>
          </w:p>
        </w:tc>
      </w:tr>
      <w:tr>
        <w:trPr>
          <w:cantSplit/>
          <w:tblHeader w:val="off"/>
        </w:trPr>
        <w:tc>
          <w:tcPr>
            <w:tcW w:type="dxa" w:w="31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Maggiorazione per la certificazione</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right"/>
            </w:pP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right"/>
            </w:pPr>
            <w:r>
              <w:rPr>
                <w:sz w:val="20"/>
                <w:szCs w:val="20"/>
              </w:rPr>
              <w:t xml:space="preserve">5.000,00 €</w:t>
            </w:r>
          </w:p>
        </w:tc>
      </w:tr>
      <w:tr>
        <w:trPr>
          <w:cantSplit/>
          <w:tblHeader w:val="off"/>
        </w:trPr>
        <w:tc>
          <w:tcPr>
            <w:tcW w:type="dxa" w:w="31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left"/>
            </w:pPr>
            <w:r>
              <w:rPr>
                <w:sz w:val="20"/>
                <w:szCs w:val="20"/>
              </w:rPr>
              <w:t xml:space="preserve">Credito dichiarato e compensato</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right"/>
            </w:pP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center"/>
            </w:pP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right"/>
            </w:pPr>
            <w:r>
              <w:rPr>
                <w:sz w:val="20"/>
                <w:szCs w:val="20"/>
              </w:rPr>
              <w:t xml:space="preserve">35.763,13 €</w:t>
            </w:r>
          </w:p>
        </w:tc>
      </w:tr>
    </w:tbl>
    <w:p>
      <w:pPr>
        <w:keepNext/>
        <w:widowControl/>
        <w:spacing w:before="160"/>
        <w:jc w:val="both"/>
      </w:pPr>
      <w:r>
        <w:t xml:space="preserve">Il PVC pone a confronto tre misure delle ore: le 4.080 della relazione (colonna A), le 1.948 desumibili dai fogli firma (colonna B) e le 1.020 che i verificatori ritengono pertinenti alle mansioni in base al piano formativo (colonna C). Con gli stessi costi orari e le stesse aliquote il credito sarebbe risultato quello indicato nella tabella seguente.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2"/>
        <w:gridCol w:w="1800"/>
        <w:gridCol w:w="2000"/>
        <w:gridCol w:w="2100"/>
      </w:tblGrid>
      <w:tr>
        <w:trPr>
          <w:cantSplit/>
          <w:tblHeader/>
        </w:trPr>
        <w:tc>
          <w:tcPr>
            <w:tcW w:type="dxa" w:w="3172"/>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Base oraria</w:t>
            </w:r>
          </w:p>
        </w:tc>
        <w:tc>
          <w:tcPr>
            <w:tcW w:type="dxa" w:w="18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Ore</w:t>
            </w:r>
          </w:p>
        </w:tc>
        <w:tc>
          <w:tcPr>
            <w:tcW w:type="dxa" w:w="20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Credito</w:t>
            </w:r>
          </w:p>
        </w:tc>
        <w:tc>
          <w:tcPr>
            <w:tcW w:type="dxa" w:w="21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Differenza</w:t>
            </w:r>
          </w:p>
        </w:tc>
      </w:tr>
      <w:tr>
        <w:trPr>
          <w:cantSplit/>
          <w:tblHeader w:val="off"/>
        </w:trPr>
        <w:tc>
          <w:tcPr>
            <w:tcW w:type="dxa" w:w="31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A, relazione di revisione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4.080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right"/>
            </w:pPr>
            <w:r>
              <w:rPr>
                <w:sz w:val="20"/>
                <w:szCs w:val="20"/>
              </w:rPr>
              <w:t xml:space="preserve">35.763,13 €</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right"/>
            </w:pPr>
            <w:r>
              <w:rPr>
                <w:sz w:val="20"/>
                <w:szCs w:val="20"/>
              </w:rPr>
              <w:t xml:space="preserve">–</w:t>
            </w:r>
          </w:p>
        </w:tc>
      </w:tr>
      <w:tr>
        <w:trPr>
          <w:cantSplit/>
          <w:tblHeader w:val="off"/>
        </w:trPr>
        <w:tc>
          <w:tcPr>
            <w:tcW w:type="dxa" w:w="31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B, fogli firma</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1.948</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right"/>
            </w:pPr>
            <w:r>
              <w:rPr>
                <w:sz w:val="20"/>
                <w:szCs w:val="20"/>
              </w:rPr>
              <w:t xml:space="preserve">20.476,82 €</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right"/>
            </w:pPr>
            <w:r>
              <w:rPr>
                <w:sz w:val="20"/>
                <w:szCs w:val="20"/>
              </w:rPr>
              <w:t xml:space="preserve">15.286,31 €</w:t>
            </w:r>
          </w:p>
        </w:tc>
      </w:tr>
      <w:tr>
        <w:trPr>
          <w:cantSplit/>
          <w:tblHeader w:val="off"/>
        </w:trPr>
        <w:tc>
          <w:tcPr>
            <w:tcW w:type="dxa" w:w="31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left"/>
            </w:pPr>
            <w:r>
              <w:rPr>
                <w:sz w:val="20"/>
                <w:szCs w:val="20"/>
              </w:rPr>
              <w:t xml:space="preserve">C, ore pertinenti secondo il PVC</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center"/>
            </w:pPr>
            <w:r>
              <w:rPr>
                <w:sz w:val="20"/>
                <w:szCs w:val="20"/>
              </w:rPr>
              <w:t xml:space="preserve">1.020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right"/>
            </w:pPr>
            <w:r>
              <w:rPr>
                <w:sz w:val="20"/>
                <w:szCs w:val="20"/>
              </w:rPr>
              <w:t xml:space="preserve">13.199,10 €</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right"/>
            </w:pPr>
            <w:r>
              <w:rPr>
                <w:sz w:val="20"/>
                <w:szCs w:val="20"/>
              </w:rPr>
              <w:t xml:space="preserve">22.564,03 €</w:t>
            </w:r>
          </w:p>
        </w:tc>
      </w:tr>
    </w:tbl>
    <w:p>
      <w:pPr>
        <w:pStyle w:val="Heading2"/>
        <w:keepNext/>
        <w:keepLines/>
      </w:pPr>
      <w:r>
        <w:t xml:space="preserve">2.2 Le ragioni dell’inesistenza del credito</w:t>
      </w:r>
    </w:p>
    <w:p>
      <w:pPr>
        <w:widowControl/>
        <w:spacing w:before="0"/>
        <w:jc w:val="both"/>
      </w:pPr>
      <w:r>
        <w:t xml:space="preserve">L’Ufficio ha qualificato il credito come inesistente ai sensi dell’art. 13, comma 5, del d.lgs. 18 dicembre 1997, n. 471. Il PVC riassume il quadro indiziario in quattro conclusioni (foglio 45): l’inattendibilità del registro didattico e delle presenze; l’assenza di correlazione tra oggetto del corso e mansioni; l’incongruenza tra le ore dichiarate per il calcolo, i fogli firma e le dichiarazioni del personale; la mancata indicazione delle ore di formazione sul Libro Unico del Lavoro. A queste si aggiunge l’omessa allegazione della certificazione al bilancio 2022 (§ 4.2.3.3).</w:t>
      </w:r>
    </w:p>
    <w:p>
      <w:pPr>
        <w:widowControl/>
        <w:jc w:val="both"/>
      </w:pPr>
      <w:r>
        <w:t xml:space="preserve">Il registro è stato predisposto da Sabanet e sottoscritto da docente e discenti. Il foglio del 3 febbraio 2022 reca i nominativi prestampati dei tre dipendenti assunti in seguito, barrati e accompagnati dall’annotazione a mano della data di assunzione (11 aprile e 11 luglio 2022): il PVC ne deduce una redazione successiva di almeno cinque mesi (foglio 39). Lo stesso foglio indica più dipendenti in turno di riposo o notturno. I dipendenti sentiti all’accesso hanno riferito sessioni di circa quattro ore, contro le otto annotate; uno di loro, che figura tra i firmatari del 3 febbraio, ha dichiarato di aver iniziato a settembre (fogli 43 e 44).</w:t>
      </w:r>
    </w:p>
    <w:p>
      <w:pPr>
        <w:widowControl/>
        <w:jc w:val="both"/>
      </w:pPr>
      <w:r>
        <w:t xml:space="preserve">Per l’utilizzo del credito il PVC prevede la sanzione dal 100 al 200 per cento dell’importo compensato (foglio 46). Il recupero del credito e l’irrogazione della sanzione avverranno con un atto distinto, ai sensi dell’art. 38-bis del d.P.R. 29 settembre 1973, n. 600, che non risulta ancora notificato. Nel testo applicabile alla compensazione del 2023, l’art. 13, comma 5, d.lgs. n. 471/1997 esclude per questa sanzione la definizione agevolata.</w:t>
      </w:r>
    </w:p>
    <w:p>
      <w:pPr>
        <w:pStyle w:val="Heading2"/>
        <w:keepNext/>
        <w:keepLines/>
      </w:pPr>
      <w:r>
        <w:t xml:space="preserve">2.3 Il ruolo di Reviance negli atti</w:t>
      </w:r>
    </w:p>
    <w:p>
      <w:pPr>
        <w:widowControl/>
        <w:jc w:val="both"/>
      </w:pPr>
      <w:r>
        <w:t xml:space="preserve">Il PVC acquisisce l’incarico di certificazione sottoscritto il 16 dicembre 2022 (allegato 3) e la relazione del 6 marzo 2023 (allegato 7), anteriore all’unica compensazione, eseguita con F24 del 17 aprile 2023 (foglio 36). Indica la relazione tra le fonti dalle quali ha tratto «</w:t>
      </w:r>
      <w:r>
        <w:rPr>
          <w:i/>
          <w:iCs/>
        </w:rPr>
        <w:t xml:space="preserve">incoerenze e gravi anomalie</w:t>
      </w:r>
      <w:r>
        <w:t xml:space="preserve">» (foglio 37) e ne riproduce la tabella. Osserva che essa attribuisce a ogni dipendente tutti i corsi del piano, senza la distinzione per mansioni prevista dal piano formativo. Qualifica infine la circostanza come «</w:t>
      </w:r>
      <w:r>
        <w:rPr>
          <w:i/>
          <w:iCs/>
        </w:rPr>
        <w:t xml:space="preserve">una preparazione quantomeno disattenta della documentazione su esposta, indice di un approccio teso alla mera formalità</w:t>
      </w:r>
      <w:r>
        <w:t xml:space="preserve">» (foglio 42).</w:t>
      </w:r>
    </w:p>
    <w:p>
      <w:pPr>
        <w:widowControl/>
        <w:jc w:val="both"/>
      </w:pPr>
      <w:r>
        <w:t xml:space="preserve">Il PVC non contesta a Reviance alcuna violazione, non ipotizza falsità e individua come autrice delle violazioni la sola amministratrice di Campus (foglio 50). Lo schema d’atto menziona invece tra le anomalie una «</w:t>
      </w:r>
      <w:r>
        <w:rPr>
          <w:i/>
          <w:iCs/>
        </w:rPr>
        <w:t xml:space="preserve">omessa certificazione dei costi</w:t>
      </w:r>
      <w:r>
        <w:t xml:space="preserve">» (p. 4), che il PVC smentisce: questo dà atto della relazione e contesta soltanto la mancata allegazione al bilancio, adempimento proprio dell’impresa. Lo schema ritiene inoltre indeducibile il costo della certificazione e afferma che le spese di Sabanet e di Reviance non appaiono riferibili a servizi dei quali sia stata comprovata «</w:t>
      </w:r>
      <w:r>
        <w:rPr>
          <w:i/>
          <w:iCs/>
        </w:rPr>
        <w:t xml:space="preserve">la reale effettuazione</w:t>
      </w:r>
      <w:r>
        <w:t xml:space="preserve">» (p. 4).</w:t>
      </w:r>
    </w:p>
    <w:p>
      <w:pPr>
        <w:pStyle w:val="Heading2"/>
        <w:keepNext/>
        <w:keepLines/>
      </w:pPr>
      <w:r>
        <w:t xml:space="preserve">2.4 Lo schema d’atto e le scadenze</w:t>
      </w:r>
    </w:p>
    <w:p>
      <w:pPr>
        <w:widowControl/>
        <w:jc w:val="both"/>
      </w:pPr>
      <w:r>
        <w:t xml:space="preserve">Lo schema riguarda IRES, IRAP e IVA del 2022. Riprende a tassazione 25.000,00 € di costi (20.000,00 € di Sabanet e 5.000,00 € di Reviance), con maggiori imposte per 6.000,00 € di IRES e 1.205,00 € di IRAP, e disconosce la detrazione di 4.400,00 € di IVA sulla fattura Sabanet. Irroga in cumulo giuridico una sanzione unica di 8.100,00 €. Per il 2023 il PVC segnala l’indetraibilità dell’IVA di 1.100,00 € sulla fattura di Reviance (foglio 51).</w:t>
      </w:r>
    </w:p>
    <w:p>
      <w:pPr>
        <w:widowControl/>
        <w:jc w:val="both"/>
      </w:pPr>
      <w:r>
        <w:t xml:space="preserve">Campus può presentare istanza di accertamento con adesione entro il 22 ottobre 2026, in alternativa alle osservazioni, da depositare entro il 21 novembre 2026, che cade di sabato. Queste scadenze riguardano soltanto IRES, IRAP e IVA. Il credito, che è la voce di maggior peso, sarà oggetto dell’atto di recupero.</w:t>
      </w:r>
    </w:p>
    <w:p>
      <w:pPr>
        <w:pStyle w:val="Heading1"/>
        <w:keepNext/>
        <w:keepLines/>
      </w:pPr>
      <w:r>
        <w:t xml:space="preserve">3. Valutazione delle pretese di Campus</w:t>
      </w:r>
    </w:p>
    <w:p>
      <w:pPr>
        <w:pStyle w:val="Heading2"/>
        <w:keepNext/>
        <w:keepLines/>
      </w:pPr>
      <w:r>
        <w:t xml:space="preserve">3.1 Il nucleo fondato: la quantificazione delle ore</w:t>
      </w:r>
    </w:p>
    <w:p>
      <w:pPr>
        <w:widowControl/>
        <w:jc w:val="both"/>
      </w:pPr>
      <w:r>
        <w:t xml:space="preserve">Le ore di formazione non sono un dato tecnico estraneo alla certificazione. L’art. 6 del decreto interministeriale 4 maggio 2018 richiede di attestare «</w:t>
      </w:r>
      <w:r>
        <w:rPr>
          <w:i/>
          <w:iCs/>
        </w:rPr>
        <w:t xml:space="preserve">l’effettivo sostenimento delle spese ammissibili</w:t>
      </w:r>
      <w:r>
        <w:t xml:space="preserve">», e per il personale la spesa ammissibile è il costo aziendale riferito alle ore di formazione svolte. Le ore sono quindi un elemento costitutivo della spesa certificata, che un certificatore incaricato a corso concluso doveva riscontrare sui registri nominativi e sul Libro Unico del Lavoro.</w:t>
      </w:r>
    </w:p>
    <w:p>
      <w:pPr>
        <w:widowControl/>
        <w:jc w:val="both"/>
      </w:pPr>
      <w:r>
        <w:t xml:space="preserve">La tabella di Reviance presenta anomalie riconoscibili anche senza altri documenti. Attribuisce la stessa durata a quindici dipendenti con mansioni diverse. Attribuisce 272 ore anche ai tre assunti in corso d’anno, il cui monte ore annuo, riportato nella stessa tabella, è di 920, 975 e 1.435,25 ore: la formazione avrebbe assorbito il 29,6, il 27,9 e il 19,0 per cento del loro tempo di lavoro. Intitola infine la colonna «</w:t>
      </w:r>
      <w:r>
        <w:rPr>
          <w:i/>
          <w:iCs/>
        </w:rPr>
        <w:t xml:space="preserve">Ore di formazione corso</w:t>
      </w:r>
      <w:r>
        <w:t xml:space="preserve">», indizio che si sia assunta la durata del corso in luogo delle ore svolte. Se Reviance disponeva dei fogli firma, il contrasto era netto: nessun dipendente vi supera le 200 ore e i tre neoassunti ne hanno 88, 72 e 116.</w:t>
      </w:r>
    </w:p>
    <w:p>
      <w:pPr>
        <w:widowControl/>
        <w:jc w:val="both"/>
      </w:pPr>
      <w:r>
        <w:t xml:space="preserve">Nella responsabilità contrattuale spetta al debitore provare l’esatto adempimento (Cass. civ., sez. un., 30 ottobre 2001, n. 13533). Allo stato, l’addebito di inesatto adempimento sulla quantificazione delle ore è quindi verosimilmente fondato nel suo nucleo. Non sono invece provate le qualificazioni di una certificazione resa «</w:t>
      </w:r>
      <w:r>
        <w:rPr>
          <w:i/>
          <w:iCs/>
        </w:rPr>
        <w:t xml:space="preserve">fideisticamente</w:t>
      </w:r>
      <w:r>
        <w:t xml:space="preserve">» e senza «</w:t>
      </w:r>
      <w:r>
        <w:rPr>
          <w:i/>
          <w:iCs/>
        </w:rPr>
        <w:t xml:space="preserve">alcuna disamina</w:t>
      </w:r>
      <w:r>
        <w:t xml:space="preserve">». L’esito dipende dalla lettera d’incarico, dal testo integrale della relazione, dalle carte di lavoro e dall’elenco dei documenti ricevuti da Campus.</w:t>
      </w:r>
    </w:p>
    <w:p>
      <w:pPr>
        <w:pStyle w:val="Heading2"/>
        <w:keepNext/>
        <w:keepLines/>
      </w:pPr>
      <w:r>
        <w:t xml:space="preserve">3.2 Ciò che Campus non può addebitare a Reviance</w:t>
      </w:r>
    </w:p>
    <w:p>
      <w:pPr>
        <w:widowControl/>
        <w:jc w:val="both"/>
      </w:pPr>
      <w:r>
        <w:t xml:space="preserve">Campus estende il perimetro dell’incarico oltre il dovuto su due punti. La coerenza tra contenuti del corso e mansioni è un giudizio di ammissibilità tecnica che spetta all’impresa: il certificatore ne risponde solo nella misura in cui il piano formativo, assegnando i corsi per destinatari, incideva sulle ore da attribuire a ciascuno. L’autenticità del registro, a sua volta, non è garantita dal certificatore, che risponde soltanto dei segnali visibili di inattendibilità.</w:t>
      </w:r>
    </w:p>
    <w:p>
      <w:pPr>
        <w:widowControl/>
        <w:jc w:val="both"/>
      </w:pPr>
      <w:r>
        <w:t xml:space="preserve">Restano estranei a Reviance la formazione del registro, predisposto da Sabanet e firmato dai dipendenti di Campus, la tenuta del Libro Unico del Lavoro, la mancata allegazione della certificazione al bilancio, la scelta del corso e del fornitore, tutte anteriori all’incarico del 16 dicembre 2022 o estranee a esso.</w:t>
      </w:r>
    </w:p>
    <w:p>
      <w:pPr>
        <w:widowControl/>
        <w:jc w:val="both"/>
      </w:pPr>
      <w:r>
        <w:t xml:space="preserve">La premessa della lettera di Campus è inoltre smentita dagli atti. Campus assume che le 1.948 ore dei fogli firma esprimano l’«</w:t>
      </w:r>
      <w:r>
        <w:rPr>
          <w:i/>
          <w:iCs/>
        </w:rPr>
        <w:t xml:space="preserve">effettiva fruizione</w:t>
      </w:r>
      <w:r>
        <w:t xml:space="preserve">» della formazione, ma il PVC giudica inattendibile proprio quel registro, e le dichiarazioni dei dipendenti indicano una durata giornaliera pari a circa la metà di quella annotata. La legale rappresentante di Campus, poi, ha dichiarato infondati i rilievi in sede di verifica (foglio 51), mentre la lettera del 3 luglio li riconduce alle omissioni di Reviance.</w:t>
      </w:r>
    </w:p>
    <w:p>
      <w:pPr>
        <w:pStyle w:val="Heading2"/>
        <w:keepNext/>
        <w:keepLines/>
      </w:pPr>
      <w:r>
        <w:t xml:space="preserve">3.3 Il nesso causale</w:t>
      </w:r>
    </w:p>
    <w:p>
      <w:pPr>
        <w:widowControl/>
        <w:jc w:val="both"/>
      </w:pPr>
      <w:r>
        <w:t xml:space="preserve">La tabella di Reviance è una concausa dichiarata del disconoscimento, perché due delle quattro conclusioni del PVC la richiamano direttamente. Non si può quindi sostenere che il recupero prescinda dalla certificazione. Si può sostenere invece, secondo il criterio del «più probabile che non» il cui onere grava su Campus (Cass. civ., sez. III, 29 marzo 2022, n. 10050), che il credito sarebbe stato disconosciuto anche con una certificazione diversa. Vi conducono elementi estranei a Reviance: il registro compilato dopo i fatti, le dichiarazioni dei dipendenti, il Libro Unico del Lavoro privo di ore.</w:t>
      </w:r>
    </w:p>
    <w:p>
      <w:pPr>
        <w:widowControl/>
        <w:jc w:val="both"/>
      </w:pPr>
      <w:r>
        <w:t xml:space="preserve">Il danno imputabile dipende dal termine di confronto. Se un certificatore diligente avrebbe attestato le ore documentate, il danno si limita alle conseguenze dell’eccedenza, pari a 15.286,31 € di credito sulla base dei fogli firma. Se invece avrebbe dovuto rifiutare la certificazione, Campus non avrebbe potuto utilizzare il credito e imputerà a Reviance l’intera sanzione. Il secondo termine di confronto presuppone che Reviance disponesse, o dovesse chiedere, documenti idonei a rivelare l’inattendibilità dell’intera rendicontazione: è il punto che il fascicolo dell’incarico deve chiarire. In entrambi i casi opera l’art. 1227, comma 1, c.c., perché la documentazione anomala proviene dalla sfera di Campus e del fornitore da essa scelto.</w:t>
      </w:r>
    </w:p>
    <w:p>
      <w:pPr>
        <w:pStyle w:val="Heading2"/>
        <w:keepNext/>
        <w:keepLines/>
      </w:pPr>
      <w:r>
        <w:t xml:space="preserve">3.4 Le correzioni al parere del 29 settembre</w:t>
      </w:r>
    </w:p>
    <w:p>
      <w:pPr>
        <w:widowControl/>
        <w:jc w:val="both"/>
      </w:pPr>
      <w:r>
        <w:t xml:space="preserve">La lettura degli atti supera quattro assunzioni del parere precedente. La fattura Sabanet non entra nella base del credito, che dipende interamente dalle ore. Il PVC critica espressamente la tabella di Reviance, e non può più dirsi che non muova addebiti alla certificazione. La relazione precede l’unico F24, sicché l’argomento cronologico non è spendibile. La sanzione sul credito, infine, non è definibile in via agevolata. Resta fermo che il capitale del credito non costituisce danno risarcibile.</w:t>
      </w:r>
    </w:p>
    <w:p>
      <w:pPr>
        <w:pStyle w:val="Heading2"/>
        <w:keepNext/>
        <w:keepLines/>
      </w:pPr>
      <w:r>
        <w:t xml:space="preserve">3.5 Le singole voci</w:t>
      </w:r>
    </w:p>
    <w:p>
      <w:pPr>
        <w:keepNext/>
        <w:widowControl/>
        <w:jc w:val="both"/>
      </w:pPr>
      <w:r>
        <w:t xml:space="preserve">La tabella seguente indica, per ciascuna voce della lettera del 3 luglio, il giudizio di fondatezza e l’esposizione realistica di Reviance.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872"/>
        <w:gridCol w:w="2200"/>
      </w:tblGrid>
      <w:tr>
        <w:trPr>
          <w:cantSplit/>
          <w:tblHeader/>
        </w:trPr>
        <w:tc>
          <w:tcPr>
            <w:tcW w:type="dxa" w:w="30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Voce</w:t>
            </w:r>
          </w:p>
        </w:tc>
        <w:tc>
          <w:tcPr>
            <w:tcW w:type="dxa" w:w="3872"/>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Giudizio</w:t>
            </w:r>
          </w:p>
        </w:tc>
        <w:tc>
          <w:tcPr>
            <w:tcW w:type="dxa" w:w="22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Esposizione realistica</w:t>
            </w:r>
          </w:p>
        </w:tc>
      </w:tr>
      <w:tr>
        <w:trPr>
          <w:cantSplit/>
          <w:tblHeader w:val="off"/>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Capitale del credito (35.763,13 €)</w:t>
            </w:r>
          </w:p>
        </w:tc>
        <w:tc>
          <w:tcPr>
            <w:tcW w:type="dxa" w:w="3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Infondata: restituzione di un vantaggio non spettante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Nessuna; rischio residuo basso sulla quota eventualmente spettante</w:t>
            </w:r>
          </w:p>
        </w:tc>
      </w:tr>
      <w:tr>
        <w:trPr>
          <w:cantSplit/>
          <w:tblHeader w:val="off"/>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Interessi sul credito</w:t>
            </w:r>
          </w:p>
        </w:tc>
        <w:tc>
          <w:tcPr>
            <w:tcW w:type="dxa" w:w="3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Infondata: Campus ha goduto della somma dal 17 aprile 2023</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Nessuna</w:t>
            </w:r>
          </w:p>
        </w:tc>
      </w:tr>
      <w:tr>
        <w:trPr>
          <w:cantSplit/>
          <w:tblHeader w:val="off"/>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Sanzione sul credito (dal 100 al 200 per cento, minimo 35.763,13 €, non ancora irrogata)</w:t>
            </w:r>
          </w:p>
        </w:tc>
        <w:tc>
          <w:tcPr>
            <w:tcW w:type="dxa" w:w="3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Parzialmente fondata: è l’unica voce a rischio reale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Secondo gli scenari del § 3.6</w:t>
            </w:r>
          </w:p>
        </w:tc>
      </w:tr>
      <w:tr>
        <w:trPr>
          <w:cantSplit/>
          <w:tblHeader w:val="off"/>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IRES, IRAP e IVA sul costo Sabanet (10.164 €) e quota della sanzione unica</w:t>
            </w:r>
          </w:p>
        </w:tc>
        <w:tc>
          <w:tcPr>
            <w:tcW w:type="dxa" w:w="3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Infondata: costo anteriore all’incarico e fuori dalla base del credito</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Nessuna</w:t>
            </w:r>
          </w:p>
        </w:tc>
      </w:tr>
      <w:tr>
        <w:trPr>
          <w:cantSplit/>
          <w:tblHeader w:val="off"/>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IRES e IRAP sul costo Reviance (1.441 €), quota della sanzione unica (1.620 €), IVA 2023 (1.100 €, solo segnalata)</w:t>
            </w:r>
          </w:p>
        </w:tc>
        <w:tc>
          <w:tcPr>
            <w:tcW w:type="dxa" w:w="3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Infondata come danno: la prestazione è documentata e il rilievo va contestato; voce alternativa al compenso</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Nessuna</w:t>
            </w:r>
          </w:p>
        </w:tc>
      </w:tr>
      <w:tr>
        <w:trPr>
          <w:cantSplit/>
          <w:tblHeader w:val="off"/>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Restituzione o riduzione del compenso (5.000 € oltre IVA)</w:t>
            </w:r>
          </w:p>
        </w:tc>
        <w:tc>
          <w:tcPr>
            <w:tcW w:type="dxa" w:w="3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Parzialmente fondata se l’inadempimento è accertato</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2.500-5.000 €</w:t>
            </w:r>
          </w:p>
        </w:tc>
      </w:tr>
      <w:tr>
        <w:trPr>
          <w:cantSplit/>
          <w:tblHeader w:val="off"/>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Spese di difesa tributaria</w:t>
            </w:r>
          </w:p>
        </w:tc>
        <w:tc>
          <w:tcPr>
            <w:tcW w:type="dxa" w:w="3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Parzialmente fondata per la sola quota riferibile alle ore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500-1.500 €</w:t>
            </w:r>
          </w:p>
        </w:tc>
      </w:tr>
      <w:tr>
        <w:trPr>
          <w:cantSplit/>
          <w:tblHeader w:val="off"/>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left"/>
            </w:pPr>
            <w:r>
              <w:rPr>
                <w:sz w:val="20"/>
                <w:szCs w:val="20"/>
              </w:rPr>
              <w:t xml:space="preserve">Ogni ulteriore pregiudizio</w:t>
            </w:r>
          </w:p>
        </w:tc>
        <w:tc>
          <w:tcPr>
            <w:tcW w:type="dxa" w:w="3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left"/>
            </w:pPr>
            <w:r>
              <w:rPr>
                <w:sz w:val="20"/>
                <w:szCs w:val="20"/>
              </w:rPr>
              <w:t xml:space="preserve">Infondata perché generica</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center"/>
            </w:pPr>
            <w:r>
              <w:rPr>
                <w:sz w:val="20"/>
                <w:szCs w:val="20"/>
              </w:rPr>
              <w:t xml:space="preserve">Nessuna</w:t>
            </w:r>
          </w:p>
        </w:tc>
      </w:tr>
    </w:tbl>
    <w:p>
      <w:pPr>
        <w:pStyle w:val="Heading2"/>
        <w:keepNext/>
        <w:keepLines/>
      </w:pPr>
      <w:r>
        <w:t xml:space="preserve">3.6 L’esposizione complessiva per scenari</w:t>
      </w:r>
    </w:p>
    <w:p>
      <w:pPr>
        <w:keepNext/>
        <w:widowControl/>
        <w:spacing w:before="0"/>
        <w:jc w:val="both"/>
      </w:pPr>
      <w:r>
        <w:t xml:space="preserve">La pretesa nominale che si ricava dalla lettera di Campus, che non quantifica il danno, si colloca nell’ordine di 100.000-150.000 € soltanto sommando voci prive di nesso o tra loro alternative. L’esposizione realistica di Reviance dipende dai documenti che essa aveva ricevuto, secondo gli scenari seguenti.</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972"/>
        <w:gridCol w:w="2200"/>
      </w:tblGrid>
      <w:tr>
        <w:trPr>
          <w:cantSplit/>
          <w:tblHeader/>
        </w:trPr>
        <w:tc>
          <w:tcPr>
            <w:tcW w:type="dxa" w:w="19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Scenario</w:t>
            </w:r>
          </w:p>
        </w:tc>
        <w:tc>
          <w:tcPr>
            <w:tcW w:type="dxa" w:w="4972"/>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Presupposto</w:t>
            </w:r>
          </w:p>
        </w:tc>
        <w:tc>
          <w:tcPr>
            <w:tcW w:type="dxa" w:w="22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Esposizione stimata</w:t>
            </w:r>
          </w:p>
        </w:tc>
      </w:tr>
      <w:tr>
        <w:trPr>
          <w:cantSplit/>
          <w:tblHeader w:val="off"/>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Favorevole</w:t>
            </w:r>
          </w:p>
        </w:tc>
        <w:tc>
          <w:tcPr>
            <w:tcW w:type="dxa" w:w="49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Registro non consegnato e ore tratte da documenti di Campus o di Sabanet; oppure esito favorevole a Campus in sede tributaria</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0-5.000 €</w:t>
            </w:r>
          </w:p>
        </w:tc>
      </w:tr>
      <w:tr>
        <w:trPr>
          <w:cantSplit/>
          <w:tblHeader w:val="off"/>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Centrale</w:t>
            </w:r>
          </w:p>
        </w:tc>
        <w:tc>
          <w:tcPr>
            <w:tcW w:type="dxa" w:w="49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Danno limitato all’eccedenza, con forte concorso di Campus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9.000-15.000 €</w:t>
            </w:r>
          </w:p>
        </w:tc>
      </w:tr>
      <w:tr>
        <w:trPr>
          <w:cantSplit/>
          <w:tblHeader w:val="off"/>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Avverso</w:t>
            </w:r>
          </w:p>
        </w:tc>
        <w:tc>
          <w:tcPr>
            <w:tcW w:type="dxa" w:w="49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Registro nel fascicolo di Reviance; termine di confronto del rifiuto di certificare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18.000-30.000 €</w:t>
            </w:r>
          </w:p>
        </w:tc>
      </w:tr>
      <w:tr>
        <w:trPr>
          <w:cantSplit/>
          <w:tblHeader w:val="off"/>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left"/>
            </w:pPr>
            <w:r>
              <w:rPr>
                <w:sz w:val="20"/>
                <w:szCs w:val="20"/>
              </w:rPr>
              <w:t xml:space="preserve">Residuo</w:t>
            </w:r>
          </w:p>
        </w:tc>
        <w:tc>
          <w:tcPr>
            <w:tcW w:type="dxa" w:w="49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left"/>
            </w:pPr>
            <w:r>
              <w:rPr>
                <w:sz w:val="20"/>
                <w:szCs w:val="20"/>
              </w:rPr>
              <w:t xml:space="preserve">Sanzione piena senza riduzioni, compenso, spese e perdita della quota spettante (probabilità inferiore al 10 per cento)</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center"/>
            </w:pPr>
            <w:r>
              <w:rPr>
                <w:sz w:val="20"/>
                <w:szCs w:val="20"/>
              </w:rPr>
              <w:t xml:space="preserve">45.000-65.000 €</w:t>
            </w:r>
          </w:p>
        </w:tc>
      </w:tr>
    </w:tbl>
    <w:p>
      <w:pPr>
        <w:widowControl/>
        <w:spacing w:before="160"/>
        <w:jc w:val="both"/>
      </w:pPr>
      <w:r>
        <w:t xml:space="preserve">Le stime sono inferite, al lordo della franchigia e al netto delle spese legali di Reviance, e vanno riviste dopo la ricostruzione del fascicolo e la notifica dell’atto di recupero.</w:t>
      </w:r>
    </w:p>
    <w:p>
      <w:pPr>
        <w:pStyle w:val="Heading1"/>
        <w:keepNext/>
        <w:keepLines/>
      </w:pPr>
      <w:r>
        <w:t xml:space="preserve">4. Rischi propri di Reviance</w:t>
      </w:r>
    </w:p>
    <w:p>
      <w:pPr>
        <w:widowControl/>
        <w:jc w:val="both"/>
      </w:pPr>
      <w:r>
        <w:t xml:space="preserve">L’art. 1, comma 54, l. n. 205/2017 rende applicabile al revisore che incorre in colpa grave nel rilascio della certificazione l’art. 64 c.p.c., che punisce il consulente con l’arresto fino a un anno o con l’ammenda fino a 10.329 € e fa salvo in ogni caso il risarcimento del danno. Il profilo riguarda la persona fisica responsabile della relazione e rende centrale, anche sul piano civile e assicurativo, la qualificazione della colpa. Va esaminato con un penalista, anche quanto a prescrizione e cause di estinzione.</w:t>
      </w:r>
    </w:p>
    <w:p>
      <w:pPr>
        <w:widowControl/>
        <w:jc w:val="both"/>
      </w:pPr>
      <w:r>
        <w:t xml:space="preserve">Il PVC non contesta a Reviance alcun concorso. L’atto di recupero potrebbe tuttavia estendere la sanzione al firmatario come concorrente nella violazione (art. 9 del d.lgs. 18 dicembre 1997, n. 472). L’ipotesi è possibile ma non probabile, e la difesa poggerebbe sull’elemento soggettivo. Campus, per alleggerire la propria posizione, ha interesse a rappresentare all’Ufficio l’affidamento riposto nella certificazione.</w:t>
      </w:r>
    </w:p>
    <w:p>
      <w:pPr>
        <w:widowControl/>
        <w:jc w:val="both"/>
      </w:pPr>
      <w:r>
        <w:t xml:space="preserve">Lo schema mette in dubbio la «</w:t>
      </w:r>
      <w:r>
        <w:rPr>
          <w:i/>
          <w:iCs/>
        </w:rPr>
        <w:t xml:space="preserve">reale effettuazione</w:t>
      </w:r>
      <w:r>
        <w:t xml:space="preserve">» della prestazione di Reviance. Il rischio penale connesso all’emissione di fatture per operazioni inesistenti (art. 8 del d.lgs. 10 marzo 2000, n. 74) è remoto, perché la prestazione è documentata dagli allegati 3, 7 e 8 al PVC; va comunque presidiato conservando la prova dell’esecuzione dell’incarico. Ipotesi più gravi di frode nelle agevolazioni pubbliche richiederebbero il dolo e dipendono da ciò che Reviance conosceva: anch’esse vanno valutate con il penalista.</w:t>
      </w:r>
    </w:p>
    <w:p>
      <w:pPr>
        <w:widowControl/>
        <w:jc w:val="both"/>
      </w:pPr>
      <w:r>
        <w:t xml:space="preserve">Occorre infine censire gli altri incarichi di certificazione «Formazione 4.0» svolti con lo stesso metodo o per corsi Sabanet, valutando per ciascuno una comunicazione di circostanze all’assicuratore prima del rinnovo della polizza.</w:t>
      </w:r>
    </w:p>
    <w:p>
      <w:pPr>
        <w:pStyle w:val="Heading1"/>
        <w:keepNext/>
        <w:keepLines/>
      </w:pPr>
      <w:r>
        <w:t xml:space="preserve">5. La condotta raccomandata</w:t>
      </w:r>
    </w:p>
    <w:p>
      <w:pPr>
        <w:pStyle w:val="Heading2"/>
        <w:keepNext/>
        <w:keepLines/>
      </w:pPr>
      <w:r>
        <w:t xml:space="preserve">5.1 L’assicurazione</w:t>
      </w:r>
    </w:p>
    <w:p>
      <w:pPr>
        <w:widowControl/>
        <w:jc w:val="both"/>
      </w:pPr>
      <w:r>
        <w:t xml:space="preserve">Il criterio indicato da Reviance, denunciare quando sia nota la possibilità di un evento dannoso, è ora soddisfatto: gli atti descrivono rilievi che coinvolgono la certificazione e un’esposizione quantificabile. La denuncia va fatta oggi o domani, anche in forma sintetica da integrare, a tutti gli assicuratori potenzialmente interessati. Sono la polizza in corso al 3 luglio 2026, quella dell’epoca dei fatti e, se esistente, quella personale del firmatario, indicando a ciascuno l’esistenza delle altre.</w:t>
      </w:r>
    </w:p>
    <w:p>
      <w:pPr>
        <w:widowControl/>
        <w:jc w:val="both"/>
      </w:pPr>
      <w:r>
        <w:t xml:space="preserve">La denuncia deve esporre solo fatti documentabili: la data di arrivo della PEC (3 luglio 2026), gli atti ricevuti, lo stato dei procedimenti, la contestazione della responsabilità. Non deve contenere ammissioni né giustificazioni del ritardo prive di riscontro; il «problema tecnico» richiamato nella richiesta del verbale va ripetuto solo se risulta dai registri del gestore PEC. Il ritardo già maturato espone a una riduzione dell’indennizzo commisurata al pregiudizio dell’assicuratore (art. 1915, comma 2, c.c.), oggi modesto. Un ulteriore rinvio rischierebbe invece di far apparire consapevole l’omissione, con la perdita della garanzia (art. 1915, comma 1, c.c.). Vanno infine verificati gli eventuali questionari di rinnovo compilati dopo il 3 luglio, da rettificare se reticenti (artt. 1892 e 1893 c.c.).</w:t>
      </w:r>
    </w:p>
    <w:p>
      <w:pPr>
        <w:pStyle w:val="Heading2"/>
        <w:keepNext/>
        <w:keepLines/>
      </w:pPr>
      <w:r>
        <w:t xml:space="preserve">5.2 La ricostruzione del fascicolo</w:t>
      </w:r>
    </w:p>
    <w:p>
      <w:pPr>
        <w:widowControl/>
        <w:jc w:val="both"/>
      </w:pPr>
      <w:r>
        <w:t xml:space="preserve">Prima di qualsiasi presa di posizione nel merito, Reviance deve conservare integralmente il fascicolo Campus (posta elettronica certificata e ordinaria, versioni della relazione, carte di lavoro), senza integrare o retrodatare alcun documento, ed evitare contatti diretti con Campus, Sabanet e i loro consulenti.</w:t>
      </w:r>
    </w:p>
    <w:p>
      <w:pPr>
        <w:widowControl/>
        <w:jc w:val="both"/>
      </w:pPr>
      <w:r>
        <w:t xml:space="preserve">Entro il 9 ottobre vanno raccolti, con l’assistenza del legale: la lettera d’incarico; il testo integrale della relazione; il prospetto delle spese, con l’indicazione di chi lo ha predisposto e firmato; l’eventuale lettera di attestazione del legale rappresentante; le carte di lavoro; l’elenco datato dei documenti ricevuti, con particolare riguardo ai fogli firma e al Libro Unico del Lavoro; la fonte del dato delle 272 ore; la documentazione dell’aliquota del 60 per cento applicata a due dipendenti; la fattura e la prova dell’incasso. Segue un colloquio riservato con il professionista che ha firmato la relazione, all’esito del quale si individua lo scenario applicabile.</w:t>
      </w:r>
    </w:p>
    <w:p>
      <w:pPr>
        <w:pStyle w:val="Heading2"/>
        <w:keepNext/>
        <w:keepLines/>
      </w:pPr>
      <w:r>
        <w:t xml:space="preserve">5.3 La risposta a Campus</w:t>
      </w:r>
    </w:p>
    <w:p>
      <w:pPr>
        <w:widowControl/>
        <w:jc w:val="both"/>
      </w:pPr>
      <w:r>
        <w:t xml:space="preserve">Sempre entro il 9 ottobre è opportuna una lettera interlocutoria del legale a Studio Bia, scritta nella consapevolezza che potrà essere prodotta all’Ufficio. Essa dovrebbe contestare responsabilità, nesso e danno con riserva di replica e rilevare che il danno non è attuale. Dovrebbe inoltre segnalare che la certificazione esiste ed è stata consegnata, sicché l’«omessa certificazione» indicata nello schema è errata, e ricordare che l’onere di provare i presupposti del credito grava su Campus. Andrebbero chiesti gli allegati 1, 2, 4, 5, 6, 11 e 12 al PVC, lo stato dell’atto di recupero e le scelte difensive di Campus, comunicando l’avvenuta denuncia all’assicuratore.</w:t>
      </w:r>
    </w:p>
    <w:p>
      <w:pPr>
        <w:widowControl/>
        <w:jc w:val="both"/>
      </w:pPr>
      <w:r>
        <w:t xml:space="preserve">La lettera non deve affermare che le 272 ore provengano da Campus o da Sabanet finché il fascicolo non lo documenti. Non deve sostenere che il registro sia falso o che la formazione non si sia svolta, né richiamare i neoassunti, il monte ore o la cronologia rispetto all’F24.</w:t>
      </w:r>
    </w:p>
    <w:p>
      <w:pPr>
        <w:pStyle w:val="Heading2"/>
        <w:keepNext/>
        <w:keepLines/>
      </w:pPr>
      <w:r>
        <w:t xml:space="preserve">5.4 La collaborazione con la difesa tributaria di Campus</w:t>
      </w:r>
    </w:p>
    <w:p>
      <w:pPr>
        <w:widowControl/>
        <w:jc w:val="both"/>
      </w:pPr>
      <w:r>
        <w:t xml:space="preserve">Reviance ha interesse a che cada il rilievo sulla propria fattura e sia corretto l’errore sull’«omessa certificazione». Entro il 6 novembre, con il consenso dell’assicuratore, può fornire a Campus copia della relazione con la prova della trasmissione, la fattura con la prova dell’incasso e una dichiarazione limitata all’oggetto, alle date e alla consegna della certificazione.</w:t>
      </w:r>
    </w:p>
    <w:p>
      <w:pPr>
        <w:widowControl/>
        <w:jc w:val="both"/>
      </w:pPr>
      <w:r>
        <w:t xml:space="preserve">Non deve fornire carte di lavoro, ricalcoli o descrizioni delle procedure, né sostenere per iscritto la tesi della spettanza parziale del credito: questa ridurrebbe la base del danno, ma concentrerebbe su Reviance l’eccedenza. La scelta tra adesione e osservazioni spetta a Campus, e Reviance non deve sollecitarla né sconsigliarla per iscritto. Copia delle osservazioni va chiesta prima del deposito, per verificare che non attribuiscano a Reviance condotte utili a una contestazione di concorso.</w:t>
      </w:r>
    </w:p>
    <w:p>
      <w:pPr>
        <w:pStyle w:val="Heading2"/>
        <w:keepNext/>
        <w:keepLines/>
      </w:pPr>
      <w:r>
        <w:t xml:space="preserve">5.5 La transazione</w:t>
      </w:r>
    </w:p>
    <w:p>
      <w:pPr>
        <w:widowControl/>
        <w:jc w:val="both"/>
      </w:pPr>
      <w:r>
        <w:t xml:space="preserve">Una definizione transattiva diventa valutabile solo dopo la ricostruzione del fascicolo e la notifica dell’atto di recupero, che fissa la base della voce principale. Nello scenario centrale la forbice ragionevole va dalla rinuncia al compenso o dalla sua restituzione (5.000 €) a circa 10.000-12.000 €; va rivista se il fascicolo rivelasse lo scenario avverso. Ogni offerta richiede il consenso scritto dell’assicuratore e una quietanza a saldo che comprenda atto di recupero, IVA 2023 e spese. Fino ad allora vanno evitate note di credito e restituzioni del compenso, che avvalorerebbero il dubbio sulla reale effettuazione della prestazione.</w:t>
      </w:r>
    </w:p>
    <w:p>
      <w:pPr>
        <w:pStyle w:val="Heading2"/>
        <w:keepNext/>
        <w:keepLines/>
      </w:pPr>
      <w:r>
        <w:t xml:space="preserve">5.6 Calendario</w:t>
      </w:r>
    </w:p>
    <w:p>
      <w:pPr>
        <w:keepNext/>
        <w:widowControl/>
        <w:jc w:val="both"/>
      </w:pPr>
      <w:r>
        <w:t xml:space="preserve">Le scadenze operative sono riepilogate nella tabella seguente.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72"/>
      </w:tblGrid>
      <w:tr>
        <w:trPr>
          <w:cantSplit/>
          <w:tblHeader/>
        </w:trPr>
        <w:tc>
          <w:tcPr>
            <w:tcW w:type="dxa" w:w="24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Data</w:t>
            </w:r>
          </w:p>
        </w:tc>
        <w:tc>
          <w:tcPr>
            <w:tcW w:type="dxa" w:w="6672"/>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Azione</w:t>
            </w:r>
          </w:p>
        </w:tc>
      </w:tr>
      <w:tr>
        <w:trPr>
          <w:cantSplit/>
          <w:tblHeader w:val="off"/>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1-2 ottobre 2026</w:t>
            </w:r>
          </w:p>
        </w:tc>
        <w:tc>
          <w:tcPr>
            <w:tcW w:type="dxa" w:w="66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Denuncia agli assicuratori; conservazione del fascicolo; acquisizione dei registri PEC</w:t>
            </w:r>
          </w:p>
        </w:tc>
      </w:tr>
      <w:tr>
        <w:trPr>
          <w:cantSplit/>
          <w:tblHeader w:val="off"/>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Entro il 9 ottobre</w:t>
            </w:r>
          </w:p>
        </w:tc>
        <w:tc>
          <w:tcPr>
            <w:tcW w:type="dxa" w:w="66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Ricostruzione del fascicolo dell’incarico; colloquio con il firmatario; lettera interlocutoria a Studio Bia</w:t>
            </w:r>
          </w:p>
        </w:tc>
      </w:tr>
      <w:tr>
        <w:trPr>
          <w:cantSplit/>
          <w:tblHeader w:val="off"/>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Entro il 16 ottobre</w:t>
            </w:r>
          </w:p>
        </w:tc>
        <w:tc>
          <w:tcPr>
            <w:tcW w:type="dxa" w:w="66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Consulto penalistico; censimento degli incarichi analoghi</w:t>
            </w:r>
          </w:p>
        </w:tc>
      </w:tr>
      <w:tr>
        <w:trPr>
          <w:cantSplit/>
          <w:tblHeader w:val="off"/>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22 ottobre</w:t>
            </w:r>
          </w:p>
        </w:tc>
        <w:tc>
          <w:tcPr>
            <w:tcW w:type="dxa" w:w="66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Termine per l’istanza di adesione di Campus (scelta di Campus)</w:t>
            </w:r>
          </w:p>
        </w:tc>
      </w:tr>
      <w:tr>
        <w:trPr>
          <w:cantSplit/>
          <w:tblHeader w:val="off"/>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Entro il 6 novembre</w:t>
            </w:r>
          </w:p>
        </w:tc>
        <w:tc>
          <w:tcPr>
            <w:tcW w:type="dxa" w:w="66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Supporto documentale alla difesa di Campus, nei limiti del § 5.4</w:t>
            </w:r>
          </w:p>
        </w:tc>
      </w:tr>
      <w:tr>
        <w:trPr>
          <w:cantSplit/>
          <w:tblHeader w:val="off"/>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20 novembre</w:t>
            </w:r>
          </w:p>
        </w:tc>
        <w:tc>
          <w:tcPr>
            <w:tcW w:type="dxa" w:w="66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Termine prudenziale per le osservazioni di Campus (il 21 novembre cade di sabato)</w:t>
            </w:r>
          </w:p>
        </w:tc>
      </w:tr>
      <w:tr>
        <w:trPr>
          <w:cantSplit/>
          <w:tblHeader w:val="off"/>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center"/>
            </w:pPr>
            <w:r>
              <w:rPr>
                <w:sz w:val="20"/>
                <w:szCs w:val="20"/>
              </w:rPr>
              <w:t xml:space="preserve">Dopo l’atto di recupero</w:t>
            </w:r>
          </w:p>
        </w:tc>
        <w:tc>
          <w:tcPr>
            <w:tcW w:type="dxa" w:w="66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left"/>
            </w:pPr>
            <w:r>
              <w:rPr>
                <w:sz w:val="20"/>
                <w:szCs w:val="20"/>
              </w:rPr>
              <w:t xml:space="preserve">Valutazione con l’assicuratore; eventuale transazione</w:t>
            </w:r>
          </w:p>
        </w:tc>
      </w:tr>
    </w:tbl>
    <w:p>
      <w:pPr>
        <w:pStyle w:val="Heading1"/>
        <w:keepNext/>
        <w:keepLines/>
      </w:pPr>
      <w:r>
        <w:t xml:space="preserve">6. Conclusioni</w:t>
      </w:r>
    </w:p>
    <w:p>
      <w:pPr>
        <w:widowControl/>
        <w:spacing w:before="0"/>
        <w:jc w:val="both"/>
      </w:pPr>
      <w:r>
        <w:t xml:space="preserve">Le pretese di Campus sono in larga parte infondate: non sono risarcibili il capitale del credito, gli interessi, le imposte e le sanzioni sul costo Sabanet, gli effetti fiscali della fattura Reviance e i pregiudizi generici. Il nucleo dell’addebito, l’attribuzione uniforme di 272 ore, è invece verosimilmente fondato sul piano dell’adempimento. L’esposizione reale di Reviance si concentra sulla sanzione per l’utilizzo del credito, in una misura che dipende dai documenti che Reviance aveva ricevuto.</w:t>
      </w:r>
    </w:p>
    <w:p>
      <w:pPr>
        <w:widowControl/>
        <w:jc w:val="both"/>
      </w:pPr>
      <w:r>
        <w:t xml:space="preserve">Reviance deve denunciare subito il sinistro e ricostruire il fascicolo dell’incarico prima di prendere posizione nel merito. Deve poi rispondere a Campus senza ammissioni, sostenerne la difesa tributaria solo con documenti non confessori e approfondire con un penalista il profilo dell’art. 64 c.p.c. Ogni ipotesi transattiva va rinviata alla notifica dell’atto di recupero e gestita con l’assicuratore.</w:t>
      </w:r>
    </w:p>
    <w:sectPr>
      <w:footerReference w:type="default" r:id="rId6"/>
      <w:pgSz w:w="11906" w:h="16838" w:orient="portrait"/>
      <w:pgMar w:top="1417" w:right="1417" w:bottom="1417" w:left="1417" w:header="708"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autoHyphenation/>
  <w:consecutiveHyphenLimit w:val="2"/>
  <w:hyphenationZone w:val="357"/>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lang w:val="it-IT"/>
      </w:rPr>
    </w:rPrDefault>
    <w:pPrDefault>
      <w:pPr>
        <w:spacing w:after="120" w:before="0"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80" w:line="360"/>
      <w:outlineLvl w:val="0"/>
    </w:pPr>
    <w:rPr>
      <w:rFonts w:ascii="Palatino Linotype" w:cs="Palatino Linotype" w:eastAsia="Palatino Linotype" w:hAnsi="Palatino Linotype"/>
      <w:b/>
      <w:bCs/>
      <w:smallCaps/>
      <w:color w:val="000000"/>
      <w:sz w:val="22"/>
      <w:szCs w:val="22"/>
      <w:lang w:val="it-IT"/>
    </w:rPr>
  </w:style>
  <w:style w:type="paragraph" w:styleId="Heading2">
    <w:name w:val="Heading 2"/>
    <w:basedOn w:val="Normal"/>
    <w:next w:val="Normal"/>
    <w:qFormat/>
    <w:pPr>
      <w:keepNext/>
      <w:keepLines/>
      <w:spacing w:after="80" w:before="160" w:line="360"/>
      <w:outlineLvl w:val="1"/>
    </w:pPr>
    <w:rPr>
      <w:rFonts w:ascii="Palatino Linotype" w:cs="Palatino Linotype" w:eastAsia="Palatino Linotype" w:hAnsi="Palatino Linotype"/>
      <w:b/>
      <w:bCs/>
      <w:color w:val="000000"/>
      <w:sz w:val="22"/>
      <w:szCs w:val="22"/>
      <w:lang w:val="it-I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Parere analisi verbale e schema atto Campus Service Reviance</dc:title>
  <cp:revision>1</cp:revision>
  <dcterms:created xsi:type="dcterms:W3CDTF">2026-10-01T11:45:43.864Z</dcterms:created>
  <dcterms:modified xsi:type="dcterms:W3CDTF">2026-10-01T11:45:43.872Z</dcterms:modified>
</cp:coreProperties>
</file>

<file path=docProps/custom.xml><?xml version="1.0" encoding="utf-8"?>
<Properties xmlns="http://schemas.openxmlformats.org/officeDocument/2006/custom-properties" xmlns:vt="http://schemas.openxmlformats.org/officeDocument/2006/docPropsVTypes"/>
</file>