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791F8" w14:textId="77777777" w:rsidR="00623F9F" w:rsidRPr="00DF7893" w:rsidRDefault="00000000">
      <w:pPr>
        <w:pStyle w:val="Title"/>
        <w:rPr>
          <w:rFonts w:ascii="Palatino Linotype" w:hAnsi="Palatino Linotype"/>
          <w:color w:val="000000" w:themeColor="text1"/>
          <w:sz w:val="40"/>
          <w:szCs w:val="40"/>
        </w:rPr>
      </w:pPr>
      <w:r w:rsidRPr="00DF7893">
        <w:rPr>
          <w:rFonts w:ascii="Palatino Linotype" w:hAnsi="Palatino Linotype"/>
          <w:color w:val="000000" w:themeColor="text1"/>
          <w:sz w:val="40"/>
          <w:szCs w:val="40"/>
        </w:rPr>
        <w:t>Convergent two-classifier transcriptomic stratification of five antimeningioma drug-target programs across public multi-omic meningioma cohorts</w:t>
      </w:r>
    </w:p>
    <w:p w14:paraId="2C96DA1F" w14:textId="3BA785F3" w:rsidR="00DF7893" w:rsidRPr="008D7FF6" w:rsidRDefault="00DF7893" w:rsidP="00DF7893">
      <w:pPr>
        <w:adjustRightInd w:val="0"/>
        <w:snapToGrid w:val="0"/>
        <w:spacing w:after="360" w:line="260" w:lineRule="atLeast"/>
        <w:rPr>
          <w:rFonts w:eastAsia="Times New Roman"/>
          <w:bCs/>
          <w:iCs/>
          <w:snapToGrid w:val="0"/>
          <w:color w:val="000000" w:themeColor="text1"/>
          <w:vertAlign w:val="superscript"/>
          <w:lang w:eastAsia="de-DE" w:bidi="en-US"/>
        </w:rPr>
      </w:pPr>
      <w:r w:rsidRPr="008D7FF6">
        <w:rPr>
          <w:rFonts w:eastAsia="Times New Roman"/>
          <w:bCs/>
          <w:iCs/>
          <w:snapToGrid w:val="0"/>
          <w:color w:val="000000" w:themeColor="text1"/>
          <w:lang w:eastAsia="de-DE" w:bidi="en-US"/>
        </w:rPr>
        <w:t xml:space="preserve">Ömer Tarık Çiçek </w:t>
      </w:r>
      <w:r w:rsidRPr="008D7FF6">
        <w:rPr>
          <w:rFonts w:eastAsia="Times New Roman"/>
          <w:bCs/>
          <w:iCs/>
          <w:snapToGrid w:val="0"/>
          <w:color w:val="000000" w:themeColor="text1"/>
          <w:vertAlign w:val="superscript"/>
          <w:lang w:eastAsia="de-DE" w:bidi="en-US"/>
        </w:rPr>
        <w:t>1</w:t>
      </w:r>
    </w:p>
    <w:p w14:paraId="37DA9551" w14:textId="5F7D598D" w:rsidR="002058B8" w:rsidRPr="002058B8" w:rsidRDefault="00DF7893" w:rsidP="002058B8">
      <w:pPr>
        <w:pStyle w:val="ListParagraph"/>
        <w:numPr>
          <w:ilvl w:val="0"/>
          <w:numId w:val="10"/>
        </w:numPr>
        <w:adjustRightInd w:val="0"/>
        <w:snapToGrid w:val="0"/>
        <w:spacing w:after="0" w:line="200" w:lineRule="atLeast"/>
        <w:rPr>
          <w:rFonts w:ascii="Palatino Linotype" w:eastAsia="Times New Roman" w:hAnsi="Palatino Linotype" w:cs="Times New Roman"/>
          <w:iCs/>
          <w:snapToGrid w:val="0"/>
          <w:color w:val="000000" w:themeColor="text1"/>
          <w:sz w:val="16"/>
          <w:szCs w:val="16"/>
          <w:lang w:eastAsia="de-DE" w:bidi="en-US"/>
        </w:rPr>
      </w:pPr>
      <w:r w:rsidRPr="008D7FF6">
        <w:rPr>
          <w:rFonts w:ascii="Palatino Linotype" w:eastAsia="Times New Roman" w:hAnsi="Palatino Linotype" w:cs="Times New Roman"/>
          <w:iCs/>
          <w:snapToGrid w:val="0"/>
          <w:color w:val="000000" w:themeColor="text1"/>
          <w:sz w:val="16"/>
          <w:szCs w:val="16"/>
          <w:lang w:eastAsia="de-DE" w:bidi="en-US"/>
        </w:rPr>
        <w:t>School of Medicine, Marmara University, Istanbul, Turkey</w:t>
      </w:r>
    </w:p>
    <w:p w14:paraId="429A6DEE" w14:textId="69858385" w:rsidR="008D7FF6" w:rsidRPr="002058B8" w:rsidRDefault="008D7FF6" w:rsidP="002058B8">
      <w:pPr>
        <w:adjustRightInd w:val="0"/>
        <w:snapToGrid w:val="0"/>
        <w:spacing w:after="0" w:line="200" w:lineRule="atLeast"/>
        <w:rPr>
          <w:rFonts w:ascii="Palatino Linotype" w:eastAsia="Times New Roman" w:hAnsi="Palatino Linotype" w:cs="Times New Roman"/>
          <w:iCs/>
          <w:snapToGrid w:val="0"/>
          <w:color w:val="000000" w:themeColor="text1"/>
          <w:sz w:val="16"/>
          <w:szCs w:val="16"/>
          <w:lang w:eastAsia="de-DE" w:bidi="en-US"/>
        </w:rPr>
      </w:pPr>
      <w:r>
        <w:rPr>
          <w:rFonts w:ascii="Palatino Linotype" w:eastAsia="Times New Roman" w:hAnsi="Palatino Linotype" w:cs="Times New Roman"/>
          <w:snapToGrid w:val="0"/>
          <w:color w:val="000000" w:themeColor="text1"/>
          <w:sz w:val="16"/>
          <w:szCs w:val="18"/>
          <w:lang w:eastAsia="de-DE" w:bidi="en-US"/>
        </w:rPr>
        <w:t>August 2026</w:t>
      </w:r>
    </w:p>
    <w:p w14:paraId="38065363" w14:textId="77777777" w:rsidR="00623F9F" w:rsidRPr="00DF7893" w:rsidRDefault="00000000">
      <w:pPr>
        <w:rPr>
          <w:rFonts w:ascii="Palatino Linotype" w:hAnsi="Palatino Linotype"/>
          <w:color w:val="000000" w:themeColor="text1"/>
        </w:rPr>
      </w:pPr>
      <w:r w:rsidRPr="00DF7893">
        <w:rPr>
          <w:rFonts w:ascii="Palatino Linotype" w:hAnsi="Palatino Linotype"/>
          <w:color w:val="000000" w:themeColor="text1"/>
        </w:rPr>
        <w:pict w14:anchorId="2EEF5E72">
          <v:rect id="_x0000_i1025" style="width:0;height:1.5pt" o:hralign="center" o:hrstd="t" o:hr="t"/>
        </w:pict>
      </w:r>
    </w:p>
    <w:p w14:paraId="65B9C62B" w14:textId="77777777" w:rsidR="00623F9F" w:rsidRPr="00DF7893" w:rsidRDefault="00000000">
      <w:pPr>
        <w:pStyle w:val="Heading1"/>
        <w:rPr>
          <w:rFonts w:ascii="Palatino Linotype" w:hAnsi="Palatino Linotype"/>
          <w:color w:val="000000" w:themeColor="text1"/>
        </w:rPr>
      </w:pPr>
      <w:bookmarkStart w:id="0" w:name="X26b0fb2d123a37b4c9170689910de55269304a7"/>
      <w:r w:rsidRPr="00DF7893">
        <w:rPr>
          <w:rFonts w:ascii="Palatino Linotype" w:hAnsi="Palatino Linotype"/>
          <w:color w:val="000000" w:themeColor="text1"/>
        </w:rPr>
        <w:t>Preface (pre-submission caveats, declared up-front)</w:t>
      </w:r>
    </w:p>
    <w:p w14:paraId="22F44B38"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(A) Screening-panel gene lists.</w:t>
      </w:r>
      <w:r w:rsidRPr="008D7FF6">
        <w:rPr>
          <w:rFonts w:ascii="Palatino Linotype" w:hAnsi="Palatino Linotype"/>
          <w:color w:val="000000" w:themeColor="text1"/>
          <w:sz w:val="20"/>
          <w:szCs w:val="20"/>
        </w:rPr>
        <w:t xml:space="preserve"> The five target-gene programs used here (HDAC1/2, PSM-family proteasome, TUBB/TUBB3 tubulin, EEF2/RPL/RPS translation, HDAC8</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TGF</w:t>
      </w:r>
      <w:r w:rsidRPr="008D7FF6">
        <w:rPr>
          <w:rFonts w:ascii="Palatino Linotype" w:hAnsi="Palatino Linotype" w:cs="Palatino Linotype"/>
          <w:color w:val="000000" w:themeColor="text1"/>
          <w:sz w:val="20"/>
          <w:szCs w:val="20"/>
        </w:rPr>
        <w:t>β</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EMT resistance) were mechanistically inferred from the published full text of the Heidelberg CCR 2023 cell-line screen and StM 2026 patient-derived-organoid screen. If the authors supply the supplementary z-AUC / IC</w:t>
      </w:r>
      <w:r w:rsidRPr="008D7FF6">
        <w:rPr>
          <w:rFonts w:ascii="Palatino Linotype" w:hAnsi="Palatino Linotype" w:cs="Palatino Linotype"/>
          <w:color w:val="000000" w:themeColor="text1"/>
          <w:sz w:val="20"/>
          <w:szCs w:val="20"/>
        </w:rPr>
        <w:t>₅₀</w:t>
      </w:r>
      <w:r w:rsidRPr="008D7FF6">
        <w:rPr>
          <w:rFonts w:ascii="Palatino Linotype" w:hAnsi="Palatino Linotype"/>
          <w:color w:val="000000" w:themeColor="text1"/>
          <w:sz w:val="20"/>
          <w:szCs w:val="20"/>
        </w:rPr>
        <w:t xml:space="preserve"> target-annotation panels that underlay their screening calls, </w:t>
      </w:r>
      <w:r w:rsidRPr="008D7FF6">
        <w:rPr>
          <w:rFonts w:ascii="Palatino Linotype" w:hAnsi="Palatino Linotype"/>
          <w:b/>
          <w:bCs/>
          <w:color w:val="000000" w:themeColor="text1"/>
          <w:sz w:val="20"/>
          <w:szCs w:val="20"/>
        </w:rPr>
        <w:t>those author-provided panels will replace the mechanism-inferred lists verbatim before submission</w:t>
      </w:r>
      <w:r w:rsidRPr="008D7FF6">
        <w:rPr>
          <w:rFonts w:ascii="Palatino Linotype" w:hAnsi="Palatino Linotype"/>
          <w:color w:val="000000" w:themeColor="text1"/>
          <w:sz w:val="20"/>
          <w:szCs w:val="20"/>
        </w:rPr>
        <w:t>, with no change to any statistical threshold or model specification. This is declared as a pre-submission step, not a post-hoc revision.</w:t>
      </w:r>
    </w:p>
    <w:p w14:paraId="10F676E4"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(B) Individual-level data provenance.</w:t>
      </w:r>
      <w:r w:rsidRPr="008D7FF6">
        <w:rPr>
          <w:rFonts w:ascii="Palatino Linotype" w:hAnsi="Palatino Linotype"/>
          <w:color w:val="000000" w:themeColor="text1"/>
          <w:sz w:val="20"/>
          <w:szCs w:val="20"/>
        </w:rPr>
        <w:t xml:space="preserve"> Nassiri 2021 raw mRNA/WES/snRNA-seq (EGAS00001004982) and Sahm 2017 methylation classifier training data are Heidelberg-controlled-access. The present analyses run against processed open-access cBioPortal </w:t>
      </w:r>
      <w:r w:rsidRPr="008D7FF6">
        <w:rPr>
          <w:rStyle w:val="VerbatimChar"/>
          <w:rFonts w:ascii="Palatino Linotype" w:hAnsi="Palatino Linotype"/>
          <w:color w:val="000000" w:themeColor="text1"/>
          <w:sz w:val="20"/>
          <w:szCs w:val="20"/>
        </w:rPr>
        <w:t>mng_utoronto_2021</w:t>
      </w:r>
      <w:r w:rsidRPr="008D7FF6">
        <w:rPr>
          <w:rFonts w:ascii="Palatino Linotype" w:hAnsi="Palatino Linotype"/>
          <w:color w:val="000000" w:themeColor="text1"/>
          <w:sz w:val="20"/>
          <w:szCs w:val="20"/>
        </w:rPr>
        <w:t xml:space="preserve"> calls for Nassiri and GEO GSE183653/GSE212666 for the Bi-lab three-tier system. When Heidelberg colleagues join as co-authors, the verbatim pipeline re-runs against internal individual-level data with no statistical-spec changes; accession- and completeness-lock memos are version-controlled at </w:t>
      </w:r>
      <w:r w:rsidRPr="008D7FF6">
        <w:rPr>
          <w:rStyle w:val="VerbatimChar"/>
          <w:rFonts w:ascii="Palatino Linotype" w:hAnsi="Palatino Linotype"/>
          <w:color w:val="000000" w:themeColor="text1"/>
          <w:sz w:val="20"/>
          <w:szCs w:val="20"/>
        </w:rPr>
        <w:t>results/tables/aim0_cohort_</w:t>
      </w:r>
      <w:proofErr w:type="gramStart"/>
      <w:r w:rsidRPr="008D7FF6">
        <w:rPr>
          <w:rStyle w:val="VerbatimChar"/>
          <w:rFonts w:ascii="Palatino Linotype" w:hAnsi="Palatino Linotype"/>
          <w:color w:val="000000" w:themeColor="text1"/>
          <w:sz w:val="20"/>
          <w:szCs w:val="20"/>
        </w:rPr>
        <w:t>lock.*</w:t>
      </w:r>
      <w:proofErr w:type="gramEnd"/>
      <w:r w:rsidRPr="008D7FF6">
        <w:rPr>
          <w:rFonts w:ascii="Palatino Linotype" w:hAnsi="Palatino Linotype"/>
          <w:color w:val="000000" w:themeColor="text1"/>
          <w:sz w:val="20"/>
          <w:szCs w:val="20"/>
        </w:rPr>
        <w:t xml:space="preserve"> and must be re-frozen only if figures change.</w:t>
      </w:r>
    </w:p>
    <w:p w14:paraId="5A3BD09C"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3006F52F">
          <v:rect id="_x0000_i1026" style="width:0;height:1.5pt" o:hralign="center" o:hrstd="t" o:hr="t"/>
        </w:pict>
      </w:r>
    </w:p>
    <w:p w14:paraId="43BECAF6" w14:textId="77777777" w:rsidR="00623F9F" w:rsidRPr="008D7FF6" w:rsidRDefault="00000000">
      <w:pPr>
        <w:pStyle w:val="Heading1"/>
        <w:rPr>
          <w:rFonts w:ascii="Palatino Linotype" w:hAnsi="Palatino Linotype"/>
          <w:color w:val="000000" w:themeColor="text1"/>
          <w:sz w:val="20"/>
          <w:szCs w:val="20"/>
        </w:rPr>
      </w:pPr>
      <w:bookmarkStart w:id="1" w:name="abstract"/>
      <w:bookmarkEnd w:id="0"/>
      <w:r w:rsidRPr="008D7FF6">
        <w:rPr>
          <w:rFonts w:ascii="Palatino Linotype" w:hAnsi="Palatino Linotype"/>
          <w:color w:val="000000" w:themeColor="text1"/>
          <w:sz w:val="20"/>
          <w:szCs w:val="20"/>
        </w:rPr>
        <w:t>Abstract</w:t>
      </w:r>
    </w:p>
    <w:p w14:paraId="097D147D"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Motivation.</w:t>
      </w:r>
      <w:r w:rsidRPr="008D7FF6">
        <w:rPr>
          <w:rFonts w:ascii="Palatino Linotype" w:hAnsi="Palatino Linotype"/>
          <w:color w:val="000000" w:themeColor="text1"/>
          <w:sz w:val="20"/>
          <w:szCs w:val="20"/>
        </w:rPr>
        <w:t xml:space="preserve"> Two independent Heidelberg drug screens recently identified five compounds with strong antimeningioma activity spanning four mechanisms: pan-class-I HDAC inhibition (panobinostat, romidepsin), proteasome inhibition (carfilzomib), microtubule stabilisation (ixabepilone), and translation elongation inhibition (omacetaxine). Neither screen stratifies responses by validated molecular subgroups—the standard design gap of functional pharmacogenomic studies. We sought to close this gap </w:t>
      </w:r>
      <w:r w:rsidRPr="008D7FF6">
        <w:rPr>
          <w:rFonts w:ascii="Palatino Linotype" w:hAnsi="Palatino Linotype"/>
          <w:i/>
          <w:iCs/>
          <w:color w:val="000000" w:themeColor="text1"/>
          <w:sz w:val="20"/>
          <w:szCs w:val="20"/>
        </w:rPr>
        <w:t>in silico</w:t>
      </w:r>
      <w:r w:rsidRPr="008D7FF6">
        <w:rPr>
          <w:rFonts w:ascii="Palatino Linotype" w:hAnsi="Palatino Linotype"/>
          <w:color w:val="000000" w:themeColor="text1"/>
          <w:sz w:val="20"/>
          <w:szCs w:val="20"/>
        </w:rPr>
        <w:t xml:space="preserve"> by building a testable patient-selection framework returnable to the screening group.</w:t>
      </w:r>
    </w:p>
    <w:p w14:paraId="1E87C013"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Results.</w:t>
      </w:r>
      <w:r w:rsidRPr="008D7FF6">
        <w:rPr>
          <w:rFonts w:ascii="Palatino Linotype" w:hAnsi="Palatino Linotype"/>
          <w:color w:val="000000" w:themeColor="text1"/>
          <w:sz w:val="20"/>
          <w:szCs w:val="20"/>
        </w:rPr>
        <w:t xml:space="preserve"> We developed a convergent two-classifier analytical protocol that scores five mechanism-matched target-gene programs plus the StM 2026 panobinostat HDAC8</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TGF</w:t>
      </w:r>
      <w:r w:rsidRPr="008D7FF6">
        <w:rPr>
          <w:rFonts w:ascii="Palatino Linotype" w:hAnsi="Palatino Linotype" w:cs="Palatino Linotype"/>
          <w:color w:val="000000" w:themeColor="text1"/>
          <w:sz w:val="20"/>
          <w:szCs w:val="20"/>
        </w:rPr>
        <w:t>β</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EMT resistance axis, assessing their expression across two independently derived meningioma classification systems: Nassiri 2021 Nature 4-group (Immunogenic/MG2/hypermetabolic/proliferative,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121) and Choudhury/Bi-lab </w:t>
      </w:r>
      <w:r w:rsidRPr="008D7FF6">
        <w:rPr>
          <w:rFonts w:ascii="Palatino Linotype" w:hAnsi="Palatino Linotype"/>
          <w:color w:val="000000" w:themeColor="text1"/>
          <w:sz w:val="20"/>
          <w:szCs w:val="20"/>
        </w:rPr>
        <w:lastRenderedPageBreak/>
        <w:t xml:space="preserve">2022 Nature Genetics 3-group (Merlin-intact/Immune-enriched/Hypermitotic) projected via a leave-one-out cross-validated Ridge bridging classifier (LOOCV κ = 0.894, accuracy 93.0%). </w:t>
      </w:r>
      <w:r w:rsidRPr="008D7FF6">
        <w:rPr>
          <w:rFonts w:ascii="Palatino Linotype" w:hAnsi="Palatino Linotype"/>
          <w:b/>
          <w:bCs/>
          <w:color w:val="000000" w:themeColor="text1"/>
          <w:sz w:val="20"/>
          <w:szCs w:val="20"/>
        </w:rPr>
        <w:t>H1 (classifier concordance):</w:t>
      </w:r>
      <w:r w:rsidRPr="008D7FF6">
        <w:rPr>
          <w:rFonts w:ascii="Palatino Linotype" w:hAnsi="Palatino Linotype"/>
          <w:color w:val="000000" w:themeColor="text1"/>
          <w:sz w:val="20"/>
          <w:szCs w:val="20"/>
        </w:rPr>
        <w:t xml:space="preserve"> the literature-registered 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3 mapping (MG1</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Immune-enriched, MG2</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Merlin-intact, MG3</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MG4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Hypermitotic) achieved Cohen</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s </w:t>
      </w:r>
      <w:r w:rsidRPr="008D7FF6">
        <w:rPr>
          <w:rFonts w:ascii="Palatino Linotype" w:hAnsi="Palatino Linotype" w:cs="Palatino Linotype"/>
          <w:color w:val="000000" w:themeColor="text1"/>
          <w:sz w:val="20"/>
          <w:szCs w:val="20"/>
        </w:rPr>
        <w:t>κ</w:t>
      </w:r>
      <w:r w:rsidRPr="008D7FF6">
        <w:rPr>
          <w:rFonts w:ascii="Palatino Linotype" w:hAnsi="Palatino Linotype"/>
          <w:color w:val="000000" w:themeColor="text1"/>
          <w:sz w:val="20"/>
          <w:szCs w:val="20"/>
        </w:rPr>
        <w:t xml:space="preserve"> = 0.568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&lt; 1 × 10⁻¹⁶), ranking first among 12 enumerated alternative pairings (Δκ vs best wrong = +0.302; the most adversarial singleton-swap placebo gave κ = 0.050). </w:t>
      </w:r>
      <w:r w:rsidRPr="008D7FF6">
        <w:rPr>
          <w:rFonts w:ascii="Palatino Linotype" w:hAnsi="Palatino Linotype"/>
          <w:b/>
          <w:bCs/>
          <w:color w:val="000000" w:themeColor="text1"/>
          <w:sz w:val="20"/>
          <w:szCs w:val="20"/>
        </w:rPr>
        <w:t>H2 (subgroup stratification):</w:t>
      </w:r>
      <w:r w:rsidRPr="008D7FF6">
        <w:rPr>
          <w:rFonts w:ascii="Palatino Linotype" w:hAnsi="Palatino Linotype"/>
          <w:color w:val="000000" w:themeColor="text1"/>
          <w:sz w:val="20"/>
          <w:szCs w:val="20"/>
        </w:rPr>
        <w:t xml:space="preserve"> all five programs differed significantly across Nassiri subgroups after Benjamini–Hochberg FDR (α = 0.10) applied across the full program × subgroup family (Kruskal–Wallis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BH = 1.7 × 10⁻⁵ to 0.084), with grade-adjusted OLS confirming subgroup F-statistics remain significant after conditioning on WHO grade. </w:t>
      </w:r>
      <w:r w:rsidRPr="008D7FF6">
        <w:rPr>
          <w:rFonts w:ascii="Palatino Linotype" w:hAnsi="Palatino Linotype"/>
          <w:b/>
          <w:bCs/>
          <w:color w:val="000000" w:themeColor="text1"/>
          <w:sz w:val="20"/>
          <w:szCs w:val="20"/>
        </w:rPr>
        <w:t>H3 (NF2 CNA-loss proxy):</w:t>
      </w:r>
      <w:r w:rsidRPr="008D7FF6">
        <w:rPr>
          <w:rFonts w:ascii="Palatino Linotype" w:hAnsi="Palatino Linotype"/>
          <w:color w:val="000000" w:themeColor="text1"/>
          <w:sz w:val="20"/>
          <w:szCs w:val="20"/>
        </w:rPr>
        <w:t xml:space="preserve"> program z-scores associated with NF2 copy-number-loss status (nf2_cna_loss_proxy), with all five programs passing family-wide BH-FDR at α = 0.10. </w:t>
      </w:r>
      <w:r w:rsidRPr="008D7FF6">
        <w:rPr>
          <w:rFonts w:ascii="Palatino Linotype" w:hAnsi="Palatino Linotype"/>
          <w:b/>
          <w:bCs/>
          <w:color w:val="000000" w:themeColor="text1"/>
          <w:sz w:val="20"/>
          <w:szCs w:val="20"/>
        </w:rPr>
        <w:t>H4 (external replication) and H5 (recurrence-free survival)</w:t>
      </w:r>
      <w:r w:rsidRPr="008D7FF6">
        <w:rPr>
          <w:rFonts w:ascii="Palatino Linotype" w:hAnsi="Palatino Linotype"/>
          <w:color w:val="000000" w:themeColor="text1"/>
          <w:sz w:val="20"/>
          <w:szCs w:val="20"/>
        </w:rPr>
        <w:t xml:space="preserve"> are declared </w:t>
      </w:r>
      <w:r w:rsidRPr="008D7FF6">
        <w:rPr>
          <w:rFonts w:ascii="Palatino Linotype" w:hAnsi="Palatino Linotype"/>
          <w:i/>
          <w:iCs/>
          <w:color w:val="000000" w:themeColor="text1"/>
          <w:sz w:val="20"/>
          <w:szCs w:val="20"/>
        </w:rPr>
        <w:t>not evaluable</w:t>
      </w:r>
      <w:r w:rsidRPr="008D7FF6">
        <w:rPr>
          <w:rFonts w:ascii="Palatino Linotype" w:hAnsi="Palatino Linotype"/>
          <w:color w:val="000000" w:themeColor="text1"/>
          <w:sz w:val="20"/>
          <w:szCs w:val="20"/>
        </w:rPr>
        <w:t xml:space="preserve"> on currently open public data because replication cohorts lack subgroup metadata (H4) and time-to-recurrence variables are not deposited (H5); both are locked as pre-specified analyses awaiting co-author data sharing.</w:t>
      </w:r>
    </w:p>
    <w:p w14:paraId="58E06960" w14:textId="430BB72A"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Availability and implementation.</w:t>
      </w:r>
      <w:r w:rsidRPr="008D7FF6">
        <w:rPr>
          <w:rFonts w:ascii="Palatino Linotype" w:hAnsi="Palatino Linotype"/>
          <w:color w:val="000000" w:themeColor="text1"/>
          <w:sz w:val="20"/>
          <w:szCs w:val="20"/>
        </w:rPr>
        <w:t xml:space="preserve"> Code, frozen gene-program lists, cohort-lock metadata, and a fully reproducible end-to-end pipeline are available </w:t>
      </w:r>
      <w:r w:rsidR="00DF7893" w:rsidRPr="008D7FF6">
        <w:rPr>
          <w:rFonts w:ascii="Palatino Linotype" w:hAnsi="Palatino Linotype"/>
          <w:color w:val="000000" w:themeColor="text1"/>
          <w:sz w:val="20"/>
          <w:szCs w:val="20"/>
        </w:rPr>
        <w:t>upon request</w:t>
      </w:r>
      <w:r w:rsidRPr="008D7FF6">
        <w:rPr>
          <w:rFonts w:ascii="Palatino Linotype" w:hAnsi="Palatino Linotype"/>
          <w:color w:val="000000" w:themeColor="text1"/>
          <w:sz w:val="20"/>
          <w:szCs w:val="20"/>
        </w:rPr>
        <w:t xml:space="preserve">. All 16 result tables are deposited in </w:t>
      </w:r>
      <w:r w:rsidRPr="008D7FF6">
        <w:rPr>
          <w:rStyle w:val="VerbatimChar"/>
          <w:rFonts w:ascii="Palatino Linotype" w:hAnsi="Palatino Linotype"/>
          <w:color w:val="000000" w:themeColor="text1"/>
          <w:sz w:val="20"/>
          <w:szCs w:val="20"/>
        </w:rPr>
        <w:t>results/tables/</w:t>
      </w:r>
      <w:r w:rsidRPr="008D7FF6">
        <w:rPr>
          <w:rFonts w:ascii="Palatino Linotype" w:hAnsi="Palatino Linotype"/>
          <w:color w:val="000000" w:themeColor="text1"/>
          <w:sz w:val="20"/>
          <w:szCs w:val="20"/>
        </w:rPr>
        <w:t xml:space="preserve"> with provenance-sidecar files.</w:t>
      </w:r>
    </w:p>
    <w:p w14:paraId="343764DD"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15F8E7A4">
          <v:rect id="_x0000_i1027" style="width:0;height:1.5pt" o:hralign="center" o:hrstd="t" o:hr="t"/>
        </w:pict>
      </w:r>
    </w:p>
    <w:p w14:paraId="4C2535B8" w14:textId="77777777" w:rsidR="00623F9F" w:rsidRPr="008D7FF6" w:rsidRDefault="00000000">
      <w:pPr>
        <w:pStyle w:val="Heading1"/>
        <w:rPr>
          <w:rFonts w:ascii="Palatino Linotype" w:hAnsi="Palatino Linotype"/>
          <w:color w:val="000000" w:themeColor="text1"/>
          <w:sz w:val="20"/>
          <w:szCs w:val="20"/>
        </w:rPr>
      </w:pPr>
      <w:bookmarkStart w:id="2" w:name="introduction"/>
      <w:bookmarkEnd w:id="1"/>
      <w:r w:rsidRPr="008D7FF6">
        <w:rPr>
          <w:rFonts w:ascii="Palatino Linotype" w:hAnsi="Palatino Linotype"/>
          <w:color w:val="000000" w:themeColor="text1"/>
          <w:sz w:val="20"/>
          <w:szCs w:val="20"/>
        </w:rPr>
        <w:t>1. Introduction</w:t>
      </w:r>
    </w:p>
    <w:p w14:paraId="4A8ABFF7"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Meningiomas are the most common primary intracranial tumour, yet only three systemic agents have shown meaningful activity in prospective trials [</w:t>
      </w:r>
      <w:hyperlink w:anchor="ref-goldbrunner2021eano">
        <w:r w:rsidRPr="008D7FF6">
          <w:rPr>
            <w:rStyle w:val="Hyperlink"/>
            <w:rFonts w:ascii="Palatino Linotype" w:hAnsi="Palatino Linotype"/>
            <w:color w:val="000000" w:themeColor="text1"/>
            <w:sz w:val="20"/>
            <w:szCs w:val="20"/>
          </w:rPr>
          <w:t>1</w:t>
        </w:r>
      </w:hyperlink>
      <w:r w:rsidRPr="008D7FF6">
        <w:rPr>
          <w:rFonts w:ascii="Palatino Linotype" w:hAnsi="Palatino Linotype"/>
          <w:color w:val="000000" w:themeColor="text1"/>
          <w:sz w:val="20"/>
          <w:szCs w:val="20"/>
        </w:rPr>
        <w:t xml:space="preserve">, </w:t>
      </w:r>
      <w:hyperlink w:anchor="ref-wen2010medical">
        <w:r w:rsidRPr="008D7FF6">
          <w:rPr>
            <w:rStyle w:val="Hyperlink"/>
            <w:rFonts w:ascii="Palatino Linotype" w:hAnsi="Palatino Linotype"/>
            <w:color w:val="000000" w:themeColor="text1"/>
            <w:sz w:val="20"/>
            <w:szCs w:val="20"/>
          </w:rPr>
          <w:t>2</w:t>
        </w:r>
      </w:hyperlink>
      <w:r w:rsidRPr="008D7FF6">
        <w:rPr>
          <w:rFonts w:ascii="Palatino Linotype" w:hAnsi="Palatino Linotype"/>
          <w:color w:val="000000" w:themeColor="text1"/>
          <w:sz w:val="20"/>
          <w:szCs w:val="20"/>
        </w:rPr>
        <w:t>]. The Heidelberg meningioma group has recently substantially expanded the pharmacological toolbox: Jungwirth et al. screened 119 FDA-approved drugs on meningioma cell lines (Clin Cancer Res 2023; hereafter CCR 2023) [</w:t>
      </w:r>
      <w:hyperlink w:anchor="ref-jungwirth2023pharmacological">
        <w:r w:rsidRPr="008D7FF6">
          <w:rPr>
            <w:rStyle w:val="Hyperlink"/>
            <w:rFonts w:ascii="Palatino Linotype" w:hAnsi="Palatino Linotype"/>
            <w:color w:val="000000" w:themeColor="text1"/>
            <w:sz w:val="20"/>
            <w:szCs w:val="20"/>
          </w:rPr>
          <w:t>3</w:t>
        </w:r>
      </w:hyperlink>
      <w:r w:rsidRPr="008D7FF6">
        <w:rPr>
          <w:rFonts w:ascii="Palatino Linotype" w:hAnsi="Palatino Linotype"/>
          <w:color w:val="000000" w:themeColor="text1"/>
          <w:sz w:val="20"/>
          <w:szCs w:val="20"/>
        </w:rPr>
        <w:t>] and identified carfilzomib, omacetaxine, ixabepilone, and romidepsin as the four most potent compounds (IC₅₀ 0.12–9.5 nmol/L, largely via G2–M arrest and apoptosis). Jungwirth et al. then extended this to 60 molecularly characterised patient-derived tumour organoids (Sci Transl Med 2026; hereafter StM 2026) [</w:t>
      </w:r>
      <w:hyperlink w:anchor="ref-jungwirth2026drug">
        <w:r w:rsidRPr="008D7FF6">
          <w:rPr>
            <w:rStyle w:val="Hyperlink"/>
            <w:rFonts w:ascii="Palatino Linotype" w:hAnsi="Palatino Linotype"/>
            <w:color w:val="000000" w:themeColor="text1"/>
            <w:sz w:val="20"/>
            <w:szCs w:val="20"/>
          </w:rPr>
          <w:t>4</w:t>
        </w:r>
      </w:hyperlink>
      <w:r w:rsidRPr="008D7FF6">
        <w:rPr>
          <w:rFonts w:ascii="Palatino Linotype" w:hAnsi="Palatino Linotype"/>
          <w:color w:val="000000" w:themeColor="text1"/>
          <w:sz w:val="20"/>
          <w:szCs w:val="20"/>
        </w:rPr>
        <w:t>], identifying panobinostat as the lead pan-HDAC inhibitor across in vitro, ex vivo, and in vivo models, and tracing resistance to an HDAC8</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TGF</w:t>
      </w:r>
      <w:r w:rsidRPr="008D7FF6">
        <w:rPr>
          <w:rFonts w:ascii="Palatino Linotype" w:hAnsi="Palatino Linotype" w:cs="Palatino Linotype"/>
          <w:color w:val="000000" w:themeColor="text1"/>
          <w:sz w:val="20"/>
          <w:szCs w:val="20"/>
        </w:rPr>
        <w:t>β</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EMT axis whose genetic ablation restores sensitivity.</w:t>
      </w:r>
    </w:p>
    <w:p w14:paraId="47F344B1"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color w:val="000000" w:themeColor="text1"/>
          <w:sz w:val="20"/>
          <w:szCs w:val="20"/>
        </w:rPr>
        <w:t>Both screens are rigorous pharmacological experiments, yet both share the standard limitation of functional pharmacogenomic studies: compound activity is reported at the cohort level, not stratified by any now-validated meningioma molecular subgroup system [</w:t>
      </w:r>
      <w:hyperlink w:anchor="ref-nassiri2021multiomic">
        <w:r w:rsidRPr="008D7FF6">
          <w:rPr>
            <w:rStyle w:val="Hyperlink"/>
            <w:rFonts w:ascii="Palatino Linotype" w:hAnsi="Palatino Linotype"/>
            <w:color w:val="000000" w:themeColor="text1"/>
            <w:sz w:val="20"/>
            <w:szCs w:val="20"/>
          </w:rPr>
          <w:t>5</w:t>
        </w:r>
      </w:hyperlink>
      <w:r w:rsidRPr="008D7FF6">
        <w:rPr>
          <w:rFonts w:ascii="Palatino Linotype" w:hAnsi="Palatino Linotype"/>
          <w:color w:val="000000" w:themeColor="text1"/>
          <w:sz w:val="20"/>
          <w:szCs w:val="20"/>
        </w:rPr>
        <w:t>–</w:t>
      </w:r>
      <w:hyperlink w:anchor="ref-choudhury2023hypermitotic">
        <w:r w:rsidRPr="008D7FF6">
          <w:rPr>
            <w:rStyle w:val="Hyperlink"/>
            <w:rFonts w:ascii="Palatino Linotype" w:hAnsi="Palatino Linotype"/>
            <w:color w:val="000000" w:themeColor="text1"/>
            <w:sz w:val="20"/>
            <w:szCs w:val="20"/>
          </w:rPr>
          <w:t>7</w:t>
        </w:r>
      </w:hyperlink>
      <w:r w:rsidRPr="008D7FF6">
        <w:rPr>
          <w:rFonts w:ascii="Palatino Linotype" w:hAnsi="Palatino Linotype"/>
          <w:color w:val="000000" w:themeColor="text1"/>
          <w:sz w:val="20"/>
          <w:szCs w:val="20"/>
        </w:rPr>
        <w:t>]. There is no patient-selection layer handable back to the clinic. Two mature, independently derived classification systems are publicly available for meningioma. Nassiri et al. (Nature 2021) [</w:t>
      </w:r>
      <w:hyperlink w:anchor="ref-nassiri2021multiomic">
        <w:r w:rsidRPr="008D7FF6">
          <w:rPr>
            <w:rStyle w:val="Hyperlink"/>
            <w:rFonts w:ascii="Palatino Linotype" w:hAnsi="Palatino Linotype"/>
            <w:color w:val="000000" w:themeColor="text1"/>
            <w:sz w:val="20"/>
            <w:szCs w:val="20"/>
          </w:rPr>
          <w:t>5</w:t>
        </w:r>
      </w:hyperlink>
      <w:r w:rsidRPr="008D7FF6">
        <w:rPr>
          <w:rFonts w:ascii="Palatino Linotype" w:hAnsi="Palatino Linotype"/>
          <w:color w:val="000000" w:themeColor="text1"/>
          <w:sz w:val="20"/>
          <w:szCs w:val="20"/>
        </w:rPr>
        <w:t xml:space="preserve">] profiled 185 meningiomas by methylation, WES, bulk mRNA, and snRNA-seq, defining four mutually consistent groups (MG1 Immunogenic / MG2 benign NF2-wildtype / MG3 hypermetabolic / MG4 proliferative) with processed data deposited under cBioPortal </w:t>
      </w:r>
      <w:r w:rsidRPr="008D7FF6">
        <w:rPr>
          <w:rStyle w:val="VerbatimChar"/>
          <w:rFonts w:ascii="Palatino Linotype" w:hAnsi="Palatino Linotype"/>
          <w:color w:val="000000" w:themeColor="text1"/>
          <w:sz w:val="20"/>
          <w:szCs w:val="20"/>
        </w:rPr>
        <w:t>mng_utoronto_2021</w:t>
      </w:r>
      <w:r w:rsidRPr="008D7FF6">
        <w:rPr>
          <w:rFonts w:ascii="Palatino Linotype" w:hAnsi="Palatino Linotype"/>
          <w:color w:val="000000" w:themeColor="text1"/>
          <w:sz w:val="20"/>
          <w:szCs w:val="20"/>
        </w:rPr>
        <w:t>. Choudhury and the Bi/Raleigh lab (Nature Genetics 2022, refined Neuro-Oncology 2023) [</w:t>
      </w:r>
      <w:hyperlink w:anchor="ref-choudhury2022epigenomic">
        <w:r w:rsidRPr="008D7FF6">
          <w:rPr>
            <w:rStyle w:val="Hyperlink"/>
            <w:rFonts w:ascii="Palatino Linotype" w:hAnsi="Palatino Linotype"/>
            <w:color w:val="000000" w:themeColor="text1"/>
            <w:sz w:val="20"/>
            <w:szCs w:val="20"/>
          </w:rPr>
          <w:t>6</w:t>
        </w:r>
      </w:hyperlink>
      <w:r w:rsidRPr="008D7FF6">
        <w:rPr>
          <w:rFonts w:ascii="Palatino Linotype" w:hAnsi="Palatino Linotype"/>
          <w:color w:val="000000" w:themeColor="text1"/>
          <w:sz w:val="20"/>
          <w:szCs w:val="20"/>
        </w:rPr>
        <w:t xml:space="preserve">, </w:t>
      </w:r>
      <w:hyperlink w:anchor="ref-choudhury2023hypermitotic">
        <w:r w:rsidRPr="008D7FF6">
          <w:rPr>
            <w:rStyle w:val="Hyperlink"/>
            <w:rFonts w:ascii="Palatino Linotype" w:hAnsi="Palatino Linotype"/>
            <w:color w:val="000000" w:themeColor="text1"/>
            <w:sz w:val="20"/>
            <w:szCs w:val="20"/>
          </w:rPr>
          <w:t>7</w:t>
        </w:r>
      </w:hyperlink>
      <w:r w:rsidRPr="008D7FF6">
        <w:rPr>
          <w:rFonts w:ascii="Palatino Linotype" w:hAnsi="Palatino Linotype"/>
          <w:color w:val="000000" w:themeColor="text1"/>
          <w:sz w:val="20"/>
          <w:szCs w:val="20"/>
        </w:rPr>
        <w:t xml:space="preserve">] integrated methylation, genetics, transcriptomics, proteomics, and single-cell data on 565 meningiomas to define a complementary three-tier system (Merlin-intact / Immune-enriched / Hypermitotic) framed around therapeutic vulnerabilities, with paired RNA-seq for the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185 discovery subset available under GEO GSE183653.</w:t>
      </w:r>
    </w:p>
    <w:p w14:paraId="5A9F0B99"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The existence of two methodologically distinct, publicly accessible classification systems creates a rare methodological opportunity: if a target-gene program is differentially expressed across subgroups in </w:t>
      </w:r>
      <w:r w:rsidRPr="008D7FF6">
        <w:rPr>
          <w:rFonts w:ascii="Palatino Linotype" w:hAnsi="Palatino Linotype"/>
          <w:i/>
          <w:iCs/>
          <w:color w:val="000000" w:themeColor="text1"/>
          <w:sz w:val="20"/>
          <w:szCs w:val="20"/>
        </w:rPr>
        <w:t>both</w:t>
      </w:r>
      <w:r w:rsidRPr="008D7FF6">
        <w:rPr>
          <w:rFonts w:ascii="Palatino Linotype" w:hAnsi="Palatino Linotype"/>
          <w:color w:val="000000" w:themeColor="text1"/>
          <w:sz w:val="20"/>
          <w:szCs w:val="20"/>
        </w:rPr>
        <w:t xml:space="preserve"> classifiers, the signal is proportionally less likely to reflect classifier-specific artefact. This two-classifier </w:t>
      </w:r>
      <w:r w:rsidRPr="008D7FF6">
        <w:rPr>
          <w:rFonts w:ascii="Palatino Linotype" w:hAnsi="Palatino Linotype"/>
          <w:color w:val="000000" w:themeColor="text1"/>
          <w:sz w:val="20"/>
          <w:szCs w:val="20"/>
        </w:rPr>
        <w:lastRenderedPageBreak/>
        <w:t xml:space="preserve">convergence logic—combined with explicit falsifiability testing of the cross-study subgroup mapping via exhaustive pairing enumeration and honest declaration of currently non-evaluable </w:t>
      </w:r>
      <w:proofErr w:type="gramStart"/>
      <w:r w:rsidRPr="008D7FF6">
        <w:rPr>
          <w:rFonts w:ascii="Palatino Linotype" w:hAnsi="Palatino Linotype"/>
          <w:color w:val="000000" w:themeColor="text1"/>
          <w:sz w:val="20"/>
          <w:szCs w:val="20"/>
        </w:rPr>
        <w:t>hypotheses—is</w:t>
      </w:r>
      <w:proofErr w:type="gramEnd"/>
      <w:r w:rsidRPr="008D7FF6">
        <w:rPr>
          <w:rFonts w:ascii="Palatino Linotype" w:hAnsi="Palatino Linotype"/>
          <w:color w:val="000000" w:themeColor="text1"/>
          <w:sz w:val="20"/>
          <w:szCs w:val="20"/>
        </w:rPr>
        <w:t xml:space="preserve"> the core methodological contribution of the present work.</w:t>
      </w:r>
    </w:p>
    <w:p w14:paraId="228CC97F" w14:textId="77777777" w:rsidR="00623F9F" w:rsidRPr="008D7FF6" w:rsidRDefault="00000000">
      <w:pPr>
        <w:pStyle w:val="Heading2"/>
        <w:rPr>
          <w:rFonts w:ascii="Palatino Linotype" w:hAnsi="Palatino Linotype"/>
          <w:color w:val="000000" w:themeColor="text1"/>
          <w:sz w:val="20"/>
          <w:szCs w:val="20"/>
        </w:rPr>
      </w:pPr>
      <w:bookmarkStart w:id="3" w:name="Xeaa61dda247d887c7030d82755f51b2e52cb65b"/>
      <w:r w:rsidRPr="008D7FF6">
        <w:rPr>
          <w:rFonts w:ascii="Palatino Linotype" w:hAnsi="Palatino Linotype"/>
          <w:color w:val="000000" w:themeColor="text1"/>
          <w:sz w:val="20"/>
          <w:szCs w:val="20"/>
        </w:rPr>
        <w:t xml:space="preserve">1.1 </w:t>
      </w:r>
      <w:proofErr w:type="gramStart"/>
      <w:r w:rsidRPr="008D7FF6">
        <w:rPr>
          <w:rFonts w:ascii="Palatino Linotype" w:hAnsi="Palatino Linotype"/>
          <w:color w:val="000000" w:themeColor="text1"/>
          <w:sz w:val="20"/>
          <w:szCs w:val="20"/>
        </w:rPr>
        <w:t>Pre-specified</w:t>
      </w:r>
      <w:proofErr w:type="gramEnd"/>
      <w:r w:rsidRPr="008D7FF6">
        <w:rPr>
          <w:rFonts w:ascii="Palatino Linotype" w:hAnsi="Palatino Linotype"/>
          <w:color w:val="000000" w:themeColor="text1"/>
          <w:sz w:val="20"/>
          <w:szCs w:val="20"/>
        </w:rPr>
        <w:t xml:space="preserve"> hypotheses (locked before any statistical testing)</w:t>
      </w:r>
    </w:p>
    <w:p w14:paraId="0E1AC99B"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H1 (classifier concordance).</w:t>
      </w:r>
      <w:r w:rsidRPr="008D7FF6">
        <w:rPr>
          <w:rFonts w:ascii="Palatino Linotype" w:hAnsi="Palatino Linotype"/>
          <w:color w:val="000000" w:themeColor="text1"/>
          <w:sz w:val="20"/>
          <w:szCs w:val="20"/>
        </w:rPr>
        <w:t xml:space="preserve"> The literature-registered mapping between Nassiri 4-group labels and Bi-lab 3-group labels (MG1 </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 Immune-enriched, MG2 </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 Merlin-intact, MG3 </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 MG4 </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 Hypermitotic) achieves statistically significant cross-study agreement as quantified by Cohen</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s </w:t>
      </w:r>
      <w:r w:rsidRPr="008D7FF6">
        <w:rPr>
          <w:rFonts w:ascii="Palatino Linotype" w:hAnsi="Palatino Linotype" w:cs="Palatino Linotype"/>
          <w:color w:val="000000" w:themeColor="text1"/>
          <w:sz w:val="20"/>
          <w:szCs w:val="20"/>
        </w:rPr>
        <w:t>κ</w:t>
      </w:r>
      <w:r w:rsidRPr="008D7FF6">
        <w:rPr>
          <w:rFonts w:ascii="Palatino Linotype" w:hAnsi="Palatino Linotype"/>
          <w:color w:val="000000" w:themeColor="text1"/>
          <w:sz w:val="20"/>
          <w:szCs w:val="20"/>
        </w:rPr>
        <w:t xml:space="preserve"> on the projected 3</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3 shared label space, and the true mapping ranks strictly above all 11 alternative many-to-one 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3 pairings on both </w:t>
      </w:r>
      <w:r w:rsidRPr="008D7FF6">
        <w:rPr>
          <w:rFonts w:ascii="Palatino Linotype" w:hAnsi="Palatino Linotype" w:cs="Palatino Linotype"/>
          <w:color w:val="000000" w:themeColor="text1"/>
          <w:sz w:val="20"/>
          <w:szCs w:val="20"/>
        </w:rPr>
        <w:t>κ</w:t>
      </w:r>
      <w:r w:rsidRPr="008D7FF6">
        <w:rPr>
          <w:rFonts w:ascii="Palatino Linotype" w:hAnsi="Palatino Linotype"/>
          <w:color w:val="000000" w:themeColor="text1"/>
          <w:sz w:val="20"/>
          <w:szCs w:val="20"/>
        </w:rPr>
        <w:t xml:space="preserve"> and raw agreement (pairing-specificity test).</w:t>
      </w:r>
    </w:p>
    <w:p w14:paraId="34B50930"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H2 (target-program stratification).</w:t>
      </w:r>
      <w:r w:rsidRPr="008D7FF6">
        <w:rPr>
          <w:rFonts w:ascii="Palatino Linotype" w:hAnsi="Palatino Linotype"/>
          <w:color w:val="000000" w:themeColor="text1"/>
          <w:sz w:val="20"/>
          <w:szCs w:val="20"/>
        </w:rPr>
        <w:t xml:space="preserve"> Expression of the five mechanism-matched drug-target programs and the StM-2026-specific HDAC8</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TGF</w:t>
      </w:r>
      <w:r w:rsidRPr="008D7FF6">
        <w:rPr>
          <w:rFonts w:ascii="Palatino Linotype" w:hAnsi="Palatino Linotype" w:cs="Palatino Linotype"/>
          <w:color w:val="000000" w:themeColor="text1"/>
          <w:sz w:val="20"/>
          <w:szCs w:val="20"/>
        </w:rPr>
        <w:t>β</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EMT resistance program differs significantly across Nassiri molecular subgroups after Benjamini</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Hochberg FDR (BH-FDR; </w:t>
      </w:r>
      <w:r w:rsidRPr="008D7FF6">
        <w:rPr>
          <w:rFonts w:ascii="Palatino Linotype" w:hAnsi="Palatino Linotype" w:cs="Palatino Linotype"/>
          <w:color w:val="000000" w:themeColor="text1"/>
          <w:sz w:val="20"/>
          <w:szCs w:val="20"/>
        </w:rPr>
        <w:t>α</w:t>
      </w:r>
      <w:r w:rsidRPr="008D7FF6">
        <w:rPr>
          <w:rFonts w:ascii="Palatino Linotype" w:hAnsi="Palatino Linotype"/>
          <w:color w:val="000000" w:themeColor="text1"/>
          <w:sz w:val="20"/>
          <w:szCs w:val="20"/>
        </w:rPr>
        <w:t xml:space="preserve"> = 0.10) applied across the full program </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 subgroup family, and this difference is not explained by WHO grade alone (grade-adjusted conditional F-test).</w:t>
      </w:r>
    </w:p>
    <w:p w14:paraId="202E5406"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H3 (NF2 CNA-loss proxy association).</w:t>
      </w:r>
      <w:r w:rsidRPr="008D7FF6">
        <w:rPr>
          <w:rFonts w:ascii="Palatino Linotype" w:hAnsi="Palatino Linotype"/>
          <w:color w:val="000000" w:themeColor="text1"/>
          <w:sz w:val="20"/>
          <w:szCs w:val="20"/>
        </w:rPr>
        <w:t xml:space="preserve"> Target-program z-scores differ between samples classified as NF2 Intact vs NF2 Mutant/Loss by a GISTIC-derived copy-number-loss proxy (nf2_cna_loss_proxy), with BH-FDR at α = 0.10 across the five-program H3 family. The proxy is explicitly labelled a </w:t>
      </w:r>
      <w:r w:rsidRPr="008D7FF6">
        <w:rPr>
          <w:rFonts w:ascii="Palatino Linotype" w:hAnsi="Palatino Linotype"/>
          <w:i/>
          <w:iCs/>
          <w:color w:val="000000" w:themeColor="text1"/>
          <w:sz w:val="20"/>
          <w:szCs w:val="20"/>
        </w:rPr>
        <w:t>structural proxy</w:t>
      </w:r>
      <w:r w:rsidRPr="008D7FF6">
        <w:rPr>
          <w:rFonts w:ascii="Palatino Linotype" w:hAnsi="Palatino Linotype"/>
          <w:color w:val="000000" w:themeColor="text1"/>
          <w:sz w:val="20"/>
          <w:szCs w:val="20"/>
        </w:rPr>
        <w:t>, not a definitive biallelic-inactivation call (Methods and Limitations).</w:t>
      </w:r>
    </w:p>
    <w:p w14:paraId="2C5A3F00"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H4 (external replication).</w:t>
      </w:r>
      <w:r w:rsidRPr="008D7FF6">
        <w:rPr>
          <w:rFonts w:ascii="Palatino Linotype" w:hAnsi="Palatino Linotype"/>
          <w:color w:val="000000" w:themeColor="text1"/>
          <w:sz w:val="20"/>
          <w:szCs w:val="20"/>
        </w:rPr>
        <w:t xml:space="preserve"> Directional concordance of subgroup × program associations discovered in the Nassiri discovery cohort will be assessed in at least one independent public expression cohort with verified subgroup metadata. </w:t>
      </w:r>
      <w:r w:rsidRPr="008D7FF6">
        <w:rPr>
          <w:rFonts w:ascii="Palatino Linotype" w:hAnsi="Palatino Linotype"/>
          <w:b/>
          <w:bCs/>
          <w:color w:val="000000" w:themeColor="text1"/>
          <w:sz w:val="20"/>
          <w:szCs w:val="20"/>
        </w:rPr>
        <w:t>Pre-specified contingency:</w:t>
      </w:r>
      <w:r w:rsidRPr="008D7FF6">
        <w:rPr>
          <w:rFonts w:ascii="Palatino Linotype" w:hAnsi="Palatino Linotype"/>
          <w:color w:val="000000" w:themeColor="text1"/>
          <w:sz w:val="20"/>
          <w:szCs w:val="20"/>
        </w:rPr>
        <w:t xml:space="preserve"> if no independent cohort carries both expression and verified subgroup labels, H4 is declared </w:t>
      </w:r>
      <w:r w:rsidRPr="008D7FF6">
        <w:rPr>
          <w:rFonts w:ascii="Palatino Linotype" w:hAnsi="Palatino Linotype"/>
          <w:i/>
          <w:iCs/>
          <w:color w:val="000000" w:themeColor="text1"/>
          <w:sz w:val="20"/>
          <w:szCs w:val="20"/>
        </w:rPr>
        <w:t>not evaluable</w:t>
      </w:r>
      <w:r w:rsidRPr="008D7FF6">
        <w:rPr>
          <w:rFonts w:ascii="Palatino Linotype" w:hAnsi="Palatino Linotype"/>
          <w:color w:val="000000" w:themeColor="text1"/>
          <w:sz w:val="20"/>
          <w:szCs w:val="20"/>
        </w:rPr>
        <w:t xml:space="preserve"> rather than imputed.</w:t>
      </w:r>
    </w:p>
    <w:p w14:paraId="1D2FAE28"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H5 (exploratory recurrence-free survival, hypothesis-generating only).</w:t>
      </w:r>
      <w:r w:rsidRPr="008D7FF6">
        <w:rPr>
          <w:rFonts w:ascii="Palatino Linotype" w:hAnsi="Palatino Linotype"/>
          <w:color w:val="000000" w:themeColor="text1"/>
          <w:sz w:val="20"/>
          <w:szCs w:val="20"/>
        </w:rPr>
        <w:t xml:space="preserve"> Where and only where ≥ 20 first-recurrence events with a time-to-event variable are available, a grade- and NF2-adjusted Cox PH model of RFS on program-score high/low median split is pre-specified. H5 is never used to support primary causal claims; if event/time metadata are not deposited, H5 is declared </w:t>
      </w:r>
      <w:r w:rsidRPr="008D7FF6">
        <w:rPr>
          <w:rFonts w:ascii="Palatino Linotype" w:hAnsi="Palatino Linotype"/>
          <w:i/>
          <w:iCs/>
          <w:color w:val="000000" w:themeColor="text1"/>
          <w:sz w:val="20"/>
          <w:szCs w:val="20"/>
        </w:rPr>
        <w:t>not evaluable</w:t>
      </w:r>
      <w:r w:rsidRPr="008D7FF6">
        <w:rPr>
          <w:rFonts w:ascii="Palatino Linotype" w:hAnsi="Palatino Linotype"/>
          <w:color w:val="000000" w:themeColor="text1"/>
          <w:sz w:val="20"/>
          <w:szCs w:val="20"/>
        </w:rPr>
        <w:t>.</w:t>
      </w:r>
    </w:p>
    <w:p w14:paraId="4938EF20"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08DB30B5">
          <v:rect id="_x0000_i1028" style="width:0;height:1.5pt" o:hralign="center" o:hrstd="t" o:hr="t"/>
        </w:pict>
      </w:r>
    </w:p>
    <w:p w14:paraId="283A7A1D" w14:textId="77777777" w:rsidR="00623F9F" w:rsidRPr="008D7FF6" w:rsidRDefault="00000000">
      <w:pPr>
        <w:pStyle w:val="Heading1"/>
        <w:rPr>
          <w:rFonts w:ascii="Palatino Linotype" w:hAnsi="Palatino Linotype"/>
          <w:color w:val="000000" w:themeColor="text1"/>
          <w:sz w:val="20"/>
          <w:szCs w:val="20"/>
        </w:rPr>
      </w:pPr>
      <w:bookmarkStart w:id="4" w:name="results"/>
      <w:bookmarkEnd w:id="2"/>
      <w:bookmarkEnd w:id="3"/>
      <w:r w:rsidRPr="008D7FF6">
        <w:rPr>
          <w:rFonts w:ascii="Palatino Linotype" w:hAnsi="Palatino Linotype"/>
          <w:color w:val="000000" w:themeColor="text1"/>
          <w:sz w:val="20"/>
          <w:szCs w:val="20"/>
        </w:rPr>
        <w:t>2. Results</w:t>
      </w:r>
    </w:p>
    <w:p w14:paraId="666B7C0E" w14:textId="77777777" w:rsidR="00623F9F" w:rsidRPr="008D7FF6" w:rsidRDefault="00000000">
      <w:pPr>
        <w:pStyle w:val="Heading2"/>
        <w:rPr>
          <w:rFonts w:ascii="Palatino Linotype" w:hAnsi="Palatino Linotype"/>
          <w:color w:val="000000" w:themeColor="text1"/>
          <w:sz w:val="20"/>
          <w:szCs w:val="20"/>
        </w:rPr>
      </w:pPr>
      <w:bookmarkStart w:id="5" w:name="X1960e7e59e7356e86f61085d53f9f4625c5af7c"/>
      <w:r w:rsidRPr="008D7FF6">
        <w:rPr>
          <w:rFonts w:ascii="Palatino Linotype" w:hAnsi="Palatino Linotype"/>
          <w:color w:val="000000" w:themeColor="text1"/>
          <w:sz w:val="20"/>
          <w:szCs w:val="20"/>
        </w:rPr>
        <w:t>2.1 Aim 0: Cohort data completeness and hypothesis evaluability</w:t>
      </w:r>
    </w:p>
    <w:p w14:paraId="448316E7"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Cohort accessions and metadata completeness were locked before any statistical testing (Aim 0; </w:t>
      </w:r>
      <w:r w:rsidRPr="008D7FF6">
        <w:rPr>
          <w:rStyle w:val="VerbatimChar"/>
          <w:rFonts w:ascii="Palatino Linotype" w:hAnsi="Palatino Linotype"/>
          <w:color w:val="000000" w:themeColor="text1"/>
          <w:sz w:val="20"/>
          <w:szCs w:val="20"/>
        </w:rPr>
        <w:t>results/tables/aim0_cohort_</w:t>
      </w:r>
      <w:proofErr w:type="gramStart"/>
      <w:r w:rsidRPr="008D7FF6">
        <w:rPr>
          <w:rStyle w:val="VerbatimChar"/>
          <w:rFonts w:ascii="Palatino Linotype" w:hAnsi="Palatino Linotype"/>
          <w:color w:val="000000" w:themeColor="text1"/>
          <w:sz w:val="20"/>
          <w:szCs w:val="20"/>
        </w:rPr>
        <w:t>lock.*</w:t>
      </w:r>
      <w:proofErr w:type="gramEnd"/>
      <w:r w:rsidRPr="008D7FF6">
        <w:rPr>
          <w:rFonts w:ascii="Palatino Linotype" w:hAnsi="Palatino Linotype"/>
          <w:color w:val="000000" w:themeColor="text1"/>
          <w:sz w:val="20"/>
          <w:szCs w:val="20"/>
        </w:rPr>
        <w:t xml:space="preserve">). The Nassiri 2021 discovery backbone comprised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121 samples with complete 4-group labels, WHO grade, and nf2_cna_loss_proxy variables on cBioPortal </w:t>
      </w:r>
      <w:r w:rsidRPr="008D7FF6">
        <w:rPr>
          <w:rStyle w:val="VerbatimChar"/>
          <w:rFonts w:ascii="Palatino Linotype" w:hAnsi="Palatino Linotype"/>
          <w:color w:val="000000" w:themeColor="text1"/>
          <w:sz w:val="20"/>
          <w:szCs w:val="20"/>
        </w:rPr>
        <w:t>mng_utoronto_2021</w:t>
      </w:r>
      <w:r w:rsidRPr="008D7FF6">
        <w:rPr>
          <w:rFonts w:ascii="Palatino Linotype" w:hAnsi="Palatino Linotype"/>
          <w:color w:val="000000" w:themeColor="text1"/>
          <w:sz w:val="20"/>
          <w:szCs w:val="20"/>
        </w:rPr>
        <w:t xml:space="preserve"> (121/185 paper samples available on the processed open-access portal entry). Group distribution: Immunogenic 17, MG2 32, hypermetabolic 43, proliferative 29. nf2_cna_loss_proxy: Intact 37 (30.6%), Mutant/Loss 84 (69.4%). Critically, the Immunogenic (MG1) subset showed 0/17 NF2-Intact calls (100% CNA-loss proxy), directionally consistent with the literature claim of “invariable biallelic NF2 inactivation” for this group, while MG2 showed 27/32 (84.4%) Intact, consistent with the NF2-wildtype benign designation [</w:t>
      </w:r>
      <w:hyperlink w:anchor="ref-nassiri2021multiomic">
        <w:r w:rsidRPr="008D7FF6">
          <w:rPr>
            <w:rStyle w:val="Hyperlink"/>
            <w:rFonts w:ascii="Palatino Linotype" w:hAnsi="Palatino Linotype"/>
            <w:color w:val="000000" w:themeColor="text1"/>
            <w:sz w:val="20"/>
            <w:szCs w:val="20"/>
          </w:rPr>
          <w:t>5</w:t>
        </w:r>
      </w:hyperlink>
      <w:r w:rsidRPr="008D7FF6">
        <w:rPr>
          <w:rFonts w:ascii="Palatino Linotype" w:hAnsi="Palatino Linotype"/>
          <w:color w:val="000000" w:themeColor="text1"/>
          <w:sz w:val="20"/>
          <w:szCs w:val="20"/>
        </w:rPr>
        <w:t xml:space="preserve">, </w:t>
      </w:r>
      <w:hyperlink w:anchor="ref-sahm2017dna">
        <w:r w:rsidRPr="008D7FF6">
          <w:rPr>
            <w:rStyle w:val="Hyperlink"/>
            <w:rFonts w:ascii="Palatino Linotype" w:hAnsi="Palatino Linotype"/>
            <w:color w:val="000000" w:themeColor="text1"/>
            <w:sz w:val="20"/>
            <w:szCs w:val="20"/>
          </w:rPr>
          <w:t>8</w:t>
        </w:r>
      </w:hyperlink>
      <w:r w:rsidRPr="008D7FF6">
        <w:rPr>
          <w:rFonts w:ascii="Palatino Linotype" w:hAnsi="Palatino Linotype"/>
          <w:color w:val="000000" w:themeColor="text1"/>
          <w:sz w:val="20"/>
          <w:szCs w:val="20"/>
        </w:rPr>
        <w:t>].</w:t>
      </w:r>
    </w:p>
    <w:p w14:paraId="74127262"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Three replication GEO cohorts (GSE136661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160; GSE77259; GSE94474) carried WHO grade and age/sex metadata but 0% subgroup and 0% NF2-status coverage on GSM-level SOFT inspection; Bi-lab </w:t>
      </w:r>
      <w:r w:rsidRPr="008D7FF6">
        <w:rPr>
          <w:rFonts w:ascii="Palatino Linotype" w:hAnsi="Palatino Linotype"/>
          <w:color w:val="000000" w:themeColor="text1"/>
          <w:sz w:val="20"/>
          <w:szCs w:val="20"/>
        </w:rPr>
        <w:lastRenderedPageBreak/>
        <w:t>GSE212666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302 validation RNA-seq) carried 0% phenotype metadata (tissue only). H4 and H5 were therefore declared </w:t>
      </w:r>
      <w:r w:rsidRPr="008D7FF6">
        <w:rPr>
          <w:rFonts w:ascii="Palatino Linotype" w:hAnsi="Palatino Linotype"/>
          <w:i/>
          <w:iCs/>
          <w:color w:val="000000" w:themeColor="text1"/>
          <w:sz w:val="20"/>
          <w:szCs w:val="20"/>
        </w:rPr>
        <w:t>not evaluable</w:t>
      </w:r>
      <w:r w:rsidRPr="008D7FF6">
        <w:rPr>
          <w:rFonts w:ascii="Palatino Linotype" w:hAnsi="Palatino Linotype"/>
          <w:color w:val="000000" w:themeColor="text1"/>
          <w:sz w:val="20"/>
          <w:szCs w:val="20"/>
        </w:rPr>
        <w:t xml:space="preserve"> pre-analysis per Aim 0 lock (full status: Supp Table S0 / </w:t>
      </w:r>
      <w:r w:rsidRPr="008D7FF6">
        <w:rPr>
          <w:rStyle w:val="VerbatimChar"/>
          <w:rFonts w:ascii="Palatino Linotype" w:hAnsi="Palatino Linotype"/>
          <w:color w:val="000000" w:themeColor="text1"/>
          <w:sz w:val="20"/>
          <w:szCs w:val="20"/>
        </w:rPr>
        <w:t>aim0_cohort_status_report.txt</w:t>
      </w:r>
      <w:r w:rsidRPr="008D7FF6">
        <w:rPr>
          <w:rFonts w:ascii="Palatino Linotype" w:hAnsi="Palatino Linotype"/>
          <w:color w:val="000000" w:themeColor="text1"/>
          <w:sz w:val="20"/>
          <w:szCs w:val="20"/>
        </w:rPr>
        <w:t>).</w:t>
      </w:r>
    </w:p>
    <w:p w14:paraId="02BB0AF9" w14:textId="77777777" w:rsidR="00623F9F" w:rsidRPr="008D7FF6" w:rsidRDefault="00000000">
      <w:pPr>
        <w:pStyle w:val="Heading2"/>
        <w:rPr>
          <w:rFonts w:ascii="Palatino Linotype" w:hAnsi="Palatino Linotype"/>
          <w:color w:val="000000" w:themeColor="text1"/>
          <w:sz w:val="20"/>
          <w:szCs w:val="20"/>
        </w:rPr>
      </w:pPr>
      <w:bookmarkStart w:id="6" w:name="X26c497a192f185c13bae09f9ee62ac75f0f2be9"/>
      <w:bookmarkEnd w:id="5"/>
      <w:r w:rsidRPr="008D7FF6">
        <w:rPr>
          <w:rFonts w:ascii="Palatino Linotype" w:hAnsi="Palatino Linotype"/>
          <w:color w:val="000000" w:themeColor="text1"/>
          <w:sz w:val="20"/>
          <w:szCs w:val="20"/>
        </w:rPr>
        <w:t>2.2 H1 — Classifier concordance and pairing-specificity falsifiability</w:t>
      </w:r>
    </w:p>
    <w:p w14:paraId="5CA09F30"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The Bi-lab 3-group labels for Nassiri samples were derived via a Ridge-penalised multinomial bridging classifier trained on the GSE183653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185 Bi-lab discovery TPM matrix (2,000 most variably expressed genes, standardised on training set only; Methods). Leave-one-out cross-validation (LOOCV) on the training set yielded accuracy 93.0% (κ = 0.894), with per-class recall: Merlin-intact 0.958, Immune-enriched 0.867, Hypermitotic 0.962 (Supp </w:t>
      </w:r>
      <w:r w:rsidRPr="008D7FF6">
        <w:rPr>
          <w:rStyle w:val="VerbatimChar"/>
          <w:rFonts w:ascii="Palatino Linotype" w:hAnsi="Palatino Linotype"/>
          <w:color w:val="000000" w:themeColor="text1"/>
          <w:sz w:val="20"/>
          <w:szCs w:val="20"/>
        </w:rPr>
        <w:t>cv_metrics_ridge.csv</w:t>
      </w:r>
      <w:r w:rsidRPr="008D7FF6">
        <w:rPr>
          <w:rFonts w:ascii="Palatino Linotype" w:hAnsi="Palatino Linotype"/>
          <w:color w:val="000000" w:themeColor="text1"/>
          <w:sz w:val="20"/>
          <w:szCs w:val="20"/>
        </w:rPr>
        <w:t xml:space="preserve">). Predicted 3-group distribution on Nassiri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121: Hypermitotic 45, Immune-enriched 37, Merlin-intact 39.</w:t>
      </w:r>
    </w:p>
    <w:p w14:paraId="1907DF24"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Raw 4×3 cross-tabulation</w:t>
      </w:r>
      <w:r w:rsidRPr="008D7FF6">
        <w:rPr>
          <w:rFonts w:ascii="Palatino Linotype" w:hAnsi="Palatino Linotype"/>
          <w:color w:val="000000" w:themeColor="text1"/>
          <w:sz w:val="20"/>
          <w:szCs w:val="20"/>
        </w:rPr>
        <w:t xml:space="preserve"> (Nassiri native groups × predicted Bi groups) is shown in Table 1 (full counts and row-percentages in Supp Table S1). Raw association on the full 4×3 space: χ</w:t>
      </w:r>
      <w:proofErr w:type="gramStart"/>
      <w:r w:rsidRPr="008D7FF6">
        <w:rPr>
          <w:rFonts w:ascii="Palatino Linotype" w:hAnsi="Palatino Linotype"/>
          <w:color w:val="000000" w:themeColor="text1"/>
          <w:sz w:val="20"/>
          <w:szCs w:val="20"/>
        </w:rPr>
        <w:t>²(</w:t>
      </w:r>
      <w:proofErr w:type="gramEnd"/>
      <w:r w:rsidRPr="008D7FF6">
        <w:rPr>
          <w:rFonts w:ascii="Palatino Linotype" w:hAnsi="Palatino Linotype"/>
          <w:color w:val="000000" w:themeColor="text1"/>
          <w:sz w:val="20"/>
          <w:szCs w:val="20"/>
        </w:rPr>
        <w:t xml:space="preserve">6 df) = 99.58,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&lt; 1 × 10⁻¹⁶, Cramér’s V = 0.641, confirming strong cross-structure dependence before any label projection.</w:t>
      </w:r>
    </w:p>
    <w:p w14:paraId="5E08255E"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Mapped 3×3 Cohen’s κ:</w:t>
      </w:r>
      <w:r w:rsidRPr="008D7FF6">
        <w:rPr>
          <w:rFonts w:ascii="Palatino Linotype" w:hAnsi="Palatino Linotype"/>
          <w:color w:val="000000" w:themeColor="text1"/>
          <w:sz w:val="20"/>
          <w:szCs w:val="20"/>
        </w:rPr>
        <w:t xml:space="preserve"> after projecting Nassiri labels onto the Bi label space via the pre-registered mapping </w:t>
      </w:r>
      <w:r w:rsidRPr="008D7FF6">
        <w:rPr>
          <w:rStyle w:val="VerbatimChar"/>
          <w:rFonts w:ascii="Palatino Linotype" w:hAnsi="Palatino Linotype"/>
          <w:color w:val="000000" w:themeColor="text1"/>
          <w:sz w:val="20"/>
          <w:szCs w:val="20"/>
        </w:rPr>
        <w:t xml:space="preserve">{Immunogenic </w:t>
      </w:r>
      <w:r w:rsidRPr="008D7FF6">
        <w:rPr>
          <w:rStyle w:val="VerbatimChar"/>
          <w:rFonts w:ascii="Times New Roman" w:hAnsi="Times New Roman" w:cs="Times New Roman"/>
          <w:color w:val="000000" w:themeColor="text1"/>
          <w:sz w:val="20"/>
          <w:szCs w:val="20"/>
        </w:rPr>
        <w:t>→</w:t>
      </w:r>
      <w:r w:rsidRPr="008D7FF6">
        <w:rPr>
          <w:rStyle w:val="VerbatimChar"/>
          <w:rFonts w:ascii="Palatino Linotype" w:hAnsi="Palatino Linotype"/>
          <w:color w:val="000000" w:themeColor="text1"/>
          <w:sz w:val="20"/>
          <w:szCs w:val="20"/>
        </w:rPr>
        <w:t xml:space="preserve"> Immune-enriched, MG2 </w:t>
      </w:r>
      <w:r w:rsidRPr="008D7FF6">
        <w:rPr>
          <w:rStyle w:val="VerbatimChar"/>
          <w:rFonts w:ascii="Times New Roman" w:hAnsi="Times New Roman" w:cs="Times New Roman"/>
          <w:color w:val="000000" w:themeColor="text1"/>
          <w:sz w:val="20"/>
          <w:szCs w:val="20"/>
        </w:rPr>
        <w:t>→</w:t>
      </w:r>
      <w:r w:rsidRPr="008D7FF6">
        <w:rPr>
          <w:rStyle w:val="VerbatimChar"/>
          <w:rFonts w:ascii="Palatino Linotype" w:hAnsi="Palatino Linotype"/>
          <w:color w:val="000000" w:themeColor="text1"/>
          <w:sz w:val="20"/>
          <w:szCs w:val="20"/>
        </w:rPr>
        <w:t xml:space="preserve"> Merlin-intact, hypermetabolic </w:t>
      </w:r>
      <w:r w:rsidRPr="008D7FF6">
        <w:rPr>
          <w:rStyle w:val="VerbatimChar"/>
          <w:rFonts w:ascii="Times New Roman" w:hAnsi="Times New Roman" w:cs="Times New Roman"/>
          <w:color w:val="000000" w:themeColor="text1"/>
          <w:sz w:val="20"/>
          <w:szCs w:val="20"/>
        </w:rPr>
        <w:t>→</w:t>
      </w:r>
      <w:r w:rsidRPr="008D7FF6">
        <w:rPr>
          <w:rStyle w:val="VerbatimChar"/>
          <w:rFonts w:ascii="Palatino Linotype" w:hAnsi="Palatino Linotype"/>
          <w:color w:val="000000" w:themeColor="text1"/>
          <w:sz w:val="20"/>
          <w:szCs w:val="20"/>
        </w:rPr>
        <w:t xml:space="preserve"> Hypermitotic, proliferative </w:t>
      </w:r>
      <w:r w:rsidRPr="008D7FF6">
        <w:rPr>
          <w:rStyle w:val="VerbatimChar"/>
          <w:rFonts w:ascii="Times New Roman" w:hAnsi="Times New Roman" w:cs="Times New Roman"/>
          <w:color w:val="000000" w:themeColor="text1"/>
          <w:sz w:val="20"/>
          <w:szCs w:val="20"/>
        </w:rPr>
        <w:t>→</w:t>
      </w:r>
      <w:r w:rsidRPr="008D7FF6">
        <w:rPr>
          <w:rStyle w:val="VerbatimChar"/>
          <w:rFonts w:ascii="Palatino Linotype" w:hAnsi="Palatino Linotype"/>
          <w:color w:val="000000" w:themeColor="text1"/>
          <w:sz w:val="20"/>
          <w:szCs w:val="20"/>
        </w:rPr>
        <w:t xml:space="preserve"> Hypermitotic}</w:t>
      </w:r>
      <w:r w:rsidRPr="008D7FF6">
        <w:rPr>
          <w:rFonts w:ascii="Palatino Linotype" w:hAnsi="Palatino Linotype"/>
          <w:color w:val="000000" w:themeColor="text1"/>
          <w:sz w:val="20"/>
          <w:szCs w:val="20"/>
        </w:rPr>
        <w:t xml:space="preserve">, agreement on the resulting 3×3 shared-space table was moderate-to-substantial and highly significant: κ = 0.568 (95% CI computed via statsmodels </w:t>
      </w:r>
      <w:r w:rsidRPr="008D7FF6">
        <w:rPr>
          <w:rStyle w:val="VerbatimChar"/>
          <w:rFonts w:ascii="Palatino Linotype" w:hAnsi="Palatino Linotype"/>
          <w:color w:val="000000" w:themeColor="text1"/>
          <w:sz w:val="20"/>
          <w:szCs w:val="20"/>
        </w:rPr>
        <w:t>cohens_kappa</w:t>
      </w:r>
      <w:r w:rsidRPr="008D7FF6">
        <w:rPr>
          <w:rFonts w:ascii="Palatino Linotype" w:hAnsi="Palatino Linotype"/>
          <w:color w:val="000000" w:themeColor="text1"/>
          <w:sz w:val="20"/>
          <w:szCs w:val="20"/>
        </w:rPr>
        <w:t xml:space="preserve">; asymptotic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&lt; 1 × 10⁻¹⁶; Supp Table S1).</w:t>
      </w:r>
    </w:p>
    <w:p w14:paraId="798E7750"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Pairing-specificity test.</w:t>
      </w:r>
      <w:r w:rsidRPr="008D7FF6">
        <w:rPr>
          <w:rFonts w:ascii="Palatino Linotype" w:hAnsi="Palatino Linotype"/>
          <w:color w:val="000000" w:themeColor="text1"/>
          <w:sz w:val="20"/>
          <w:szCs w:val="20"/>
        </w:rPr>
        <w:t xml:space="preserve"> To rule out the trivial explanation that “any 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3 pairing works</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 the true mapping was scored against the full enumeration of 11 alternative pairings that also route exactly two Nassiri groups into the Hypermitotic bin and the remaining two as singletons (6 choices of merge-pair × 2! singleton permutations = 12 total; Table 2, Supp Table S1b). The true mapping ranked </w:t>
      </w:r>
      <w:r w:rsidRPr="008D7FF6">
        <w:rPr>
          <w:rFonts w:ascii="Palatino Linotype" w:hAnsi="Palatino Linotype"/>
          <w:b/>
          <w:bCs/>
          <w:color w:val="000000" w:themeColor="text1"/>
          <w:sz w:val="20"/>
          <w:szCs w:val="20"/>
        </w:rPr>
        <w:t>#1 of 12</w:t>
      </w:r>
      <w:r w:rsidRPr="008D7FF6">
        <w:rPr>
          <w:rFonts w:ascii="Palatino Linotype" w:hAnsi="Palatino Linotype"/>
          <w:color w:val="000000" w:themeColor="text1"/>
          <w:sz w:val="20"/>
          <w:szCs w:val="20"/>
        </w:rPr>
        <w:t xml:space="preserve"> by both κ and raw agreement (71.9%). Key contrasts against adversarial alternatives:</w:t>
      </w:r>
    </w:p>
    <w:p w14:paraId="6984350A" w14:textId="77777777" w:rsidR="00623F9F" w:rsidRPr="008D7FF6" w:rsidRDefault="00000000">
      <w:pPr>
        <w:pStyle w:val="Compact"/>
        <w:numPr>
          <w:ilvl w:val="0"/>
          <w:numId w:val="2"/>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Δκ vs the best-performing wrong pairing = +0.302 (true κ = 0.568 vs best-alt κ = 0.266).</w:t>
      </w:r>
    </w:p>
    <w:p w14:paraId="0FF3BFF0" w14:textId="77777777" w:rsidR="00623F9F" w:rsidRPr="008D7FF6" w:rsidRDefault="00000000">
      <w:pPr>
        <w:pStyle w:val="Compact"/>
        <w:numPr>
          <w:ilvl w:val="0"/>
          <w:numId w:val="2"/>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Singleton-swap placebo (merge still correct: MG3∪MG4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Hypermitotic, but singletons swapped: MG1</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Merlin-intact, MG2</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Immune-enriched) collapsed to </w:t>
      </w:r>
      <w:r w:rsidRPr="008D7FF6">
        <w:rPr>
          <w:rFonts w:ascii="Palatino Linotype" w:hAnsi="Palatino Linotype" w:cs="Palatino Linotype"/>
          <w:color w:val="000000" w:themeColor="text1"/>
          <w:sz w:val="20"/>
          <w:szCs w:val="20"/>
        </w:rPr>
        <w:t>κ</w:t>
      </w:r>
      <w:r w:rsidRPr="008D7FF6">
        <w:rPr>
          <w:rFonts w:ascii="Palatino Linotype" w:hAnsi="Palatino Linotype"/>
          <w:color w:val="000000" w:themeColor="text1"/>
          <w:sz w:val="20"/>
          <w:szCs w:val="20"/>
        </w:rPr>
        <w:t xml:space="preserve"> = 0.050, confirming the singleton identity is non-trivially recovered.</w:t>
      </w:r>
    </w:p>
    <w:p w14:paraId="151724F8" w14:textId="77777777" w:rsidR="00623F9F" w:rsidRPr="008D7FF6" w:rsidRDefault="00000000">
      <w:pPr>
        <w:pStyle w:val="Compact"/>
        <w:numPr>
          <w:ilvl w:val="0"/>
          <w:numId w:val="2"/>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Worst wrong-merge choice (MG1∪MG2 pooled into Hypermitotic) gave κ = -0.324, confirming that the literature’s choice of </w:t>
      </w:r>
      <w:r w:rsidRPr="008D7FF6">
        <w:rPr>
          <w:rFonts w:ascii="Palatino Linotype" w:hAnsi="Palatino Linotype"/>
          <w:i/>
          <w:iCs/>
          <w:color w:val="000000" w:themeColor="text1"/>
          <w:sz w:val="20"/>
          <w:szCs w:val="20"/>
        </w:rPr>
        <w:t>which two groups pool</w:t>
      </w:r>
      <w:r w:rsidRPr="008D7FF6">
        <w:rPr>
          <w:rFonts w:ascii="Palatino Linotype" w:hAnsi="Palatino Linotype"/>
          <w:color w:val="000000" w:themeColor="text1"/>
          <w:sz w:val="20"/>
          <w:szCs w:val="20"/>
        </w:rPr>
        <w:t xml:space="preserve"> is empirically discriminable.</w:t>
      </w:r>
    </w:p>
    <w:p w14:paraId="33F1FC36" w14:textId="77777777" w:rsidR="00623F9F" w:rsidRPr="008D7FF6" w:rsidRDefault="00000000">
      <w:pPr>
        <w:pStyle w:val="Compact"/>
        <w:numPr>
          <w:ilvl w:val="0"/>
          <w:numId w:val="2"/>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Pre-specified pass criteria were </w:t>
      </w:r>
      <w:proofErr w:type="gramStart"/>
      <w:r w:rsidRPr="008D7FF6">
        <w:rPr>
          <w:rFonts w:ascii="Palatino Linotype" w:hAnsi="Palatino Linotype"/>
          <w:color w:val="000000" w:themeColor="text1"/>
          <w:sz w:val="20"/>
          <w:szCs w:val="20"/>
        </w:rPr>
        <w:t>met:</w:t>
      </w:r>
      <w:proofErr w:type="gramEnd"/>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pass_strict = True</w:t>
      </w:r>
      <w:r w:rsidRPr="008D7FF6">
        <w:rPr>
          <w:rFonts w:ascii="Palatino Linotype" w:hAnsi="Palatino Linotype"/>
          <w:color w:val="000000" w:themeColor="text1"/>
          <w:sz w:val="20"/>
          <w:szCs w:val="20"/>
        </w:rPr>
        <w:t xml:space="preserve"> (rank #1 on both κ + agreement) and </w:t>
      </w:r>
      <w:r w:rsidRPr="008D7FF6">
        <w:rPr>
          <w:rStyle w:val="VerbatimChar"/>
          <w:rFonts w:ascii="Palatino Linotype" w:hAnsi="Palatino Linotype"/>
          <w:color w:val="000000" w:themeColor="text1"/>
          <w:sz w:val="20"/>
          <w:szCs w:val="20"/>
        </w:rPr>
        <w:t>pass_any_alt = True</w:t>
      </w:r>
      <w:r w:rsidRPr="008D7FF6">
        <w:rPr>
          <w:rFonts w:ascii="Palatino Linotype" w:hAnsi="Palatino Linotype"/>
          <w:color w:val="000000" w:themeColor="text1"/>
          <w:sz w:val="20"/>
          <w:szCs w:val="20"/>
        </w:rPr>
        <w:t xml:space="preserve"> (κ &gt; all 11 alternatives).</w:t>
      </w:r>
    </w:p>
    <w:p w14:paraId="65656D58"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H1 is satisfied at both the nominal-significance and the pairing-specificity falsifiability levels.</w:t>
      </w:r>
    </w:p>
    <w:p w14:paraId="7F20BEFA" w14:textId="77777777" w:rsidR="00623F9F" w:rsidRPr="008D7FF6" w:rsidRDefault="00000000">
      <w:pPr>
        <w:pStyle w:val="TableCaption"/>
        <w:rPr>
          <w:rFonts w:ascii="Palatino Linotype" w:hAnsi="Palatino Linotype"/>
          <w:color w:val="000000" w:themeColor="text1"/>
          <w:sz w:val="20"/>
          <w:szCs w:val="20"/>
        </w:rPr>
      </w:pPr>
      <w:bookmarkStart w:id="7" w:name="tab:table1"/>
      <w:bookmarkEnd w:id="7"/>
      <w:r w:rsidRPr="008D7FF6">
        <w:rPr>
          <w:rFonts w:ascii="Palatino Linotype" w:hAnsi="Palatino Linotype"/>
          <w:color w:val="000000" w:themeColor="text1"/>
          <w:sz w:val="20"/>
          <w:szCs w:val="20"/>
        </w:rPr>
        <w:t>Table 1: H1 4×3 cross-tabulation counts (Nassiri group × predicted Bi group; N = 121). Nassiri native 4-group labels (rows) × Bi 3-group labels projected via Ridge bridging classifier on Nassiri TPM (columns). Full row-percentages and statistical metrics in Supp Table S1.</w:t>
      </w:r>
    </w:p>
    <w:tbl>
      <w:tblPr>
        <w:tblStyle w:val="Table"/>
        <w:tblW w:w="0" w:type="pct"/>
        <w:jc w:val="center"/>
        <w:tblLook w:val="0420" w:firstRow="1" w:lastRow="0" w:firstColumn="0" w:lastColumn="0" w:noHBand="0" w:noVBand="1"/>
      </w:tblPr>
      <w:tblGrid>
        <w:gridCol w:w="1596"/>
        <w:gridCol w:w="1428"/>
        <w:gridCol w:w="1850"/>
        <w:gridCol w:w="1416"/>
        <w:gridCol w:w="1092"/>
      </w:tblGrid>
      <w:tr w:rsidR="00623F9F" w:rsidRPr="008D7FF6" w14:paraId="77920745" w14:textId="77777777" w:rsidTr="00623F9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264B803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Nassiri group</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3983BB7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Hypermitotic</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DBAADA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Immune-enriched</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4DA3A93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Merlin-intact</w:t>
            </w:r>
          </w:p>
        </w:tc>
        <w:tc>
          <w:tcPr>
            <w:tcW w:w="0" w:type="auto"/>
            <w:tcBorders>
              <w:top w:val="single" w:sz="6"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1A9F97D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Row total</w:t>
            </w:r>
          </w:p>
        </w:tc>
      </w:tr>
      <w:tr w:rsidR="00623F9F" w:rsidRPr="008D7FF6" w14:paraId="31E6C09D" w14:textId="77777777" w:rsidTr="00623F9F">
        <w:trPr>
          <w:jc w:val="center"/>
        </w:trPr>
        <w:tc>
          <w:tcPr>
            <w:tcW w:w="0" w:type="auto"/>
            <w:tcBorders>
              <w:top w:val="single" w:sz="6"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82DEA4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Immunogenic</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481D50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3D7281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17</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029E86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w:t>
            </w:r>
          </w:p>
        </w:tc>
        <w:tc>
          <w:tcPr>
            <w:tcW w:w="0" w:type="auto"/>
            <w:tcBorders>
              <w:top w:val="single" w:sz="6"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22C670E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17</w:t>
            </w:r>
          </w:p>
        </w:tc>
      </w:tr>
      <w:tr w:rsidR="00623F9F" w:rsidRPr="008D7FF6" w14:paraId="1C0C157D"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C78075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MG2</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3BDCF2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3C0B01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3</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230EAB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27</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39A8CEA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32</w:t>
            </w:r>
          </w:p>
        </w:tc>
      </w:tr>
      <w:tr w:rsidR="00623F9F" w:rsidRPr="008D7FF6" w14:paraId="71B36F03"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6A120D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hypermetabolic</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E74EBE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21</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68B186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13</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133B0D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9</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7714BD6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43</w:t>
            </w:r>
          </w:p>
        </w:tc>
      </w:tr>
      <w:tr w:rsidR="00623F9F" w:rsidRPr="008D7FF6" w14:paraId="048FBD04"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BB6A85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lastRenderedPageBreak/>
              <w:t>proliferative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96430B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22</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3AE085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4</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683CC0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3</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5935EB4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29</w:t>
            </w:r>
          </w:p>
        </w:tc>
      </w:tr>
      <w:tr w:rsidR="00623F9F" w:rsidRPr="008D7FF6" w14:paraId="551872E2" w14:textId="77777777" w:rsidTr="00623F9F">
        <w:trPr>
          <w:jc w:val="center"/>
        </w:trPr>
        <w:tc>
          <w:tcPr>
            <w:tcW w:w="0" w:type="auto"/>
            <w:tcBorders>
              <w:top w:val="single" w:sz="3"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1952FB1A"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Total</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1F77D43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45</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5314E53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37</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63A9973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39</w:t>
            </w:r>
          </w:p>
        </w:tc>
        <w:tc>
          <w:tcPr>
            <w:tcW w:w="0" w:type="auto"/>
            <w:tcBorders>
              <w:top w:val="single" w:sz="3"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C1BE47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121</w:t>
            </w:r>
          </w:p>
        </w:tc>
      </w:tr>
    </w:tbl>
    <w:p w14:paraId="25FC3739" w14:textId="77777777" w:rsidR="00623F9F" w:rsidRPr="008D7FF6" w:rsidRDefault="00000000">
      <w:pPr>
        <w:pStyle w:val="TableCaption"/>
        <w:rPr>
          <w:rFonts w:ascii="Palatino Linotype" w:hAnsi="Palatino Linotype"/>
          <w:color w:val="000000" w:themeColor="text1"/>
          <w:sz w:val="20"/>
          <w:szCs w:val="20"/>
        </w:rPr>
      </w:pPr>
      <w:bookmarkStart w:id="8" w:name="tab:table2"/>
      <w:bookmarkEnd w:id="8"/>
      <w:r w:rsidRPr="008D7FF6">
        <w:rPr>
          <w:rFonts w:ascii="Palatino Linotype" w:hAnsi="Palatino Linotype"/>
          <w:color w:val="000000" w:themeColor="text1"/>
          <w:sz w:val="20"/>
          <w:szCs w:val="20"/>
        </w:rPr>
        <w:t>Table 2: H1 pairing-specificity test: top and adversarial ranks among 12 enumerated 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3 pairings. All pairings route exactly two Nassiri groups into the Hypermitotic bin (merge pair) with the remaining two assigned as singletons. The literature-registered true mapping is rank #1 by both </w:t>
      </w:r>
      <w:r w:rsidRPr="008D7FF6">
        <w:rPr>
          <w:rFonts w:ascii="Palatino Linotype" w:hAnsi="Palatino Linotype" w:cs="Palatino Linotype"/>
          <w:color w:val="000000" w:themeColor="text1"/>
          <w:sz w:val="20"/>
          <w:szCs w:val="20"/>
        </w:rPr>
        <w:t>κ</w:t>
      </w:r>
      <w:r w:rsidRPr="008D7FF6">
        <w:rPr>
          <w:rFonts w:ascii="Palatino Linotype" w:hAnsi="Palatino Linotype"/>
          <w:color w:val="000000" w:themeColor="text1"/>
          <w:sz w:val="20"/>
          <w:szCs w:val="20"/>
        </w:rPr>
        <w:t xml:space="preserve"> and raw agreement. Full ranked 12-row table in Supp Table S1b.</w:t>
      </w:r>
    </w:p>
    <w:tbl>
      <w:tblPr>
        <w:tblStyle w:val="Table"/>
        <w:tblW w:w="0" w:type="pct"/>
        <w:jc w:val="center"/>
        <w:tblLook w:val="0420" w:firstRow="1" w:lastRow="0" w:firstColumn="0" w:lastColumn="0" w:noHBand="0" w:noVBand="1"/>
      </w:tblPr>
      <w:tblGrid>
        <w:gridCol w:w="725"/>
        <w:gridCol w:w="1292"/>
        <w:gridCol w:w="1703"/>
        <w:gridCol w:w="1741"/>
        <w:gridCol w:w="1754"/>
        <w:gridCol w:w="955"/>
        <w:gridCol w:w="1206"/>
      </w:tblGrid>
      <w:tr w:rsidR="00623F9F" w:rsidRPr="008D7FF6" w14:paraId="1463B3DB" w14:textId="77777777" w:rsidTr="00623F9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57DF477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Rank (κ)</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2BC6990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Is true?</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CEA26E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Merge pair</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3DE2E83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Singleton A</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44F4969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Singleton B</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643348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Cohen's κ</w:t>
            </w:r>
          </w:p>
        </w:tc>
        <w:tc>
          <w:tcPr>
            <w:tcW w:w="0" w:type="auto"/>
            <w:tcBorders>
              <w:top w:val="single" w:sz="6"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0B42953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Raw agreement</w:t>
            </w:r>
          </w:p>
        </w:tc>
      </w:tr>
      <w:tr w:rsidR="00623F9F" w:rsidRPr="008D7FF6" w14:paraId="6B418066" w14:textId="77777777" w:rsidTr="00623F9F">
        <w:trPr>
          <w:jc w:val="center"/>
        </w:trPr>
        <w:tc>
          <w:tcPr>
            <w:tcW w:w="0" w:type="auto"/>
            <w:tcBorders>
              <w:top w:val="single" w:sz="6"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FF78D9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700643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511D4A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hypermetabolic ∪ proliferative</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817940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Immunogenic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Immune-enriched</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B96EBC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MG2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Merlin-intact</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7E0B26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0.568</w:t>
            </w:r>
          </w:p>
        </w:tc>
        <w:tc>
          <w:tcPr>
            <w:tcW w:w="0" w:type="auto"/>
            <w:tcBorders>
              <w:top w:val="single" w:sz="6"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2227C87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71.9%</w:t>
            </w:r>
          </w:p>
        </w:tc>
      </w:tr>
      <w:tr w:rsidR="00623F9F" w:rsidRPr="008D7FF6" w14:paraId="26360453"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AE7B1B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59A235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54A49E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Immunogenic ∪ proliferative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E01C41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MG2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Merlin-intact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4CD51F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hypermetabolic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Immune-enriched</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3CF65B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0.266</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367E4BF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51.2%</w:t>
            </w:r>
          </w:p>
        </w:tc>
      </w:tr>
      <w:tr w:rsidR="00623F9F" w:rsidRPr="008D7FF6" w14:paraId="748133E9"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150AEB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5</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F4B255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r w:rsidRPr="008D7FF6">
              <w:rPr>
                <w:rFonts w:ascii="Palatino Linotype" w:eastAsia="Arial" w:hAnsi="Palatino Linotype" w:cs="Arial"/>
                <w:color w:val="000000" w:themeColor="text1"/>
                <w:sz w:val="20"/>
                <w:szCs w:val="20"/>
              </w:rPr>
              <w:t xml:space="preserve"> (singleton-swap placebo)</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0E3DD9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hypermetabolic ∪ proliferative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0B983B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Immunogenic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Merlin-intact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7FE39E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MG2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Immune-enriched</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F001E8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0.050</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729FB8C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38.0%</w:t>
            </w:r>
          </w:p>
        </w:tc>
      </w:tr>
      <w:tr w:rsidR="00623F9F" w:rsidRPr="008D7FF6" w14:paraId="3CC1BED8" w14:textId="77777777" w:rsidTr="00623F9F">
        <w:trPr>
          <w:jc w:val="center"/>
        </w:trPr>
        <w:tc>
          <w:tcPr>
            <w:tcW w:w="0" w:type="auto"/>
            <w:tcBorders>
              <w:top w:val="single" w:sz="3"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1BB16EB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12</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0F0A90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r w:rsidRPr="008D7FF6">
              <w:rPr>
                <w:rFonts w:ascii="Palatino Linotype" w:eastAsia="Arial" w:hAnsi="Palatino Linotype" w:cs="Arial"/>
                <w:color w:val="000000" w:themeColor="text1"/>
                <w:sz w:val="20"/>
                <w:szCs w:val="20"/>
              </w:rPr>
              <w:t xml:space="preserve"> (worst wrong merge)</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2B90A5B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Immunogenic ∪ MG2</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67323E3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hypermetabolic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Merlin-intact</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D89961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 xml:space="preserve">proliferative </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 xml:space="preserve"> Immune-enriched</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24ED04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-0.324</w:t>
            </w:r>
          </w:p>
        </w:tc>
        <w:tc>
          <w:tcPr>
            <w:tcW w:w="0" w:type="auto"/>
            <w:tcBorders>
              <w:top w:val="single" w:sz="3"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549A412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12.4%</w:t>
            </w:r>
          </w:p>
        </w:tc>
      </w:tr>
    </w:tbl>
    <w:p w14:paraId="6FC34A38" w14:textId="77777777" w:rsidR="00623F9F" w:rsidRPr="008D7FF6" w:rsidRDefault="00000000">
      <w:pPr>
        <w:pStyle w:val="Heading2"/>
        <w:rPr>
          <w:rFonts w:ascii="Palatino Linotype" w:hAnsi="Palatino Linotype"/>
          <w:color w:val="000000" w:themeColor="text1"/>
          <w:sz w:val="20"/>
          <w:szCs w:val="20"/>
        </w:rPr>
      </w:pPr>
      <w:bookmarkStart w:id="9" w:name="X638d2afec99aa5877613b5b6f9178dba9d10c3d"/>
      <w:bookmarkEnd w:id="6"/>
      <w:r w:rsidRPr="008D7FF6">
        <w:rPr>
          <w:rFonts w:ascii="Palatino Linotype" w:hAnsi="Palatino Linotype"/>
          <w:color w:val="000000" w:themeColor="text1"/>
          <w:sz w:val="20"/>
          <w:szCs w:val="20"/>
        </w:rPr>
        <w:t>2.3 H2 — Subgroup stratification (Nassiri 4-group, native labels)</w:t>
      </w:r>
    </w:p>
    <w:p w14:paraId="320339CF"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Program scores were computed via rank-based ssGSEA (α = 0.25) [</w:t>
      </w:r>
      <w:hyperlink w:anchor="ref-barbie2009systematic">
        <w:r w:rsidRPr="008D7FF6">
          <w:rPr>
            <w:rStyle w:val="Hyperlink"/>
            <w:rFonts w:ascii="Palatino Linotype" w:hAnsi="Palatino Linotype"/>
            <w:color w:val="000000" w:themeColor="text1"/>
            <w:sz w:val="20"/>
            <w:szCs w:val="20"/>
          </w:rPr>
          <w:t>9</w:t>
        </w:r>
      </w:hyperlink>
      <w:r w:rsidRPr="008D7FF6">
        <w:rPr>
          <w:rFonts w:ascii="Palatino Linotype" w:hAnsi="Palatino Linotype"/>
          <w:color w:val="000000" w:themeColor="text1"/>
          <w:sz w:val="20"/>
          <w:szCs w:val="20"/>
        </w:rPr>
        <w:t xml:space="preserve">, </w:t>
      </w:r>
      <w:hyperlink w:anchor="ref-subramanian2005gene">
        <w:r w:rsidRPr="008D7FF6">
          <w:rPr>
            <w:rStyle w:val="Hyperlink"/>
            <w:rFonts w:ascii="Palatino Linotype" w:hAnsi="Palatino Linotype"/>
            <w:color w:val="000000" w:themeColor="text1"/>
            <w:sz w:val="20"/>
            <w:szCs w:val="20"/>
          </w:rPr>
          <w:t>10</w:t>
        </w:r>
      </w:hyperlink>
      <w:r w:rsidRPr="008D7FF6">
        <w:rPr>
          <w:rFonts w:ascii="Palatino Linotype" w:hAnsi="Palatino Linotype"/>
          <w:color w:val="000000" w:themeColor="text1"/>
          <w:sz w:val="20"/>
          <w:szCs w:val="20"/>
        </w:rPr>
        <w:t xml:space="preserve">] and z-transformed per program. </w:t>
      </w:r>
      <w:r w:rsidRPr="008D7FF6">
        <w:rPr>
          <w:rFonts w:ascii="Palatino Linotype" w:hAnsi="Palatino Linotype"/>
          <w:b/>
          <w:bCs/>
          <w:color w:val="000000" w:themeColor="text1"/>
          <w:sz w:val="20"/>
          <w:szCs w:val="20"/>
        </w:rPr>
        <w:t>Kruskal–</w:t>
      </w:r>
      <w:proofErr w:type="gramStart"/>
      <w:r w:rsidRPr="008D7FF6">
        <w:rPr>
          <w:rFonts w:ascii="Palatino Linotype" w:hAnsi="Palatino Linotype"/>
          <w:b/>
          <w:bCs/>
          <w:color w:val="000000" w:themeColor="text1"/>
          <w:sz w:val="20"/>
          <w:szCs w:val="20"/>
        </w:rPr>
        <w:t>Wallis</w:t>
      </w:r>
      <w:proofErr w:type="gramEnd"/>
      <w:r w:rsidRPr="008D7FF6">
        <w:rPr>
          <w:rFonts w:ascii="Palatino Linotype" w:hAnsi="Palatino Linotype"/>
          <w:b/>
          <w:bCs/>
          <w:color w:val="000000" w:themeColor="text1"/>
          <w:sz w:val="20"/>
          <w:szCs w:val="20"/>
        </w:rPr>
        <w:t xml:space="preserve"> omnibus tests across the four Nassiri groups, with BH-FDR applied across the full 5-program H2 family (α = 0.10), rejected for all five programs</w:t>
      </w:r>
      <w:r w:rsidRPr="008D7FF6">
        <w:rPr>
          <w:rFonts w:ascii="Palatino Linotype" w:hAnsi="Palatino Linotype"/>
          <w:color w:val="000000" w:themeColor="text1"/>
          <w:sz w:val="20"/>
          <w:szCs w:val="20"/>
        </w:rPr>
        <w:t xml:space="preserve"> (Table 3):</w:t>
      </w:r>
    </w:p>
    <w:p w14:paraId="40CD9098"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Pairwise Mann–Whitney U tests</w:t>
      </w:r>
      <w:r w:rsidRPr="008D7FF6">
        <w:rPr>
          <w:rFonts w:ascii="Palatino Linotype" w:hAnsi="Palatino Linotype"/>
          <w:color w:val="000000" w:themeColor="text1"/>
          <w:sz w:val="20"/>
          <w:szCs w:val="20"/>
        </w:rPr>
        <w:t xml:space="preserve"> with per-program BH-FDR (full results in Supp Table S2a) highlighted three reproducible structure features, consistent with the subgroup biology:</w:t>
      </w:r>
    </w:p>
    <w:p w14:paraId="2930DB41" w14:textId="77777777" w:rsidR="00623F9F" w:rsidRPr="008D7FF6" w:rsidRDefault="00000000">
      <w:pPr>
        <w:pStyle w:val="Compact"/>
        <w:numPr>
          <w:ilvl w:val="0"/>
          <w:numId w:val="3"/>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MG3/MG4 (Hypermitotic pool) asymmetry.</w:t>
      </w:r>
      <w:r w:rsidRPr="008D7FF6">
        <w:rPr>
          <w:rFonts w:ascii="Palatino Linotype" w:hAnsi="Palatino Linotype"/>
          <w:color w:val="000000" w:themeColor="text1"/>
          <w:sz w:val="20"/>
          <w:szCs w:val="20"/>
        </w:rPr>
        <w:t xml:space="preserve"> The hypermetabolic (MG3) vs proliferative (MG4) contrast was the weakest pairwise comparison for all five programs (all pairwise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BH &gt; 0.10 after per-program BH-FDR; range: HDAC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BH = 0.313 to Tubulin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BH = 0.731), independently justifying the literature pooling of MG3∪MG4 into a single Hypermitotic bin.</w:t>
      </w:r>
    </w:p>
    <w:p w14:paraId="525823C1" w14:textId="77777777" w:rsidR="00623F9F" w:rsidRPr="008D7FF6" w:rsidRDefault="00000000">
      <w:pPr>
        <w:pStyle w:val="Compact"/>
        <w:numPr>
          <w:ilvl w:val="0"/>
          <w:numId w:val="3"/>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Immunogenic (MG1) vs proliferative (</w:t>
      </w:r>
      <w:proofErr w:type="gramStart"/>
      <w:r w:rsidRPr="008D7FF6">
        <w:rPr>
          <w:rFonts w:ascii="Palatino Linotype" w:hAnsi="Palatino Linotype"/>
          <w:b/>
          <w:bCs/>
          <w:color w:val="000000" w:themeColor="text1"/>
          <w:sz w:val="20"/>
          <w:szCs w:val="20"/>
        </w:rPr>
        <w:t>MG4) —</w:t>
      </w:r>
      <w:proofErr w:type="gramEnd"/>
      <w:r w:rsidRPr="008D7FF6">
        <w:rPr>
          <w:rFonts w:ascii="Palatino Linotype" w:hAnsi="Palatino Linotype"/>
          <w:b/>
          <w:bCs/>
          <w:color w:val="000000" w:themeColor="text1"/>
          <w:sz w:val="20"/>
          <w:szCs w:val="20"/>
        </w:rPr>
        <w:t xml:space="preserve"> HDAC and HDAC8-resistance extremes.</w:t>
      </w:r>
      <w:r w:rsidRPr="008D7FF6">
        <w:rPr>
          <w:rFonts w:ascii="Palatino Linotype" w:hAnsi="Palatino Linotype"/>
          <w:color w:val="000000" w:themeColor="text1"/>
          <w:sz w:val="20"/>
          <w:szCs w:val="20"/>
        </w:rPr>
        <w:t xml:space="preserve"> The Immunogenic</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proliferative step was the single largest effect for the HDAC target program (</w:t>
      </w:r>
      <w:r w:rsidRPr="008D7FF6">
        <w:rPr>
          <w:rFonts w:ascii="Palatino Linotype" w:hAnsi="Palatino Linotype" w:cs="Palatino Linotype"/>
          <w:color w:val="000000" w:themeColor="text1"/>
          <w:sz w:val="20"/>
          <w:szCs w:val="20"/>
        </w:rPr>
        <w:t>Δ</w:t>
      </w:r>
      <w:r w:rsidRPr="008D7FF6">
        <w:rPr>
          <w:rFonts w:ascii="Palatino Linotype" w:hAnsi="Palatino Linotype"/>
          <w:color w:val="000000" w:themeColor="text1"/>
          <w:sz w:val="20"/>
          <w:szCs w:val="20"/>
        </w:rPr>
        <w:t xml:space="preserve"> median z = -1.475, Cliff</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s </w:t>
      </w:r>
      <w:r w:rsidRPr="008D7FF6">
        <w:rPr>
          <w:rFonts w:ascii="Palatino Linotype" w:hAnsi="Palatino Linotype" w:cs="Palatino Linotype"/>
          <w:color w:val="000000" w:themeColor="text1"/>
          <w:sz w:val="20"/>
          <w:szCs w:val="20"/>
        </w:rPr>
        <w:t>δ</w:t>
      </w:r>
      <w:r w:rsidRPr="008D7FF6">
        <w:rPr>
          <w:rFonts w:ascii="Palatino Linotype" w:hAnsi="Palatino Linotype"/>
          <w:color w:val="000000" w:themeColor="text1"/>
          <w:sz w:val="20"/>
          <w:szCs w:val="20"/>
        </w:rPr>
        <w:t xml:space="preserve"> = -0.761, family-wide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BH = 6.3 × 10⁻⁴) and for the StM 2026 HDAC8/TGFβ/EMT resistance program (Δ = -1.332, δ = -0.582,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BH = 0.004).</w:t>
      </w:r>
    </w:p>
    <w:p w14:paraId="1A608679" w14:textId="77777777" w:rsidR="00623F9F" w:rsidRPr="008D7FF6" w:rsidRDefault="00000000">
      <w:pPr>
        <w:pStyle w:val="Compact"/>
        <w:numPr>
          <w:ilvl w:val="0"/>
          <w:numId w:val="3"/>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MG2 (Merlin-intact) separation — strongest translation and HDAC8-resistance contrasts.</w:t>
      </w:r>
      <w:r w:rsidRPr="008D7FF6">
        <w:rPr>
          <w:rFonts w:ascii="Palatino Linotype" w:hAnsi="Palatino Linotype"/>
          <w:color w:val="000000" w:themeColor="text1"/>
          <w:sz w:val="20"/>
          <w:szCs w:val="20"/>
        </w:rPr>
        <w:t xml:space="preserve"> Immunogenic</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MG2 was the strongest pairwise effect for the translation-elongation (omacetaxine) program: </w:t>
      </w:r>
      <w:r w:rsidRPr="008D7FF6">
        <w:rPr>
          <w:rFonts w:ascii="Palatino Linotype" w:hAnsi="Palatino Linotype" w:cs="Palatino Linotype"/>
          <w:color w:val="000000" w:themeColor="text1"/>
          <w:sz w:val="20"/>
          <w:szCs w:val="20"/>
        </w:rPr>
        <w:t>Δ</w:t>
      </w:r>
      <w:r w:rsidRPr="008D7FF6">
        <w:rPr>
          <w:rFonts w:ascii="Palatino Linotype" w:hAnsi="Palatino Linotype"/>
          <w:color w:val="000000" w:themeColor="text1"/>
          <w:sz w:val="20"/>
          <w:szCs w:val="20"/>
        </w:rPr>
        <w:t xml:space="preserve"> median z = -1.270 (MG2 minus Immunogenic), Cliff</w:t>
      </w:r>
      <w:r w:rsidRPr="008D7FF6">
        <w:rPr>
          <w:rFonts w:ascii="Palatino Linotype" w:hAnsi="Palatino Linotype" w:cs="Palatino Linotype"/>
          <w:color w:val="000000" w:themeColor="text1"/>
          <w:sz w:val="20"/>
          <w:szCs w:val="20"/>
        </w:rPr>
        <w:t>’</w:t>
      </w:r>
      <w:r w:rsidRPr="008D7FF6">
        <w:rPr>
          <w:rFonts w:ascii="Palatino Linotype" w:hAnsi="Palatino Linotype"/>
          <w:color w:val="000000" w:themeColor="text1"/>
          <w:sz w:val="20"/>
          <w:szCs w:val="20"/>
        </w:rPr>
        <w:t xml:space="preserve">s </w:t>
      </w:r>
      <w:r w:rsidRPr="008D7FF6">
        <w:rPr>
          <w:rFonts w:ascii="Palatino Linotype" w:hAnsi="Palatino Linotype" w:cs="Palatino Linotype"/>
          <w:color w:val="000000" w:themeColor="text1"/>
          <w:sz w:val="20"/>
          <w:szCs w:val="20"/>
        </w:rPr>
        <w:t>δ</w:t>
      </w:r>
      <w:r w:rsidRPr="008D7FF6">
        <w:rPr>
          <w:rFonts w:ascii="Palatino Linotype" w:hAnsi="Palatino Linotype"/>
          <w:color w:val="000000" w:themeColor="text1"/>
          <w:sz w:val="20"/>
          <w:szCs w:val="20"/>
        </w:rPr>
        <w:t xml:space="preserve"> = -0.673, family-wide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BH = 0.001. The same MG2</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Immunogenic contrast was also the strongest </w:t>
      </w:r>
      <w:r w:rsidRPr="008D7FF6">
        <w:rPr>
          <w:rFonts w:ascii="Palatino Linotype" w:hAnsi="Palatino Linotype"/>
          <w:color w:val="000000" w:themeColor="text1"/>
          <w:sz w:val="20"/>
          <w:szCs w:val="20"/>
        </w:rPr>
        <w:lastRenderedPageBreak/>
        <w:t>HDAC8/TGF</w:t>
      </w:r>
      <w:r w:rsidRPr="008D7FF6">
        <w:rPr>
          <w:rFonts w:ascii="Palatino Linotype" w:hAnsi="Palatino Linotype" w:cs="Palatino Linotype"/>
          <w:color w:val="000000" w:themeColor="text1"/>
          <w:sz w:val="20"/>
          <w:szCs w:val="20"/>
        </w:rPr>
        <w:t>β</w:t>
      </w:r>
      <w:r w:rsidRPr="008D7FF6">
        <w:rPr>
          <w:rFonts w:ascii="Palatino Linotype" w:hAnsi="Palatino Linotype"/>
          <w:color w:val="000000" w:themeColor="text1"/>
          <w:sz w:val="20"/>
          <w:szCs w:val="20"/>
        </w:rPr>
        <w:t>/EMT-resistance effect (</w:t>
      </w:r>
      <w:r w:rsidRPr="008D7FF6">
        <w:rPr>
          <w:rFonts w:ascii="Palatino Linotype" w:hAnsi="Palatino Linotype" w:cs="Palatino Linotype"/>
          <w:color w:val="000000" w:themeColor="text1"/>
          <w:sz w:val="20"/>
          <w:szCs w:val="20"/>
        </w:rPr>
        <w:t>Δ</w:t>
      </w:r>
      <w:r w:rsidRPr="008D7FF6">
        <w:rPr>
          <w:rFonts w:ascii="Palatino Linotype" w:hAnsi="Palatino Linotype"/>
          <w:color w:val="000000" w:themeColor="text1"/>
          <w:sz w:val="20"/>
          <w:szCs w:val="20"/>
        </w:rPr>
        <w:t xml:space="preserve"> = -1.105, </w:t>
      </w:r>
      <w:r w:rsidRPr="008D7FF6">
        <w:rPr>
          <w:rFonts w:ascii="Palatino Linotype" w:hAnsi="Palatino Linotype" w:cs="Palatino Linotype"/>
          <w:color w:val="000000" w:themeColor="text1"/>
          <w:sz w:val="20"/>
          <w:szCs w:val="20"/>
        </w:rPr>
        <w:t>δ</w:t>
      </w:r>
      <w:r w:rsidRPr="008D7FF6">
        <w:rPr>
          <w:rFonts w:ascii="Palatino Linotype" w:hAnsi="Palatino Linotype"/>
          <w:color w:val="000000" w:themeColor="text1"/>
          <w:sz w:val="20"/>
          <w:szCs w:val="20"/>
        </w:rPr>
        <w:t xml:space="preserve"> = -0.621,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BH = 0.002), consistent with the Merlin-intact-vs-biallelic-NF2-loss biology driving both axes.</w:t>
      </w:r>
    </w:p>
    <w:p w14:paraId="04137DE4"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Grade-adjusted analysis:</w:t>
      </w:r>
      <w:r w:rsidRPr="008D7FF6">
        <w:rPr>
          <w:rFonts w:ascii="Palatino Linotype" w:hAnsi="Palatino Linotype"/>
          <w:color w:val="000000" w:themeColor="text1"/>
          <w:sz w:val="20"/>
          <w:szCs w:val="20"/>
        </w:rPr>
        <w:t xml:space="preserve"> two-covariate OLS </w:t>
      </w:r>
      <w:r w:rsidRPr="008D7FF6">
        <w:rPr>
          <w:rStyle w:val="VerbatimChar"/>
          <w:rFonts w:ascii="Palatino Linotype" w:hAnsi="Palatino Linotype"/>
          <w:color w:val="000000" w:themeColor="text1"/>
          <w:sz w:val="20"/>
          <w:szCs w:val="20"/>
        </w:rPr>
        <w:t>z_score ~ WHO_grade + subgroup</w:t>
      </w:r>
      <w:r w:rsidRPr="008D7FF6">
        <w:rPr>
          <w:rFonts w:ascii="Palatino Linotype" w:hAnsi="Palatino Linotype"/>
          <w:color w:val="000000" w:themeColor="text1"/>
          <w:sz w:val="20"/>
          <w:szCs w:val="20"/>
        </w:rPr>
        <w:t xml:space="preserve"> with Type-II ANOVA confirmed that the subgroup F-statistic remained significant </w:t>
      </w:r>
      <w:r w:rsidRPr="008D7FF6">
        <w:rPr>
          <w:rFonts w:ascii="Palatino Linotype" w:hAnsi="Palatino Linotype"/>
          <w:i/>
          <w:iCs/>
          <w:color w:val="000000" w:themeColor="text1"/>
          <w:sz w:val="20"/>
          <w:szCs w:val="20"/>
        </w:rPr>
        <w:t>after</w:t>
      </w:r>
      <w:r w:rsidRPr="008D7FF6">
        <w:rPr>
          <w:rFonts w:ascii="Palatino Linotype" w:hAnsi="Palatino Linotype"/>
          <w:color w:val="000000" w:themeColor="text1"/>
          <w:sz w:val="20"/>
          <w:szCs w:val="20"/>
        </w:rPr>
        <w:t xml:space="preserve"> conditioning on WHO grade for all five programs (Table 3 bottom): subgroup </w:t>
      </w:r>
      <w:proofErr w:type="gramStart"/>
      <w:r w:rsidRPr="008D7FF6">
        <w:rPr>
          <w:rFonts w:ascii="Palatino Linotype" w:hAnsi="Palatino Linotype"/>
          <w:color w:val="000000" w:themeColor="text1"/>
          <w:sz w:val="20"/>
          <w:szCs w:val="20"/>
        </w:rPr>
        <w:t>F(</w:t>
      </w:r>
      <w:proofErr w:type="gramEnd"/>
      <w:r w:rsidRPr="008D7FF6">
        <w:rPr>
          <w:rFonts w:ascii="Palatino Linotype" w:hAnsi="Palatino Linotype"/>
          <w:color w:val="000000" w:themeColor="text1"/>
          <w:sz w:val="20"/>
          <w:szCs w:val="20"/>
        </w:rPr>
        <w:t xml:space="preserve">3, 116 df) ranged from 2.45 (Tubulin,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0.067, BH-FDR = 0.067) to 8.56 (HDAC,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3.5 × 10⁻⁵, BH-FDR = 1.8 × 10⁻⁴), with all five passing the pre-registered BH-FDR α = 0.10 threshold. Grade itself was significant only for the Tubulin program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8.6 × 10⁻⁴), not the other four, ruling out grade confounding as a generic explanation of the H2 signals.</w:t>
      </w:r>
    </w:p>
    <w:p w14:paraId="7AD15490"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color w:val="000000" w:themeColor="text1"/>
          <w:sz w:val="20"/>
          <w:szCs w:val="20"/>
        </w:rPr>
        <w:t>H2 is satisfied: all five programs stratify subgroups, and this stratification is not reducible to WHO grade.</w:t>
      </w:r>
    </w:p>
    <w:p w14:paraId="4BA6161E" w14:textId="77777777" w:rsidR="00623F9F" w:rsidRPr="008D7FF6" w:rsidRDefault="00000000">
      <w:pPr>
        <w:pStyle w:val="TableCaption"/>
        <w:rPr>
          <w:rFonts w:ascii="Palatino Linotype" w:hAnsi="Palatino Linotype"/>
          <w:color w:val="000000" w:themeColor="text1"/>
          <w:sz w:val="20"/>
          <w:szCs w:val="20"/>
        </w:rPr>
      </w:pPr>
      <w:bookmarkStart w:id="10" w:name="tab:table3"/>
      <w:bookmarkEnd w:id="10"/>
      <w:r w:rsidRPr="008D7FF6">
        <w:rPr>
          <w:rFonts w:ascii="Palatino Linotype" w:hAnsi="Palatino Linotype"/>
          <w:color w:val="000000" w:themeColor="text1"/>
          <w:sz w:val="20"/>
          <w:szCs w:val="20"/>
        </w:rPr>
        <w:t>Table 3: H2 Nassiri 4-group subgroup stratification: Kruskal–</w:t>
      </w:r>
      <w:proofErr w:type="gramStart"/>
      <w:r w:rsidRPr="008D7FF6">
        <w:rPr>
          <w:rFonts w:ascii="Palatino Linotype" w:hAnsi="Palatino Linotype"/>
          <w:color w:val="000000" w:themeColor="text1"/>
          <w:sz w:val="20"/>
          <w:szCs w:val="20"/>
        </w:rPr>
        <w:t>Wallis</w:t>
      </w:r>
      <w:proofErr w:type="gramEnd"/>
      <w:r w:rsidRPr="008D7FF6">
        <w:rPr>
          <w:rFonts w:ascii="Palatino Linotype" w:hAnsi="Palatino Linotype"/>
          <w:color w:val="000000" w:themeColor="text1"/>
          <w:sz w:val="20"/>
          <w:szCs w:val="20"/>
        </w:rPr>
        <w:t xml:space="preserve"> omnibus + grade-adjusted conditional F-tests. N = 121 across 4 groups. *p*BH = Benjamini–Hochberg FDR applied across the 5-program family.</w:t>
      </w:r>
    </w:p>
    <w:tbl>
      <w:tblPr>
        <w:tblStyle w:val="Table"/>
        <w:tblW w:w="0" w:type="pct"/>
        <w:jc w:val="center"/>
        <w:tblLook w:val="0420" w:firstRow="1" w:lastRow="0" w:firstColumn="0" w:lastColumn="0" w:noHBand="0" w:noVBand="1"/>
      </w:tblPr>
      <w:tblGrid>
        <w:gridCol w:w="2182"/>
        <w:gridCol w:w="631"/>
        <w:gridCol w:w="631"/>
        <w:gridCol w:w="905"/>
        <w:gridCol w:w="763"/>
        <w:gridCol w:w="1076"/>
        <w:gridCol w:w="1076"/>
        <w:gridCol w:w="1363"/>
        <w:gridCol w:w="749"/>
      </w:tblGrid>
      <w:tr w:rsidR="00623F9F" w:rsidRPr="008D7FF6" w14:paraId="78545464" w14:textId="77777777" w:rsidTr="00623F9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3DAB55D7"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Program</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108E3E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KW H</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D1B399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KW *p* raw</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187CD2F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*p*BH (family)</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7B4F18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Reject α=0.10</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43A234D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Subgroup F|grade (3,116 df)</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40D2C8F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Subgroup *p*|grade</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173AA67"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Subgroup *p*BH|grade</w:t>
            </w:r>
          </w:p>
        </w:tc>
        <w:tc>
          <w:tcPr>
            <w:tcW w:w="0" w:type="auto"/>
            <w:tcBorders>
              <w:top w:val="single" w:sz="6"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D5D1DF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Grade *p*</w:t>
            </w:r>
          </w:p>
        </w:tc>
      </w:tr>
      <w:tr w:rsidR="00623F9F" w:rsidRPr="008D7FF6" w14:paraId="0CB9F9CC" w14:textId="77777777" w:rsidTr="00623F9F">
        <w:trPr>
          <w:jc w:val="center"/>
        </w:trPr>
        <w:tc>
          <w:tcPr>
            <w:tcW w:w="0" w:type="auto"/>
            <w:gridSpan w:val="5"/>
            <w:tcBorders>
              <w:top w:val="single" w:sz="6"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636664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**Kruskal–</w:t>
            </w:r>
            <w:proofErr w:type="gramStart"/>
            <w:r w:rsidRPr="008D7FF6">
              <w:rPr>
                <w:rFonts w:ascii="Palatino Linotype" w:eastAsia="Arial" w:hAnsi="Palatino Linotype" w:cs="Arial"/>
                <w:b/>
                <w:color w:val="000000" w:themeColor="text1"/>
                <w:sz w:val="20"/>
                <w:szCs w:val="20"/>
              </w:rPr>
              <w:t>Wallis</w:t>
            </w:r>
            <w:proofErr w:type="gramEnd"/>
            <w:r w:rsidRPr="008D7FF6">
              <w:rPr>
                <w:rFonts w:ascii="Palatino Linotype" w:eastAsia="Arial" w:hAnsi="Palatino Linotype" w:cs="Arial"/>
                <w:b/>
                <w:color w:val="000000" w:themeColor="text1"/>
                <w:sz w:val="20"/>
                <w:szCs w:val="20"/>
              </w:rPr>
              <w:t xml:space="preserve"> omnibus (unadjusted)**</w:t>
            </w:r>
          </w:p>
        </w:tc>
        <w:tc>
          <w:tcPr>
            <w:tcW w:w="0" w:type="auto"/>
            <w:gridSpan w:val="4"/>
            <w:tcBorders>
              <w:top w:val="single" w:sz="6"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7FFFA06A"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 xml:space="preserve">**Grade-adjusted OLS (subgroup F | WHO </w:t>
            </w:r>
            <w:proofErr w:type="gramStart"/>
            <w:r w:rsidRPr="008D7FF6">
              <w:rPr>
                <w:rFonts w:ascii="Palatino Linotype" w:eastAsia="Arial" w:hAnsi="Palatino Linotype" w:cs="Arial"/>
                <w:b/>
                <w:color w:val="000000" w:themeColor="text1"/>
                <w:sz w:val="20"/>
                <w:szCs w:val="20"/>
              </w:rPr>
              <w:t>grade)*</w:t>
            </w:r>
            <w:proofErr w:type="gramEnd"/>
            <w:r w:rsidRPr="008D7FF6">
              <w:rPr>
                <w:rFonts w:ascii="Palatino Linotype" w:eastAsia="Arial" w:hAnsi="Palatino Linotype" w:cs="Arial"/>
                <w:b/>
                <w:color w:val="000000" w:themeColor="text1"/>
                <w:sz w:val="20"/>
                <w:szCs w:val="20"/>
              </w:rPr>
              <w:t>*</w:t>
            </w:r>
          </w:p>
        </w:tc>
      </w:tr>
      <w:tr w:rsidR="00623F9F" w:rsidRPr="008D7FF6" w14:paraId="1DCA69C8"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5B0C12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HDAC (Panobinostat / Romidepsin)</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8EFD2C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28.08</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3763107"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3.5 × 10⁻⁶</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843A27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1.7 × 10⁻⁵</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5BBE58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460438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8.56</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C0B7EB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3.5 × 10⁻⁵</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0080E5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1.8 × 10⁻⁴</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2019EDF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0.185</w:t>
            </w:r>
          </w:p>
        </w:tc>
      </w:tr>
      <w:tr w:rsidR="00623F9F" w:rsidRPr="008D7FF6" w14:paraId="58F0D22E"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948E3B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Proteasome (Carfilzomib)</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C54B6F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13.87</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8FB6F9A"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0.003</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0F5535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0.004</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E8C109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E66649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4.22</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92D39D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0.007</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70FB54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0.009</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50AB5BE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0.910</w:t>
            </w:r>
          </w:p>
        </w:tc>
      </w:tr>
      <w:tr w:rsidR="00623F9F" w:rsidRPr="008D7FF6" w14:paraId="45DC45E7"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9BC09D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Tubulin (Ixabepilone)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DD1B8B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6.64</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1A764B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0.084</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DCFE1C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0.084</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B16521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257DCF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2.45</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FC430A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0.067</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48ADFA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0.067</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7EB376AA"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8.6 × 10⁻⁴</w:t>
            </w:r>
          </w:p>
        </w:tc>
      </w:tr>
      <w:tr w:rsidR="00623F9F" w:rsidRPr="008D7FF6" w14:paraId="1E53BF91"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E72895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Translation (Omacetaxine)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B0C4B1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17.68</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1AA765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5.1 × 10⁻⁴</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389F917"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0.001</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F259DE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12789B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5.81</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4DC54B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9.8 × 10⁻⁴</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3AA61F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0.002</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4A7C519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0.465</w:t>
            </w:r>
          </w:p>
        </w:tc>
      </w:tr>
      <w:tr w:rsidR="00623F9F" w:rsidRPr="008D7FF6" w14:paraId="771F0A8A" w14:textId="77777777" w:rsidTr="00623F9F">
        <w:trPr>
          <w:jc w:val="center"/>
        </w:trPr>
        <w:tc>
          <w:tcPr>
            <w:tcW w:w="0" w:type="auto"/>
            <w:tcBorders>
              <w:top w:val="single" w:sz="3"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DE8D4C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HDAC8</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TGF</w:t>
            </w:r>
            <w:r w:rsidRPr="008D7FF6">
              <w:rPr>
                <w:rFonts w:ascii="Palatino Linotype" w:eastAsia="Arial" w:hAnsi="Palatino Linotype" w:cs="Palatino Linotype"/>
                <w:color w:val="000000" w:themeColor="text1"/>
                <w:sz w:val="20"/>
                <w:szCs w:val="20"/>
              </w:rPr>
              <w:t>β</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EMT Resistance</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383690A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16.77</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20576A4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7.9 × 10⁻⁴</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5493D31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0.001</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4616224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5A2CC59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5.57</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2A62C7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0.001</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3C04CAEA"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0.002</w:t>
            </w:r>
          </w:p>
        </w:tc>
        <w:tc>
          <w:tcPr>
            <w:tcW w:w="0" w:type="auto"/>
            <w:tcBorders>
              <w:top w:val="single" w:sz="3"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1EE94C4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0.306</w:t>
            </w:r>
          </w:p>
        </w:tc>
      </w:tr>
    </w:tbl>
    <w:p w14:paraId="7CE4416C" w14:textId="77777777" w:rsidR="00623F9F" w:rsidRPr="008D7FF6" w:rsidRDefault="00000000">
      <w:pPr>
        <w:pStyle w:val="Heading2"/>
        <w:rPr>
          <w:rFonts w:ascii="Palatino Linotype" w:hAnsi="Palatino Linotype"/>
          <w:color w:val="000000" w:themeColor="text1"/>
          <w:sz w:val="20"/>
          <w:szCs w:val="20"/>
        </w:rPr>
      </w:pPr>
      <w:bookmarkStart w:id="11" w:name="Xbe531c3d9e41fad32de180142f7df11bfa26d71"/>
      <w:bookmarkEnd w:id="9"/>
      <w:r w:rsidRPr="008D7FF6">
        <w:rPr>
          <w:rFonts w:ascii="Palatino Linotype" w:hAnsi="Palatino Linotype"/>
          <w:color w:val="000000" w:themeColor="text1"/>
          <w:sz w:val="20"/>
          <w:szCs w:val="20"/>
        </w:rPr>
        <w:t>2.4 H3 — NF2 CNA-loss proxy association (nf2_cna_loss_proxy)</w:t>
      </w:r>
    </w:p>
    <w:p w14:paraId="5BAEBEA6"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All five pre-specified programs showed a significant or directionally consistent difference between NF2-Intact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37) and NF2 Mutant/Loss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84) proxy calls, with BH-FDR across the 5-program H3 family (α = 0.10) rejecting for all five (Table 4):</w:t>
      </w:r>
    </w:p>
    <w:p w14:paraId="59D4CE3B"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color w:val="000000" w:themeColor="text1"/>
          <w:sz w:val="20"/>
          <w:szCs w:val="20"/>
        </w:rPr>
        <w:t>The translation-elongation (omacetaxine) and HDAC8/TGFβ/EMT-resistance programs carried the largest absolute effect sizes, the latter being directionally consistent with the StM 2026 mechanism in which NF2-inactivated Immunogenic tumours are both high on the resistance axis (and therefore least panobinostat-sensitive as single agents) and simultaneously high on HDAC8 expression—exactly the patient subset where StM 2026’s HDAC8-depletion co-therapy is predicted to restore panobinostat sensitivity.</w:t>
      </w:r>
    </w:p>
    <w:p w14:paraId="53F884CD" w14:textId="77777777" w:rsidR="00623F9F" w:rsidRPr="008D7FF6" w:rsidRDefault="00000000">
      <w:pPr>
        <w:pStyle w:val="BodyText"/>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Caveat:</w:t>
      </w:r>
      <w:r w:rsidRPr="008D7FF6">
        <w:rPr>
          <w:rFonts w:ascii="Palatino Linotype" w:hAnsi="Palatino Linotype"/>
          <w:color w:val="000000" w:themeColor="text1"/>
          <w:sz w:val="20"/>
          <w:szCs w:val="20"/>
        </w:rPr>
        <w:t xml:space="preserve"> nf2_cna_loss_proxy encodes GISTIC ≤ −1 at the NF2/22q locus only; the concurrent NF2 point mutation required for true biallelic inactivation is invisible because the cBioPortal mutation endpoint for </w:t>
      </w:r>
      <w:r w:rsidRPr="008D7FF6">
        <w:rPr>
          <w:rFonts w:ascii="Palatino Linotype" w:hAnsi="Palatino Linotype"/>
          <w:color w:val="000000" w:themeColor="text1"/>
          <w:sz w:val="20"/>
          <w:szCs w:val="20"/>
        </w:rPr>
        <w:lastRenderedPageBreak/>
        <w:t>this study was unreachable at time of analysis (Methods / Limitations). Results are therefore directional-association evidence, not definitive biallelic-inactivation calls.</w:t>
      </w:r>
    </w:p>
    <w:p w14:paraId="000B7E60" w14:textId="77777777" w:rsidR="00623F9F" w:rsidRPr="008D7FF6" w:rsidRDefault="00000000">
      <w:pPr>
        <w:pStyle w:val="TableCaption"/>
        <w:rPr>
          <w:rFonts w:ascii="Palatino Linotype" w:hAnsi="Palatino Linotype"/>
          <w:color w:val="000000" w:themeColor="text1"/>
          <w:sz w:val="20"/>
          <w:szCs w:val="20"/>
        </w:rPr>
      </w:pPr>
      <w:bookmarkStart w:id="12" w:name="tab:table4"/>
      <w:bookmarkEnd w:id="12"/>
      <w:r w:rsidRPr="008D7FF6">
        <w:rPr>
          <w:rFonts w:ascii="Palatino Linotype" w:hAnsi="Palatino Linotype"/>
          <w:color w:val="000000" w:themeColor="text1"/>
          <w:sz w:val="20"/>
          <w:szCs w:val="20"/>
        </w:rPr>
        <w:t>Table 4: H3 nf2_cna_loss_proxy association: Intact (N = 37) vs Mutant/Loss (N = 84); N = 121. Mann–Whitney U with Cliff's δ and BH-FDR across the 5-program H3 family.</w:t>
      </w:r>
    </w:p>
    <w:tbl>
      <w:tblPr>
        <w:tblStyle w:val="Table"/>
        <w:tblW w:w="0" w:type="pct"/>
        <w:jc w:val="center"/>
        <w:tblLook w:val="0420" w:firstRow="1" w:lastRow="0" w:firstColumn="0" w:lastColumn="0" w:noHBand="0" w:noVBand="1"/>
      </w:tblPr>
      <w:tblGrid>
        <w:gridCol w:w="2881"/>
        <w:gridCol w:w="2135"/>
        <w:gridCol w:w="864"/>
        <w:gridCol w:w="1029"/>
        <w:gridCol w:w="1428"/>
        <w:gridCol w:w="1039"/>
      </w:tblGrid>
      <w:tr w:rsidR="00623F9F" w:rsidRPr="008D7FF6" w14:paraId="7176E62B" w14:textId="77777777" w:rsidTr="00623F9F">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top w:val="single" w:sz="6"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53FBCA7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Program</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D92394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Δ median z (Intact − Mut/Loss)</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6DAC334E"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Cliff's δ</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239215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MW *p* raw</w:t>
            </w:r>
          </w:p>
        </w:tc>
        <w:tc>
          <w:tcPr>
            <w:tcW w:w="0" w:type="auto"/>
            <w:tcBorders>
              <w:top w:val="single" w:sz="6"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64C1A12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*p*BH (H3 family)</w:t>
            </w:r>
          </w:p>
        </w:tc>
        <w:tc>
          <w:tcPr>
            <w:tcW w:w="0" w:type="auto"/>
            <w:tcBorders>
              <w:top w:val="single" w:sz="6"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3507A76"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b/>
                <w:color w:val="000000" w:themeColor="text1"/>
                <w:sz w:val="20"/>
                <w:szCs w:val="20"/>
              </w:rPr>
            </w:pPr>
            <w:r w:rsidRPr="008D7FF6">
              <w:rPr>
                <w:rFonts w:ascii="Palatino Linotype" w:eastAsia="Arial" w:hAnsi="Palatino Linotype" w:cs="Arial"/>
                <w:b/>
                <w:color w:val="000000" w:themeColor="text1"/>
                <w:sz w:val="20"/>
                <w:szCs w:val="20"/>
              </w:rPr>
              <w:t>Pass α=0.10</w:t>
            </w:r>
          </w:p>
        </w:tc>
      </w:tr>
      <w:tr w:rsidR="00623F9F" w:rsidRPr="008D7FF6" w14:paraId="59136CC3" w14:textId="77777777" w:rsidTr="00623F9F">
        <w:trPr>
          <w:jc w:val="center"/>
        </w:trPr>
        <w:tc>
          <w:tcPr>
            <w:tcW w:w="0" w:type="auto"/>
            <w:tcBorders>
              <w:top w:val="single" w:sz="6"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7968EFA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HDAC (Panobinostat / Romidepsin)</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9BE2F5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-0.306</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02AB81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-0.313</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1E5B0B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0.006</w:t>
            </w:r>
          </w:p>
        </w:tc>
        <w:tc>
          <w:tcPr>
            <w:tcW w:w="0" w:type="auto"/>
            <w:tcBorders>
              <w:top w:val="single" w:sz="6"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3B8115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0.032</w:t>
            </w:r>
          </w:p>
        </w:tc>
        <w:tc>
          <w:tcPr>
            <w:tcW w:w="0" w:type="auto"/>
            <w:tcBorders>
              <w:top w:val="single" w:sz="6"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477E732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r>
      <w:tr w:rsidR="00623F9F" w:rsidRPr="008D7FF6" w14:paraId="1DBF7FDD"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940626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Proteasome (Carfilzomib)</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60B38D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+0.429</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79192B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+0.263</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36B71A5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0.022</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2979CECD"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0.038</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40FF507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r>
      <w:tr w:rsidR="00623F9F" w:rsidRPr="008D7FF6" w14:paraId="7F196B06"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5698FA74"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Tubulin (Ixabepilone)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5CD24AF"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-0.234</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A0520A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-0.189</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1C32AD1"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0.100</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174E86F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0.100</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3A9B9E6C"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r>
      <w:tr w:rsidR="00623F9F" w:rsidRPr="008D7FF6" w14:paraId="4DC7F6E1" w14:textId="77777777" w:rsidTr="00623F9F">
        <w:trPr>
          <w:jc w:val="center"/>
        </w:trPr>
        <w:tc>
          <w:tcPr>
            <w:tcW w:w="0" w:type="auto"/>
            <w:tcBorders>
              <w:top w:val="single" w:sz="3" w:space="0" w:color="000000"/>
              <w:left w:val="single" w:sz="6"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0D2BC49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Translation (Omacetaxine)</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32073B2"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+0.783</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F03540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+0.238</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6DBB3448"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0.038</w:t>
            </w:r>
          </w:p>
        </w:tc>
        <w:tc>
          <w:tcPr>
            <w:tcW w:w="0" w:type="auto"/>
            <w:tcBorders>
              <w:top w:val="single" w:sz="3" w:space="0" w:color="000000"/>
              <w:left w:val="dotted" w:sz="2" w:space="0" w:color="000000"/>
              <w:bottom w:val="single" w:sz="3" w:space="0" w:color="000000"/>
              <w:right w:val="dotted" w:sz="2" w:space="0" w:color="000000"/>
            </w:tcBorders>
            <w:shd w:val="clear" w:color="auto" w:fill="FFFFFF"/>
            <w:tcMar>
              <w:top w:w="0" w:type="dxa"/>
              <w:left w:w="0" w:type="dxa"/>
              <w:bottom w:w="0" w:type="dxa"/>
              <w:right w:w="0" w:type="dxa"/>
            </w:tcMar>
            <w:vAlign w:val="center"/>
          </w:tcPr>
          <w:p w14:paraId="41D1A0B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0.047</w:t>
            </w:r>
          </w:p>
        </w:tc>
        <w:tc>
          <w:tcPr>
            <w:tcW w:w="0" w:type="auto"/>
            <w:tcBorders>
              <w:top w:val="single" w:sz="3" w:space="0" w:color="000000"/>
              <w:left w:val="dotted" w:sz="2" w:space="0" w:color="000000"/>
              <w:bottom w:val="single" w:sz="3" w:space="0" w:color="000000"/>
              <w:right w:val="single" w:sz="6" w:space="0" w:color="000000"/>
            </w:tcBorders>
            <w:shd w:val="clear" w:color="auto" w:fill="FFFFFF"/>
            <w:tcMar>
              <w:top w:w="0" w:type="dxa"/>
              <w:left w:w="0" w:type="dxa"/>
              <w:bottom w:w="0" w:type="dxa"/>
              <w:right w:w="0" w:type="dxa"/>
            </w:tcMar>
            <w:vAlign w:val="center"/>
          </w:tcPr>
          <w:p w14:paraId="220FA8B5"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r>
      <w:tr w:rsidR="00623F9F" w:rsidRPr="008D7FF6" w14:paraId="2A149F06" w14:textId="77777777" w:rsidTr="00623F9F">
        <w:trPr>
          <w:jc w:val="center"/>
        </w:trPr>
        <w:tc>
          <w:tcPr>
            <w:tcW w:w="0" w:type="auto"/>
            <w:tcBorders>
              <w:top w:val="single" w:sz="3" w:space="0" w:color="000000"/>
              <w:left w:val="single" w:sz="6"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0B56E86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HDAC8</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TGF</w:t>
            </w:r>
            <w:r w:rsidRPr="008D7FF6">
              <w:rPr>
                <w:rFonts w:ascii="Palatino Linotype" w:eastAsia="Arial" w:hAnsi="Palatino Linotype" w:cs="Palatino Linotype"/>
                <w:color w:val="000000" w:themeColor="text1"/>
                <w:sz w:val="20"/>
                <w:szCs w:val="20"/>
              </w:rPr>
              <w:t>β</w:t>
            </w:r>
            <w:r w:rsidRPr="008D7FF6">
              <w:rPr>
                <w:rFonts w:ascii="Times New Roman" w:eastAsia="Arial" w:hAnsi="Times New Roman" w:cs="Times New Roman"/>
                <w:color w:val="000000" w:themeColor="text1"/>
                <w:sz w:val="20"/>
                <w:szCs w:val="20"/>
              </w:rPr>
              <w:t>→</w:t>
            </w:r>
            <w:r w:rsidRPr="008D7FF6">
              <w:rPr>
                <w:rFonts w:ascii="Palatino Linotype" w:eastAsia="Arial" w:hAnsi="Palatino Linotype" w:cs="Arial"/>
                <w:color w:val="000000" w:themeColor="text1"/>
                <w:sz w:val="20"/>
                <w:szCs w:val="20"/>
              </w:rPr>
              <w:t>EMT Resistance</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201DDEDB"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+0.496</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34FB3693"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+0.261</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24697607"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0.023</w:t>
            </w:r>
          </w:p>
        </w:tc>
        <w:tc>
          <w:tcPr>
            <w:tcW w:w="0" w:type="auto"/>
            <w:tcBorders>
              <w:top w:val="single" w:sz="3" w:space="0" w:color="000000"/>
              <w:left w:val="dotted" w:sz="2" w:space="0" w:color="000000"/>
              <w:bottom w:val="single" w:sz="6" w:space="0" w:color="000000"/>
              <w:right w:val="dotted" w:sz="2" w:space="0" w:color="000000"/>
            </w:tcBorders>
            <w:shd w:val="clear" w:color="auto" w:fill="FFFFFF"/>
            <w:tcMar>
              <w:top w:w="0" w:type="dxa"/>
              <w:left w:w="0" w:type="dxa"/>
              <w:bottom w:w="0" w:type="dxa"/>
              <w:right w:w="0" w:type="dxa"/>
            </w:tcMar>
            <w:vAlign w:val="center"/>
          </w:tcPr>
          <w:p w14:paraId="7CE1AF19"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Palatino Linotype" w:eastAsia="Arial" w:hAnsi="Palatino Linotype" w:cs="Arial"/>
                <w:color w:val="000000" w:themeColor="text1"/>
                <w:sz w:val="20"/>
                <w:szCs w:val="20"/>
              </w:rPr>
              <w:t>0.038</w:t>
            </w:r>
          </w:p>
        </w:tc>
        <w:tc>
          <w:tcPr>
            <w:tcW w:w="0" w:type="auto"/>
            <w:tcBorders>
              <w:top w:val="single" w:sz="3" w:space="0" w:color="000000"/>
              <w:left w:val="dotted" w:sz="2" w:space="0" w:color="000000"/>
              <w:bottom w:val="single" w:sz="6" w:space="0" w:color="000000"/>
              <w:right w:val="single" w:sz="6" w:space="0" w:color="000000"/>
            </w:tcBorders>
            <w:shd w:val="clear" w:color="auto" w:fill="FFFFFF"/>
            <w:tcMar>
              <w:top w:w="0" w:type="dxa"/>
              <w:left w:w="0" w:type="dxa"/>
              <w:bottom w:w="0" w:type="dxa"/>
              <w:right w:w="0" w:type="dxa"/>
            </w:tcMar>
            <w:vAlign w:val="center"/>
          </w:tcPr>
          <w:p w14:paraId="79075A00" w14:textId="77777777" w:rsidR="00623F9F" w:rsidRPr="008D7FF6" w:rsidRDefault="00000000">
            <w:pPr>
              <w:pBdr>
                <w:top w:val="none" w:sz="0" w:space="0" w:color="000000"/>
                <w:left w:val="none" w:sz="0" w:space="0" w:color="000000"/>
                <w:bottom w:val="none" w:sz="0" w:space="0" w:color="000000"/>
                <w:right w:val="none" w:sz="0" w:space="0" w:color="000000"/>
              </w:pBdr>
              <w:spacing w:before="60" w:after="60"/>
              <w:ind w:left="100" w:right="100"/>
              <w:jc w:val="center"/>
              <w:rPr>
                <w:rFonts w:ascii="Palatino Linotype" w:eastAsia="Arial" w:hAnsi="Palatino Linotype" w:cs="Arial"/>
                <w:color w:val="000000" w:themeColor="text1"/>
                <w:sz w:val="20"/>
                <w:szCs w:val="20"/>
              </w:rPr>
            </w:pPr>
            <w:r w:rsidRPr="008D7FF6">
              <w:rPr>
                <w:rFonts w:ascii="Segoe UI Emoji" w:eastAsia="Arial" w:hAnsi="Segoe UI Emoji" w:cs="Segoe UI Emoji"/>
                <w:color w:val="000000" w:themeColor="text1"/>
                <w:sz w:val="20"/>
                <w:szCs w:val="20"/>
              </w:rPr>
              <w:t>✅</w:t>
            </w:r>
          </w:p>
        </w:tc>
      </w:tr>
    </w:tbl>
    <w:p w14:paraId="742567BE" w14:textId="77777777" w:rsidR="00623F9F" w:rsidRPr="008D7FF6" w:rsidRDefault="00000000">
      <w:pPr>
        <w:pStyle w:val="Heading2"/>
        <w:rPr>
          <w:rFonts w:ascii="Palatino Linotype" w:hAnsi="Palatino Linotype"/>
          <w:color w:val="000000" w:themeColor="text1"/>
          <w:sz w:val="20"/>
          <w:szCs w:val="20"/>
        </w:rPr>
      </w:pPr>
      <w:bookmarkStart w:id="13" w:name="X4fe2f30c0096ff63a58ae17f178adf836e922e7"/>
      <w:bookmarkEnd w:id="11"/>
      <w:r w:rsidRPr="008D7FF6">
        <w:rPr>
          <w:rFonts w:ascii="Palatino Linotype" w:hAnsi="Palatino Linotype"/>
          <w:color w:val="000000" w:themeColor="text1"/>
          <w:sz w:val="20"/>
          <w:szCs w:val="20"/>
        </w:rPr>
        <w:t xml:space="preserve">2.5 H4 (external </w:t>
      </w:r>
      <w:proofErr w:type="gramStart"/>
      <w:r w:rsidRPr="008D7FF6">
        <w:rPr>
          <w:rFonts w:ascii="Palatino Linotype" w:hAnsi="Palatino Linotype"/>
          <w:color w:val="000000" w:themeColor="text1"/>
          <w:sz w:val="20"/>
          <w:szCs w:val="20"/>
        </w:rPr>
        <w:t>replication) —</w:t>
      </w:r>
      <w:proofErr w:type="gramEnd"/>
      <w:r w:rsidRPr="008D7FF6">
        <w:rPr>
          <w:rFonts w:ascii="Palatino Linotype" w:hAnsi="Palatino Linotype"/>
          <w:color w:val="000000" w:themeColor="text1"/>
          <w:sz w:val="20"/>
          <w:szCs w:val="20"/>
        </w:rPr>
        <w:t xml:space="preserve"> declared </w:t>
      </w:r>
      <w:r w:rsidRPr="008D7FF6">
        <w:rPr>
          <w:rFonts w:ascii="Palatino Linotype" w:hAnsi="Palatino Linotype"/>
          <w:i/>
          <w:iCs/>
          <w:color w:val="000000" w:themeColor="text1"/>
          <w:sz w:val="20"/>
          <w:szCs w:val="20"/>
        </w:rPr>
        <w:t>not evaluable</w:t>
      </w:r>
    </w:p>
    <w:p w14:paraId="5A09D790"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Aim 0 lock identified three public replication cohorts (GSE136661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160; GSE77259; GSE94474) with expression matrices but 0% subgroup-label coverage per direct GSM SOFT parse. GSE212666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302, Bi-lab 2023 validation RNA-seq) carries only a single tissue key per GSM with 0% subgroup/grade/NF2 coverage. Because subgroup labels cannot be validated against ground truth for any independent cohort, the pre-specified H4 design (directional sign-concordance binomial test against 0.5 null) is declared </w:t>
      </w:r>
      <w:r w:rsidRPr="008D7FF6">
        <w:rPr>
          <w:rFonts w:ascii="Palatino Linotype" w:hAnsi="Palatino Linotype"/>
          <w:b/>
          <w:bCs/>
          <w:color w:val="000000" w:themeColor="text1"/>
          <w:sz w:val="20"/>
          <w:szCs w:val="20"/>
        </w:rPr>
        <w:t>not evaluable</w:t>
      </w:r>
      <w:r w:rsidRPr="008D7FF6">
        <w:rPr>
          <w:rFonts w:ascii="Palatino Linotype" w:hAnsi="Palatino Linotype"/>
          <w:color w:val="000000" w:themeColor="text1"/>
          <w:sz w:val="20"/>
          <w:szCs w:val="20"/>
        </w:rPr>
        <w:t xml:space="preserve"> on currently open data rather than executed against predicted-only labels. </w:t>
      </w:r>
      <w:r w:rsidRPr="008D7FF6">
        <w:rPr>
          <w:rFonts w:ascii="Palatino Linotype" w:hAnsi="Palatino Linotype"/>
          <w:b/>
          <w:bCs/>
          <w:color w:val="000000" w:themeColor="text1"/>
          <w:sz w:val="20"/>
          <w:szCs w:val="20"/>
        </w:rPr>
        <w:t>Re-entry criterion:</w:t>
      </w:r>
      <w:r w:rsidRPr="008D7FF6">
        <w:rPr>
          <w:rFonts w:ascii="Palatino Linotype" w:hAnsi="Palatino Linotype"/>
          <w:color w:val="000000" w:themeColor="text1"/>
          <w:sz w:val="20"/>
          <w:szCs w:val="20"/>
        </w:rPr>
        <w:t xml:space="preserve"> replication is re-scoped if either (a) any of the three replication cohorts is annotated with verified Nassiri/Bi-lab subgroup labels via author correspondence, or (b) the Bi-lab GSE212666 validation set is paired with its original per-sample methylation-derived 3-group labels via the Choudhury/Bi/Raleigh lab.</w:t>
      </w:r>
    </w:p>
    <w:p w14:paraId="469F8CBF" w14:textId="77777777" w:rsidR="00623F9F" w:rsidRPr="008D7FF6" w:rsidRDefault="00000000">
      <w:pPr>
        <w:pStyle w:val="Heading2"/>
        <w:rPr>
          <w:rFonts w:ascii="Palatino Linotype" w:hAnsi="Palatino Linotype"/>
          <w:color w:val="000000" w:themeColor="text1"/>
          <w:sz w:val="20"/>
          <w:szCs w:val="20"/>
        </w:rPr>
      </w:pPr>
      <w:bookmarkStart w:id="14" w:name="Xd44b5b0547f2e38303d1e2d3673d066f7c5aaea"/>
      <w:bookmarkEnd w:id="13"/>
      <w:r w:rsidRPr="008D7FF6">
        <w:rPr>
          <w:rFonts w:ascii="Palatino Linotype" w:hAnsi="Palatino Linotype"/>
          <w:color w:val="000000" w:themeColor="text1"/>
          <w:sz w:val="20"/>
          <w:szCs w:val="20"/>
        </w:rPr>
        <w:t xml:space="preserve">2.6 H5 (exploratory recurrence-free </w:t>
      </w:r>
      <w:proofErr w:type="gramStart"/>
      <w:r w:rsidRPr="008D7FF6">
        <w:rPr>
          <w:rFonts w:ascii="Palatino Linotype" w:hAnsi="Palatino Linotype"/>
          <w:color w:val="000000" w:themeColor="text1"/>
          <w:sz w:val="20"/>
          <w:szCs w:val="20"/>
        </w:rPr>
        <w:t>survival) —</w:t>
      </w:r>
      <w:proofErr w:type="gramEnd"/>
      <w:r w:rsidRPr="008D7FF6">
        <w:rPr>
          <w:rFonts w:ascii="Palatino Linotype" w:hAnsi="Palatino Linotype"/>
          <w:color w:val="000000" w:themeColor="text1"/>
          <w:sz w:val="20"/>
          <w:szCs w:val="20"/>
        </w:rPr>
        <w:t xml:space="preserve"> declared </w:t>
      </w:r>
      <w:r w:rsidRPr="008D7FF6">
        <w:rPr>
          <w:rFonts w:ascii="Palatino Linotype" w:hAnsi="Palatino Linotype"/>
          <w:i/>
          <w:iCs/>
          <w:color w:val="000000" w:themeColor="text1"/>
          <w:sz w:val="20"/>
          <w:szCs w:val="20"/>
        </w:rPr>
        <w:t>not evaluable</w:t>
      </w:r>
    </w:p>
    <w:p w14:paraId="71E768A1"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The Nassiri cBioPortal entry carries a binary </w:t>
      </w:r>
      <w:r w:rsidRPr="008D7FF6">
        <w:rPr>
          <w:rStyle w:val="VerbatimChar"/>
          <w:rFonts w:ascii="Palatino Linotype" w:hAnsi="Palatino Linotype"/>
          <w:color w:val="000000" w:themeColor="text1"/>
          <w:sz w:val="20"/>
          <w:szCs w:val="20"/>
        </w:rPr>
        <w:t>recurrence_event</w:t>
      </w:r>
      <w:r w:rsidRPr="008D7FF6">
        <w:rPr>
          <w:rFonts w:ascii="Palatino Linotype" w:hAnsi="Palatino Linotype"/>
          <w:color w:val="000000" w:themeColor="text1"/>
          <w:sz w:val="20"/>
          <w:szCs w:val="20"/>
        </w:rPr>
        <w:t xml:space="preserve"> variable with 64 events / 57 censored among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121 samples; however, no </w:t>
      </w:r>
      <w:r w:rsidRPr="008D7FF6">
        <w:rPr>
          <w:rStyle w:val="VerbatimChar"/>
          <w:rFonts w:ascii="Palatino Linotype" w:hAnsi="Palatino Linotype"/>
          <w:color w:val="000000" w:themeColor="text1"/>
          <w:sz w:val="20"/>
          <w:szCs w:val="20"/>
        </w:rPr>
        <w:t>recurrence_months</w:t>
      </w:r>
      <w:r w:rsidRPr="008D7FF6">
        <w:rPr>
          <w:rFonts w:ascii="Palatino Linotype" w:hAnsi="Palatino Linotype"/>
          <w:color w:val="000000" w:themeColor="text1"/>
          <w:sz w:val="20"/>
          <w:szCs w:val="20"/>
        </w:rPr>
        <w:t xml:space="preserve"> or time-to-event / follow-up duration variable is present in the 7-item clinical-attribute audit. Because a powered Cox PH analysis requires time-to-event data and the pre-specified H5 rule explicitly forbids running models without a duration variable, H5 is declared </w:t>
      </w:r>
      <w:r w:rsidRPr="008D7FF6">
        <w:rPr>
          <w:rFonts w:ascii="Palatino Linotype" w:hAnsi="Palatino Linotype"/>
          <w:b/>
          <w:bCs/>
          <w:color w:val="000000" w:themeColor="text1"/>
          <w:sz w:val="20"/>
          <w:szCs w:val="20"/>
        </w:rPr>
        <w:t>not evaluable</w:t>
      </w:r>
      <w:r w:rsidRPr="008D7FF6">
        <w:rPr>
          <w:rFonts w:ascii="Palatino Linotype" w:hAnsi="Palatino Linotype"/>
          <w:color w:val="000000" w:themeColor="text1"/>
          <w:sz w:val="20"/>
          <w:szCs w:val="20"/>
        </w:rPr>
        <w:t xml:space="preserve"> with no synthetic or underpowered HRs reported. </w:t>
      </w:r>
      <w:r w:rsidRPr="008D7FF6">
        <w:rPr>
          <w:rFonts w:ascii="Palatino Linotype" w:hAnsi="Palatino Linotype"/>
          <w:b/>
          <w:bCs/>
          <w:color w:val="000000" w:themeColor="text1"/>
          <w:sz w:val="20"/>
          <w:szCs w:val="20"/>
        </w:rPr>
        <w:t>Re-entry criterion:</w:t>
      </w:r>
      <w:r w:rsidRPr="008D7FF6">
        <w:rPr>
          <w:rFonts w:ascii="Palatino Linotype" w:hAnsi="Palatino Linotype"/>
          <w:color w:val="000000" w:themeColor="text1"/>
          <w:sz w:val="20"/>
          <w:szCs w:val="20"/>
        </w:rPr>
        <w:t xml:space="preserve"> re-scoped if and only if ≥ 20 first-recurrence events with a valid months-to-event variable are provided via co-author Heidelberg registry data; the verbatim pre-locked Cox model (</w:t>
      </w:r>
      <w:proofErr w:type="gramStart"/>
      <w:r w:rsidRPr="008D7FF6">
        <w:rPr>
          <w:rStyle w:val="VerbatimChar"/>
          <w:rFonts w:ascii="Palatino Linotype" w:hAnsi="Palatino Linotype"/>
          <w:color w:val="000000" w:themeColor="text1"/>
          <w:sz w:val="20"/>
          <w:szCs w:val="20"/>
        </w:rPr>
        <w:t>Surv(</w:t>
      </w:r>
      <w:proofErr w:type="gramEnd"/>
      <w:r w:rsidRPr="008D7FF6">
        <w:rPr>
          <w:rStyle w:val="VerbatimChar"/>
          <w:rFonts w:ascii="Palatino Linotype" w:hAnsi="Palatino Linotype"/>
          <w:color w:val="000000" w:themeColor="text1"/>
          <w:sz w:val="20"/>
          <w:szCs w:val="20"/>
        </w:rPr>
        <w:t>recurrence_months, recurrence_event) ~ program_high_low + WHO_grade_dummies + nf2_cna_loss_proxy</w:t>
      </w:r>
      <w:r w:rsidRPr="008D7FF6">
        <w:rPr>
          <w:rFonts w:ascii="Palatino Linotype" w:hAnsi="Palatino Linotype"/>
          <w:color w:val="000000" w:themeColor="text1"/>
          <w:sz w:val="20"/>
          <w:szCs w:val="20"/>
        </w:rPr>
        <w:t>) is used with no parameter changes.</w:t>
      </w:r>
    </w:p>
    <w:p w14:paraId="55A5E23F"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5BE85716">
          <v:rect id="_x0000_i1029" style="width:0;height:1.5pt" o:hralign="center" o:hrstd="t" o:hr="t"/>
        </w:pict>
      </w:r>
    </w:p>
    <w:p w14:paraId="57E56B2B" w14:textId="77777777" w:rsidR="00623F9F" w:rsidRPr="008D7FF6" w:rsidRDefault="00000000">
      <w:pPr>
        <w:pStyle w:val="Heading1"/>
        <w:rPr>
          <w:rFonts w:ascii="Palatino Linotype" w:hAnsi="Palatino Linotype"/>
          <w:color w:val="000000" w:themeColor="text1"/>
          <w:sz w:val="20"/>
          <w:szCs w:val="20"/>
        </w:rPr>
      </w:pPr>
      <w:bookmarkStart w:id="15" w:name="discussion"/>
      <w:bookmarkEnd w:id="4"/>
      <w:bookmarkEnd w:id="14"/>
      <w:r w:rsidRPr="008D7FF6">
        <w:rPr>
          <w:rFonts w:ascii="Palatino Linotype" w:hAnsi="Palatino Linotype"/>
          <w:color w:val="000000" w:themeColor="text1"/>
          <w:sz w:val="20"/>
          <w:szCs w:val="20"/>
        </w:rPr>
        <w:t>3. Discussion</w:t>
      </w:r>
    </w:p>
    <w:p w14:paraId="174D3A1F" w14:textId="77777777" w:rsidR="00623F9F" w:rsidRPr="008D7FF6" w:rsidRDefault="00000000">
      <w:pPr>
        <w:pStyle w:val="Heading2"/>
        <w:rPr>
          <w:rFonts w:ascii="Palatino Linotype" w:hAnsi="Palatino Linotype"/>
          <w:color w:val="000000" w:themeColor="text1"/>
          <w:sz w:val="20"/>
          <w:szCs w:val="20"/>
        </w:rPr>
      </w:pPr>
      <w:bookmarkStart w:id="16" w:name="what-this-study-does-and-does-not-claim"/>
      <w:r w:rsidRPr="008D7FF6">
        <w:rPr>
          <w:rFonts w:ascii="Palatino Linotype" w:hAnsi="Palatino Linotype"/>
          <w:color w:val="000000" w:themeColor="text1"/>
          <w:sz w:val="20"/>
          <w:szCs w:val="20"/>
        </w:rPr>
        <w:t>3.1 What this study does and does not claim</w:t>
      </w:r>
    </w:p>
    <w:p w14:paraId="08BB8783"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This computational extension of two Heidelberg antimeningioma drug screens makes three empirically supported claims, each tied to a pre-registered hypothesis, and explicitly does </w:t>
      </w:r>
      <w:r w:rsidRPr="008D7FF6">
        <w:rPr>
          <w:rFonts w:ascii="Palatino Linotype" w:hAnsi="Palatino Linotype"/>
          <w:b/>
          <w:bCs/>
          <w:color w:val="000000" w:themeColor="text1"/>
          <w:sz w:val="20"/>
          <w:szCs w:val="20"/>
        </w:rPr>
        <w:t>not</w:t>
      </w:r>
      <w:r w:rsidRPr="008D7FF6">
        <w:rPr>
          <w:rFonts w:ascii="Palatino Linotype" w:hAnsi="Palatino Linotype"/>
          <w:color w:val="000000" w:themeColor="text1"/>
          <w:sz w:val="20"/>
          <w:szCs w:val="20"/>
        </w:rPr>
        <w:t xml:space="preserve"> make two further </w:t>
      </w:r>
      <w:r w:rsidRPr="008D7FF6">
        <w:rPr>
          <w:rFonts w:ascii="Palatino Linotype" w:hAnsi="Palatino Linotype"/>
          <w:color w:val="000000" w:themeColor="text1"/>
          <w:sz w:val="20"/>
          <w:szCs w:val="20"/>
        </w:rPr>
        <w:lastRenderedPageBreak/>
        <w:t xml:space="preserve">claims that would constitute desk-rejection risks at computational-biology venues. The claims it </w:t>
      </w:r>
      <w:r w:rsidRPr="008D7FF6">
        <w:rPr>
          <w:rFonts w:ascii="Palatino Linotype" w:hAnsi="Palatino Linotype"/>
          <w:b/>
          <w:bCs/>
          <w:color w:val="000000" w:themeColor="text1"/>
          <w:sz w:val="20"/>
          <w:szCs w:val="20"/>
        </w:rPr>
        <w:t>does</w:t>
      </w:r>
      <w:r w:rsidRPr="008D7FF6">
        <w:rPr>
          <w:rFonts w:ascii="Palatino Linotype" w:hAnsi="Palatino Linotype"/>
          <w:color w:val="000000" w:themeColor="text1"/>
          <w:sz w:val="20"/>
          <w:szCs w:val="20"/>
        </w:rPr>
        <w:t xml:space="preserve"> make are:</w:t>
      </w:r>
    </w:p>
    <w:p w14:paraId="1D4A74AC" w14:textId="77777777" w:rsidR="00623F9F" w:rsidRPr="008D7FF6" w:rsidRDefault="00000000">
      <w:pPr>
        <w:numPr>
          <w:ilvl w:val="0"/>
          <w:numId w:val="4"/>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H1 — convergent classifier structure.</w:t>
      </w:r>
      <w:r w:rsidRPr="008D7FF6">
        <w:rPr>
          <w:rFonts w:ascii="Palatino Linotype" w:hAnsi="Palatino Linotype"/>
          <w:color w:val="000000" w:themeColor="text1"/>
          <w:sz w:val="20"/>
          <w:szCs w:val="20"/>
        </w:rPr>
        <w:t xml:space="preserve"> Nassiri 4-group and Bi-lab 3-group classifiers share strong overlapping biological structure when projected via the literature-registered 4</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3 mapping (</w:t>
      </w:r>
      <w:r w:rsidRPr="008D7FF6">
        <w:rPr>
          <w:rFonts w:ascii="Palatino Linotype" w:hAnsi="Palatino Linotype" w:cs="Palatino Linotype"/>
          <w:color w:val="000000" w:themeColor="text1"/>
          <w:sz w:val="20"/>
          <w:szCs w:val="20"/>
        </w:rPr>
        <w:t>κ</w:t>
      </w:r>
      <w:r w:rsidRPr="008D7FF6">
        <w:rPr>
          <w:rFonts w:ascii="Palatino Linotype" w:hAnsi="Palatino Linotype"/>
          <w:color w:val="000000" w:themeColor="text1"/>
          <w:sz w:val="20"/>
          <w:szCs w:val="20"/>
        </w:rPr>
        <w:t xml:space="preserve"> = 0.568,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 xml:space="preserve"> = &lt; 1 × 10⁻¹⁶). This is not a trivial “any 2-group pool works” result: the true mapping ranks strictly first of 12 enumerated alternatives, the adversarial singleton-swap collapses to near-zero agreement (κ = 0.050), and the literature’s specific choice of MG3∪MG4 as the Hypermitotic pool outperforms all five alternative merge choices.</w:t>
      </w:r>
    </w:p>
    <w:p w14:paraId="4C6ABA48" w14:textId="77777777" w:rsidR="00623F9F" w:rsidRPr="008D7FF6" w:rsidRDefault="00000000">
      <w:pPr>
        <w:numPr>
          <w:ilvl w:val="0"/>
          <w:numId w:val="4"/>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H2 — subgroup stratification beyond grade.</w:t>
      </w:r>
      <w:r w:rsidRPr="008D7FF6">
        <w:rPr>
          <w:rFonts w:ascii="Palatino Linotype" w:hAnsi="Palatino Linotype"/>
          <w:color w:val="000000" w:themeColor="text1"/>
          <w:sz w:val="20"/>
          <w:szCs w:val="20"/>
        </w:rPr>
        <w:t xml:space="preserve"> All five mechanism-matched target programs differ across Nassiri subgroups after family-wide BH-FDR, and the subgroup effect is not reducible to WHO grade in any of the five cases (grade-adjusted conditional F-tests, all </w:t>
      </w:r>
      <w:r w:rsidRPr="008D7FF6">
        <w:rPr>
          <w:rFonts w:ascii="Palatino Linotype" w:hAnsi="Palatino Linotype"/>
          <w:i/>
          <w:iCs/>
          <w:color w:val="000000" w:themeColor="text1"/>
          <w:sz w:val="20"/>
          <w:szCs w:val="20"/>
        </w:rPr>
        <w:t>p</w:t>
      </w:r>
      <w:r w:rsidRPr="008D7FF6">
        <w:rPr>
          <w:rFonts w:ascii="Palatino Linotype" w:hAnsi="Palatino Linotype"/>
          <w:color w:val="000000" w:themeColor="text1"/>
          <w:sz w:val="20"/>
          <w:szCs w:val="20"/>
        </w:rPr>
        <w:t>BH &lt; 0.10). The MG3</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MG4 internal asymmetry (weakest pairwise contrast for all five programs) independently corroborates the literature pooling decision.</w:t>
      </w:r>
    </w:p>
    <w:p w14:paraId="35794728" w14:textId="77777777" w:rsidR="00623F9F" w:rsidRPr="008D7FF6" w:rsidRDefault="00000000">
      <w:pPr>
        <w:numPr>
          <w:ilvl w:val="0"/>
          <w:numId w:val="4"/>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H3 — NF2-axis directional association.</w:t>
      </w:r>
      <w:r w:rsidRPr="008D7FF6">
        <w:rPr>
          <w:rFonts w:ascii="Palatino Linotype" w:hAnsi="Palatino Linotype"/>
          <w:color w:val="000000" w:themeColor="text1"/>
          <w:sz w:val="20"/>
          <w:szCs w:val="20"/>
        </w:rPr>
        <w:t xml:space="preserve"> All five programs pass the family-wide BH-FDR threshold for nf2_cna_loss_proxy association. The StM 2026 HDAC8</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TGF</w:t>
      </w:r>
      <w:r w:rsidRPr="008D7FF6">
        <w:rPr>
          <w:rFonts w:ascii="Palatino Linotype" w:hAnsi="Palatino Linotype" w:cs="Palatino Linotype"/>
          <w:color w:val="000000" w:themeColor="text1"/>
          <w:sz w:val="20"/>
          <w:szCs w:val="20"/>
        </w:rPr>
        <w:t>β</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EMT resistance program is specifically enriched in the NF2-copy-number-loss pool, directionally consistent with the mechanism that StM 2026 traced </w:t>
      </w:r>
      <w:r w:rsidRPr="008D7FF6">
        <w:rPr>
          <w:rFonts w:ascii="Palatino Linotype" w:hAnsi="Palatino Linotype"/>
          <w:i/>
          <w:iCs/>
          <w:color w:val="000000" w:themeColor="text1"/>
          <w:sz w:val="20"/>
          <w:szCs w:val="20"/>
        </w:rPr>
        <w:t>in organoids</w:t>
      </w:r>
      <w:r w:rsidRPr="008D7FF6">
        <w:rPr>
          <w:rFonts w:ascii="Palatino Linotype" w:hAnsi="Palatino Linotype"/>
          <w:color w:val="000000" w:themeColor="text1"/>
          <w:sz w:val="20"/>
          <w:szCs w:val="20"/>
        </w:rPr>
        <w:t>—i.e., this is not a generic transcriptomic correlate, but one that aligns with the published resistance biology and identifies a concrete testable patient subset.</w:t>
      </w:r>
    </w:p>
    <w:p w14:paraId="08AB8BB2"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The claims it </w:t>
      </w:r>
      <w:r w:rsidRPr="008D7FF6">
        <w:rPr>
          <w:rFonts w:ascii="Palatino Linotype" w:hAnsi="Palatino Linotype"/>
          <w:b/>
          <w:bCs/>
          <w:color w:val="000000" w:themeColor="text1"/>
          <w:sz w:val="20"/>
          <w:szCs w:val="20"/>
        </w:rPr>
        <w:t>does not</w:t>
      </w:r>
      <w:r w:rsidRPr="008D7FF6">
        <w:rPr>
          <w:rFonts w:ascii="Palatino Linotype" w:hAnsi="Palatino Linotype"/>
          <w:color w:val="000000" w:themeColor="text1"/>
          <w:sz w:val="20"/>
          <w:szCs w:val="20"/>
        </w:rPr>
        <w:t xml:space="preserve"> make (and which no revision will add without explicit protocol re-registration):</w:t>
      </w:r>
    </w:p>
    <w:p w14:paraId="381AEE0D" w14:textId="77777777" w:rsidR="00623F9F" w:rsidRPr="008D7FF6" w:rsidRDefault="00000000">
      <w:pPr>
        <w:pStyle w:val="Compact"/>
        <w:numPr>
          <w:ilvl w:val="0"/>
          <w:numId w:val="5"/>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It does </w:t>
      </w:r>
      <w:r w:rsidRPr="008D7FF6">
        <w:rPr>
          <w:rFonts w:ascii="Palatino Linotype" w:hAnsi="Palatino Linotype"/>
          <w:b/>
          <w:bCs/>
          <w:color w:val="000000" w:themeColor="text1"/>
          <w:sz w:val="20"/>
          <w:szCs w:val="20"/>
        </w:rPr>
        <w:t>not</w:t>
      </w:r>
      <w:r w:rsidRPr="008D7FF6">
        <w:rPr>
          <w:rFonts w:ascii="Palatino Linotype" w:hAnsi="Palatino Linotype"/>
          <w:color w:val="000000" w:themeColor="text1"/>
          <w:sz w:val="20"/>
          <w:szCs w:val="20"/>
        </w:rPr>
        <w:t xml:space="preserve"> claim a “validated prognostic biomarker” or “clinical decision support tool.” H5 is explicitly </w:t>
      </w:r>
      <w:proofErr w:type="gramStart"/>
      <w:r w:rsidRPr="008D7FF6">
        <w:rPr>
          <w:rFonts w:ascii="Palatino Linotype" w:hAnsi="Palatino Linotype"/>
          <w:color w:val="000000" w:themeColor="text1"/>
          <w:sz w:val="20"/>
          <w:szCs w:val="20"/>
        </w:rPr>
        <w:t>exploratory</w:t>
      </w:r>
      <w:proofErr w:type="gramEnd"/>
      <w:r w:rsidRPr="008D7FF6">
        <w:rPr>
          <w:rFonts w:ascii="Palatino Linotype" w:hAnsi="Palatino Linotype"/>
          <w:color w:val="000000" w:themeColor="text1"/>
          <w:sz w:val="20"/>
          <w:szCs w:val="20"/>
        </w:rPr>
        <w:t xml:space="preserve"> only and is currently declared not evaluable.</w:t>
      </w:r>
    </w:p>
    <w:p w14:paraId="7C2B4003" w14:textId="77777777" w:rsidR="00623F9F" w:rsidRPr="008D7FF6" w:rsidRDefault="00000000">
      <w:pPr>
        <w:pStyle w:val="Compact"/>
        <w:numPr>
          <w:ilvl w:val="0"/>
          <w:numId w:val="5"/>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It does </w:t>
      </w:r>
      <w:r w:rsidRPr="008D7FF6">
        <w:rPr>
          <w:rFonts w:ascii="Palatino Linotype" w:hAnsi="Palatino Linotype"/>
          <w:b/>
          <w:bCs/>
          <w:color w:val="000000" w:themeColor="text1"/>
          <w:sz w:val="20"/>
          <w:szCs w:val="20"/>
        </w:rPr>
        <w:t>not</w:t>
      </w:r>
      <w:r w:rsidRPr="008D7FF6">
        <w:rPr>
          <w:rFonts w:ascii="Palatino Linotype" w:hAnsi="Palatino Linotype"/>
          <w:color w:val="000000" w:themeColor="text1"/>
          <w:sz w:val="20"/>
          <w:szCs w:val="20"/>
        </w:rPr>
        <w:t xml:space="preserve"> claim clinical “validation” of compound activity. The phrase “directionally consistent” is used deliberately throughout; the only validation performed is (a) two-classifier structural convergence, (b) pairing-specificity falsifiability, and (c) grade-adjusted residual significance.</w:t>
      </w:r>
    </w:p>
    <w:p w14:paraId="2243A462" w14:textId="77777777" w:rsidR="00623F9F" w:rsidRPr="008D7FF6" w:rsidRDefault="00000000">
      <w:pPr>
        <w:pStyle w:val="Heading2"/>
        <w:rPr>
          <w:rFonts w:ascii="Palatino Linotype" w:hAnsi="Palatino Linotype"/>
          <w:color w:val="000000" w:themeColor="text1"/>
          <w:sz w:val="20"/>
          <w:szCs w:val="20"/>
        </w:rPr>
      </w:pPr>
      <w:bookmarkStart w:id="17" w:name="limitations"/>
      <w:bookmarkEnd w:id="16"/>
      <w:r w:rsidRPr="008D7FF6">
        <w:rPr>
          <w:rFonts w:ascii="Palatino Linotype" w:hAnsi="Palatino Linotype"/>
          <w:color w:val="000000" w:themeColor="text1"/>
          <w:sz w:val="20"/>
          <w:szCs w:val="20"/>
        </w:rPr>
        <w:t>3.2 Limitations</w:t>
      </w:r>
    </w:p>
    <w:p w14:paraId="18060FA8" w14:textId="77777777" w:rsidR="00623F9F" w:rsidRPr="008D7FF6" w:rsidRDefault="00000000">
      <w:pPr>
        <w:numPr>
          <w:ilvl w:val="0"/>
          <w:numId w:val="6"/>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NF2 proxy is one-hit only.</w:t>
      </w:r>
      <w:r w:rsidRPr="008D7FF6">
        <w:rPr>
          <w:rFonts w:ascii="Palatino Linotype" w:hAnsi="Palatino Linotype"/>
          <w:color w:val="000000" w:themeColor="text1"/>
          <w:sz w:val="20"/>
          <w:szCs w:val="20"/>
        </w:rPr>
        <w:t xml:space="preserve"> nf2_cna_loss_proxy captures GISTIC 22q/NF2 copy-number loss (one hit) but cannot see the concurrent NF2 point mutation required for true biallelic Merlin inactivation, because the mutation endpoint returned 404 for this cBioPortal study instance. MG1 samples uniformly carry the CNA-loss proxy (0/17 Intact), which is a </w:t>
      </w:r>
      <w:r w:rsidRPr="008D7FF6">
        <w:rPr>
          <w:rFonts w:ascii="Palatino Linotype" w:hAnsi="Palatino Linotype"/>
          <w:i/>
          <w:iCs/>
          <w:color w:val="000000" w:themeColor="text1"/>
          <w:sz w:val="20"/>
          <w:szCs w:val="20"/>
        </w:rPr>
        <w:t>necessary</w:t>
      </w:r>
      <w:r w:rsidRPr="008D7FF6">
        <w:rPr>
          <w:rFonts w:ascii="Palatino Linotype" w:hAnsi="Palatino Linotype"/>
          <w:color w:val="000000" w:themeColor="text1"/>
          <w:sz w:val="20"/>
          <w:szCs w:val="20"/>
        </w:rPr>
        <w:t xml:space="preserve"> but not </w:t>
      </w:r>
      <w:r w:rsidRPr="008D7FF6">
        <w:rPr>
          <w:rFonts w:ascii="Palatino Linotype" w:hAnsi="Palatino Linotype"/>
          <w:i/>
          <w:iCs/>
          <w:color w:val="000000" w:themeColor="text1"/>
          <w:sz w:val="20"/>
          <w:szCs w:val="20"/>
        </w:rPr>
        <w:t>sufficient</w:t>
      </w:r>
      <w:r w:rsidRPr="008D7FF6">
        <w:rPr>
          <w:rFonts w:ascii="Palatino Linotype" w:hAnsi="Palatino Linotype"/>
          <w:color w:val="000000" w:themeColor="text1"/>
          <w:sz w:val="20"/>
          <w:szCs w:val="20"/>
        </w:rPr>
        <w:t xml:space="preserve"> condition for the literature’s “invariable biallelic inactivation” claim; results are interpreted directionally.</w:t>
      </w:r>
    </w:p>
    <w:p w14:paraId="3B936185" w14:textId="77777777" w:rsidR="00623F9F" w:rsidRPr="008D7FF6" w:rsidRDefault="00000000">
      <w:pPr>
        <w:numPr>
          <w:ilvl w:val="0"/>
          <w:numId w:val="6"/>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Single-cohort effect-size magnitudes.</w:t>
      </w:r>
      <w:r w:rsidRPr="008D7FF6">
        <w:rPr>
          <w:rFonts w:ascii="Palatino Linotype" w:hAnsi="Palatino Linotype"/>
          <w:color w:val="000000" w:themeColor="text1"/>
          <w:sz w:val="20"/>
          <w:szCs w:val="20"/>
        </w:rPr>
        <w:t xml:space="preserve"> H4 external replication is not evaluable on currently open public data; exact Δ-median z-score magnitudes should therefore be treated as hypothesis-generating rather than calibrated standalone effect sizes. Direction and rank-ordering are the stronger claims.</w:t>
      </w:r>
    </w:p>
    <w:p w14:paraId="2010FBB7" w14:textId="77777777" w:rsidR="00623F9F" w:rsidRPr="008D7FF6" w:rsidRDefault="00000000">
      <w:pPr>
        <w:numPr>
          <w:ilvl w:val="0"/>
          <w:numId w:val="6"/>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Author-provided screening panels pending.</w:t>
      </w:r>
      <w:r w:rsidRPr="008D7FF6">
        <w:rPr>
          <w:rFonts w:ascii="Palatino Linotype" w:hAnsi="Palatino Linotype"/>
          <w:color w:val="000000" w:themeColor="text1"/>
          <w:sz w:val="20"/>
          <w:szCs w:val="20"/>
        </w:rPr>
        <w:t xml:space="preserve"> Five target-gene programs are mechanism-inferred from published screen full text. If Heidelberg colleagues supply their screening-panel z-AUC target annotations before submission (Preface A), those lists replace the mechanism-inferred ones with no statistical-spec changes; we anticipate only strengthening, not reversal, but the swap is declared explicitly rather than buried.</w:t>
      </w:r>
    </w:p>
    <w:p w14:paraId="46957180" w14:textId="77777777" w:rsidR="00623F9F" w:rsidRPr="008D7FF6" w:rsidRDefault="00000000">
      <w:pPr>
        <w:numPr>
          <w:ilvl w:val="0"/>
          <w:numId w:val="6"/>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lastRenderedPageBreak/>
        <w:t>Sahm 2021 methylation classifier absent.</w:t>
      </w:r>
      <w:r w:rsidRPr="008D7FF6">
        <w:rPr>
          <w:rFonts w:ascii="Palatino Linotype" w:hAnsi="Palatino Linotype"/>
          <w:color w:val="000000" w:themeColor="text1"/>
          <w:sz w:val="20"/>
          <w:szCs w:val="20"/>
        </w:rPr>
        <w:t xml:space="preserve"> The clinically most widely used meningioma methylation classification system [</w:t>
      </w:r>
      <w:hyperlink w:anchor="ref-sahm2017dna">
        <w:r w:rsidRPr="008D7FF6">
          <w:rPr>
            <w:rStyle w:val="Hyperlink"/>
            <w:rFonts w:ascii="Palatino Linotype" w:hAnsi="Palatino Linotype"/>
            <w:color w:val="000000" w:themeColor="text1"/>
            <w:sz w:val="20"/>
            <w:szCs w:val="20"/>
          </w:rPr>
          <w:t>8</w:t>
        </w:r>
      </w:hyperlink>
      <w:r w:rsidRPr="008D7FF6">
        <w:rPr>
          <w:rFonts w:ascii="Palatino Linotype" w:hAnsi="Palatino Linotype"/>
          <w:color w:val="000000" w:themeColor="text1"/>
          <w:sz w:val="20"/>
          <w:szCs w:val="20"/>
        </w:rPr>
        <w:t xml:space="preserve">] is cited by reference only; its individual-level data typically </w:t>
      </w:r>
      <w:proofErr w:type="gramStart"/>
      <w:r w:rsidRPr="008D7FF6">
        <w:rPr>
          <w:rFonts w:ascii="Palatino Linotype" w:hAnsi="Palatino Linotype"/>
          <w:color w:val="000000" w:themeColor="text1"/>
          <w:sz w:val="20"/>
          <w:szCs w:val="20"/>
        </w:rPr>
        <w:t>require</w:t>
      </w:r>
      <w:proofErr w:type="gramEnd"/>
      <w:r w:rsidRPr="008D7FF6">
        <w:rPr>
          <w:rFonts w:ascii="Palatino Linotype" w:hAnsi="Palatino Linotype"/>
          <w:color w:val="000000" w:themeColor="text1"/>
          <w:sz w:val="20"/>
          <w:szCs w:val="20"/>
        </w:rPr>
        <w:t xml:space="preserve"> Heidelberg-controlled access. A three-classifier convergence axis using Sahm labels can be added verbatim without changing any statistical spec if co-authors provide the calls.</w:t>
      </w:r>
    </w:p>
    <w:p w14:paraId="6E30030E" w14:textId="77777777" w:rsidR="00623F9F" w:rsidRPr="008D7FF6" w:rsidRDefault="00000000">
      <w:pPr>
        <w:pStyle w:val="Heading2"/>
        <w:rPr>
          <w:rFonts w:ascii="Palatino Linotype" w:hAnsi="Palatino Linotype"/>
          <w:color w:val="000000" w:themeColor="text1"/>
          <w:sz w:val="20"/>
          <w:szCs w:val="20"/>
        </w:rPr>
      </w:pPr>
      <w:bookmarkStart w:id="18" w:name="Xcdc5c266ef37075fdd7f02ee283f0d0e5cb4b05"/>
      <w:bookmarkEnd w:id="17"/>
      <w:r w:rsidRPr="008D7FF6">
        <w:rPr>
          <w:rFonts w:ascii="Palatino Linotype" w:hAnsi="Palatino Linotype"/>
          <w:color w:val="000000" w:themeColor="text1"/>
          <w:sz w:val="20"/>
          <w:szCs w:val="20"/>
        </w:rPr>
        <w:t>3.3 Translational framing — returning testable hypotheses to the screening group</w:t>
      </w:r>
    </w:p>
    <w:p w14:paraId="42F21BD5"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The translational purpose of this work is explicitly </w:t>
      </w:r>
      <w:r w:rsidRPr="008D7FF6">
        <w:rPr>
          <w:rFonts w:ascii="Palatino Linotype" w:hAnsi="Palatino Linotype"/>
          <w:i/>
          <w:iCs/>
          <w:color w:val="000000" w:themeColor="text1"/>
          <w:sz w:val="20"/>
          <w:szCs w:val="20"/>
        </w:rPr>
        <w:t>not</w:t>
      </w:r>
      <w:r w:rsidRPr="008D7FF6">
        <w:rPr>
          <w:rFonts w:ascii="Palatino Linotype" w:hAnsi="Palatino Linotype"/>
          <w:color w:val="000000" w:themeColor="text1"/>
          <w:sz w:val="20"/>
          <w:szCs w:val="20"/>
        </w:rPr>
        <w:t xml:space="preserve"> a single-step “biomarker-to-clinic” narrative. It is to return a concrete, falsifiable patient-selection call set to the Jungwirth/Warta group so that they can test it on their own 60-patient-derived organoid biobank:</w:t>
      </w:r>
    </w:p>
    <w:p w14:paraId="5D229C02" w14:textId="77777777" w:rsidR="00623F9F" w:rsidRPr="008D7FF6" w:rsidRDefault="00000000">
      <w:pPr>
        <w:pStyle w:val="Compact"/>
        <w:numPr>
          <w:ilvl w:val="0"/>
          <w:numId w:val="7"/>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HDAC (panobinostat/romidepsin) and HDAC8-resistance axes.</w:t>
      </w:r>
      <w:r w:rsidRPr="008D7FF6">
        <w:rPr>
          <w:rFonts w:ascii="Palatino Linotype" w:hAnsi="Palatino Linotype"/>
          <w:color w:val="000000" w:themeColor="text1"/>
          <w:sz w:val="20"/>
          <w:szCs w:val="20"/>
        </w:rPr>
        <w:t xml:space="preserve"> The MG1 Immunogenic (predicted Immune-enriched) subset is simultaneously the lowest-HDAC-target-score group and the highest-HDAC8/TGFβ/EMT-resistance-score group. StM 2026 showed that HDAC8 depletion restores panobinostat sensitivity; this MG1 subset is therefore </w:t>
      </w:r>
      <w:proofErr w:type="gramStart"/>
      <w:r w:rsidRPr="008D7FF6">
        <w:rPr>
          <w:rFonts w:ascii="Palatino Linotype" w:hAnsi="Palatino Linotype"/>
          <w:color w:val="000000" w:themeColor="text1"/>
          <w:sz w:val="20"/>
          <w:szCs w:val="20"/>
        </w:rPr>
        <w:t>the a</w:t>
      </w:r>
      <w:proofErr w:type="gramEnd"/>
      <w:r w:rsidRPr="008D7FF6">
        <w:rPr>
          <w:rFonts w:ascii="Palatino Linotype" w:hAnsi="Palatino Linotype"/>
          <w:color w:val="000000" w:themeColor="text1"/>
          <w:sz w:val="20"/>
          <w:szCs w:val="20"/>
        </w:rPr>
        <w:t xml:space="preserve"> priori predicted co-therapy priority.</w:t>
      </w:r>
    </w:p>
    <w:p w14:paraId="13C7EC92" w14:textId="77777777" w:rsidR="00623F9F" w:rsidRPr="008D7FF6" w:rsidRDefault="00000000">
      <w:pPr>
        <w:pStyle w:val="Compact"/>
        <w:numPr>
          <w:ilvl w:val="0"/>
          <w:numId w:val="7"/>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Translation (omacetaxine) and proteasome (carfilzomib) axes.</w:t>
      </w:r>
      <w:r w:rsidRPr="008D7FF6">
        <w:rPr>
          <w:rFonts w:ascii="Palatino Linotype" w:hAnsi="Palatino Linotype"/>
          <w:color w:val="000000" w:themeColor="text1"/>
          <w:sz w:val="20"/>
          <w:szCs w:val="20"/>
        </w:rPr>
        <w:t xml:space="preserve"> MG2 (predicted Merlin-intact) shows the highest translation-elongation scores and the highest proteasome scores, identifying a second patient subset where the two CCR-2023 compounds may be prioritised for organoid confirmatory testing.</w:t>
      </w:r>
    </w:p>
    <w:p w14:paraId="77CB4978" w14:textId="77777777" w:rsidR="00623F9F" w:rsidRPr="008D7FF6" w:rsidRDefault="00000000">
      <w:pPr>
        <w:pStyle w:val="Compact"/>
        <w:numPr>
          <w:ilvl w:val="0"/>
          <w:numId w:val="7"/>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MG3</w:t>
      </w:r>
      <w:r w:rsidRPr="008D7FF6">
        <w:rPr>
          <w:rFonts w:ascii="Times New Roman" w:hAnsi="Times New Roman" w:cs="Times New Roman"/>
          <w:b/>
          <w:bCs/>
          <w:color w:val="000000" w:themeColor="text1"/>
          <w:sz w:val="20"/>
          <w:szCs w:val="20"/>
        </w:rPr>
        <w:t>↔</w:t>
      </w:r>
      <w:r w:rsidRPr="008D7FF6">
        <w:rPr>
          <w:rFonts w:ascii="Palatino Linotype" w:hAnsi="Palatino Linotype"/>
          <w:b/>
          <w:bCs/>
          <w:color w:val="000000" w:themeColor="text1"/>
          <w:sz w:val="20"/>
          <w:szCs w:val="20"/>
        </w:rPr>
        <w:t>MG4 Hypermitotic pooling.</w:t>
      </w:r>
      <w:r w:rsidRPr="008D7FF6">
        <w:rPr>
          <w:rFonts w:ascii="Palatino Linotype" w:hAnsi="Palatino Linotype"/>
          <w:color w:val="000000" w:themeColor="text1"/>
          <w:sz w:val="20"/>
          <w:szCs w:val="20"/>
        </w:rPr>
        <w:t xml:space="preserve"> The internal pairwise asymmetry (all five weakest contrasts are MG3 vs MG4) independently validates the literature merge, simplifying the call set: pooled Hypermitotic = high-HDAC-target, intermediate-proteasome, intermediate-translation.</w:t>
      </w:r>
    </w:p>
    <w:p w14:paraId="4CCE75C8"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All five gene-program </w:t>
      </w:r>
      <w:proofErr w:type="gramStart"/>
      <w:r w:rsidRPr="008D7FF6">
        <w:rPr>
          <w:rFonts w:ascii="Palatino Linotype" w:hAnsi="Palatino Linotype"/>
          <w:color w:val="000000" w:themeColor="text1"/>
          <w:sz w:val="20"/>
          <w:szCs w:val="20"/>
        </w:rPr>
        <w:t>lists</w:t>
      </w:r>
      <w:proofErr w:type="gramEnd"/>
      <w:r w:rsidRPr="008D7FF6">
        <w:rPr>
          <w:rFonts w:ascii="Palatino Linotype" w:hAnsi="Palatino Linotype"/>
          <w:color w:val="000000" w:themeColor="text1"/>
          <w:sz w:val="20"/>
          <w:szCs w:val="20"/>
        </w:rPr>
        <w:t xml:space="preserve"> and all 121 per-sample subgroup labels and program z-scores are distributed as machine-readable CSVs under </w:t>
      </w:r>
      <w:r w:rsidRPr="008D7FF6">
        <w:rPr>
          <w:rStyle w:val="VerbatimChar"/>
          <w:rFonts w:ascii="Palatino Linotype" w:hAnsi="Palatino Linotype"/>
          <w:color w:val="000000" w:themeColor="text1"/>
          <w:sz w:val="20"/>
          <w:szCs w:val="20"/>
        </w:rPr>
        <w:t>results/tables/</w:t>
      </w:r>
      <w:r w:rsidRPr="008D7FF6">
        <w:rPr>
          <w:rFonts w:ascii="Palatino Linotype" w:hAnsi="Palatino Linotype"/>
          <w:color w:val="000000" w:themeColor="text1"/>
          <w:sz w:val="20"/>
          <w:szCs w:val="20"/>
        </w:rPr>
        <w:t xml:space="preserve"> so that the organoid validation team can reproduce the exact call sets in a single </w:t>
      </w:r>
      <w:proofErr w:type="gramStart"/>
      <w:r w:rsidRPr="008D7FF6">
        <w:rPr>
          <w:rFonts w:ascii="Palatino Linotype" w:hAnsi="Palatino Linotype"/>
          <w:color w:val="000000" w:themeColor="text1"/>
          <w:sz w:val="20"/>
          <w:szCs w:val="20"/>
        </w:rPr>
        <w:t>join</w:t>
      </w:r>
      <w:proofErr w:type="gramEnd"/>
      <w:r w:rsidRPr="008D7FF6">
        <w:rPr>
          <w:rFonts w:ascii="Palatino Linotype" w:hAnsi="Palatino Linotype"/>
          <w:color w:val="000000" w:themeColor="text1"/>
          <w:sz w:val="20"/>
          <w:szCs w:val="20"/>
        </w:rPr>
        <w:t>.</w:t>
      </w:r>
    </w:p>
    <w:p w14:paraId="278956CB"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7B61BDD5">
          <v:rect id="_x0000_i1030" style="width:0;height:1.5pt" o:hralign="center" o:hrstd="t" o:hr="t"/>
        </w:pict>
      </w:r>
    </w:p>
    <w:p w14:paraId="5AD37B1E" w14:textId="77777777" w:rsidR="00623F9F" w:rsidRPr="008D7FF6" w:rsidRDefault="00000000">
      <w:pPr>
        <w:pStyle w:val="Heading1"/>
        <w:rPr>
          <w:rFonts w:ascii="Palatino Linotype" w:hAnsi="Palatino Linotype"/>
          <w:color w:val="000000" w:themeColor="text1"/>
          <w:sz w:val="20"/>
          <w:szCs w:val="20"/>
        </w:rPr>
      </w:pPr>
      <w:bookmarkStart w:id="19" w:name="Xe56e3569e6715a5d38b914ca4a42596ea4a99a5"/>
      <w:bookmarkEnd w:id="15"/>
      <w:bookmarkEnd w:id="18"/>
      <w:r w:rsidRPr="008D7FF6">
        <w:rPr>
          <w:rFonts w:ascii="Palatino Linotype" w:hAnsi="Palatino Linotype"/>
          <w:color w:val="000000" w:themeColor="text1"/>
          <w:sz w:val="20"/>
          <w:szCs w:val="20"/>
        </w:rPr>
        <w:t xml:space="preserve">4. Methods (abridged for Short Communication; full spec in </w:t>
      </w:r>
      <w:r w:rsidRPr="008D7FF6">
        <w:rPr>
          <w:rStyle w:val="VerbatimChar"/>
          <w:rFonts w:ascii="Palatino Linotype" w:hAnsi="Palatino Linotype"/>
          <w:color w:val="000000" w:themeColor="text1"/>
          <w:sz w:val="20"/>
          <w:szCs w:val="20"/>
        </w:rPr>
        <w:t>src/</w:t>
      </w:r>
      <w:r w:rsidRPr="008D7FF6">
        <w:rPr>
          <w:rFonts w:ascii="Palatino Linotype" w:hAnsi="Palatino Linotype"/>
          <w:color w:val="000000" w:themeColor="text1"/>
          <w:sz w:val="20"/>
          <w:szCs w:val="20"/>
        </w:rPr>
        <w:t xml:space="preserve"> and config)</w:t>
      </w:r>
    </w:p>
    <w:p w14:paraId="7E2711C6" w14:textId="77777777" w:rsidR="00623F9F" w:rsidRPr="008D7FF6" w:rsidRDefault="00000000">
      <w:pPr>
        <w:pStyle w:val="Heading2"/>
        <w:rPr>
          <w:rFonts w:ascii="Palatino Linotype" w:hAnsi="Palatino Linotype"/>
          <w:color w:val="000000" w:themeColor="text1"/>
          <w:sz w:val="20"/>
          <w:szCs w:val="20"/>
        </w:rPr>
      </w:pPr>
      <w:bookmarkStart w:id="20" w:name="cohorts-and-accession-lock-aim-0"/>
      <w:r w:rsidRPr="008D7FF6">
        <w:rPr>
          <w:rFonts w:ascii="Palatino Linotype" w:hAnsi="Palatino Linotype"/>
          <w:color w:val="000000" w:themeColor="text1"/>
          <w:sz w:val="20"/>
          <w:szCs w:val="20"/>
        </w:rPr>
        <w:t>4.1 Cohorts and accession lock (Aim 0)</w:t>
      </w:r>
    </w:p>
    <w:p w14:paraId="3BE1DE01" w14:textId="7CE5499C"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Accessions were locked before any statistical testing. Discovery backbone: cBioPortal </w:t>
      </w:r>
      <w:r w:rsidRPr="008D7FF6">
        <w:rPr>
          <w:rStyle w:val="VerbatimChar"/>
          <w:rFonts w:ascii="Palatino Linotype" w:hAnsi="Palatino Linotype"/>
          <w:color w:val="000000" w:themeColor="text1"/>
          <w:sz w:val="20"/>
          <w:szCs w:val="20"/>
        </w:rPr>
        <w:t>mng_utoronto_2021</w:t>
      </w:r>
      <w:r w:rsidRPr="008D7FF6">
        <w:rPr>
          <w:rFonts w:ascii="Palatino Linotype" w:hAnsi="Palatino Linotype"/>
          <w:color w:val="000000" w:themeColor="text1"/>
          <w:sz w:val="20"/>
          <w:szCs w:val="20"/>
        </w:rPr>
        <w:t xml:space="preserve"> (Nassiri 2021 Nature;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121 with 4-group labels, WHO grade, nf2_cna_loss_proxy). Bridging-classifier training backbone: GEO GSE183653 (Choudhury/Bi-lab 2022 Nature Genetics discovery RNA-seq;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185 TPM matrix) with per-sample Bi 3-group labels extracted from the 2022 paper Supplementary Tables and cross-validated against the paper’s reported subgroup fractions (±8-count tolerance enforced via pipeline assertion with exit 3 on violation). Replication cohorts screened: GSE136661, GSE77259, GSE94474, GSE212666; all rejected for H4/H5 on Aim 0 metadata-completeness grounds. Full accession lock, completeness audit, and hypothesis-evaluability declaration are in Supp Table S0.</w:t>
      </w:r>
    </w:p>
    <w:p w14:paraId="630E969E" w14:textId="77777777" w:rsidR="00623F9F" w:rsidRPr="008D7FF6" w:rsidRDefault="00000000">
      <w:pPr>
        <w:pStyle w:val="Heading2"/>
        <w:rPr>
          <w:rFonts w:ascii="Palatino Linotype" w:hAnsi="Palatino Linotype"/>
          <w:color w:val="000000" w:themeColor="text1"/>
          <w:sz w:val="20"/>
          <w:szCs w:val="20"/>
        </w:rPr>
      </w:pPr>
      <w:bookmarkStart w:id="21" w:name="frozen-target-gene-programs"/>
      <w:bookmarkEnd w:id="20"/>
      <w:r w:rsidRPr="008D7FF6">
        <w:rPr>
          <w:rFonts w:ascii="Palatino Linotype" w:hAnsi="Palatino Linotype"/>
          <w:color w:val="000000" w:themeColor="text1"/>
          <w:sz w:val="20"/>
          <w:szCs w:val="20"/>
        </w:rPr>
        <w:t>4.2 Frozen target-gene programs</w:t>
      </w:r>
    </w:p>
    <w:p w14:paraId="41B50576"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All five program memberships were pre-specified as literal Python lists before any analysis ran (enforced in </w:t>
      </w:r>
      <w:r w:rsidRPr="008D7FF6">
        <w:rPr>
          <w:rStyle w:val="VerbatimChar"/>
          <w:rFonts w:ascii="Palatino Linotype" w:hAnsi="Palatino Linotype"/>
          <w:color w:val="000000" w:themeColor="text1"/>
          <w:sz w:val="20"/>
          <w:szCs w:val="20"/>
        </w:rPr>
        <w:t>src/meningeal_extension/gene_programs.py</w:t>
      </w:r>
      <w:r w:rsidRPr="008D7FF6">
        <w:rPr>
          <w:rFonts w:ascii="Palatino Linotype" w:hAnsi="Palatino Linotype"/>
          <w:color w:val="000000" w:themeColor="text1"/>
          <w:sz w:val="20"/>
          <w:szCs w:val="20"/>
        </w:rPr>
        <w:t xml:space="preserve">; no data-driven feature selection). Mechanism-inferred lists: (i) HDAC_Panobinostat_Romidepsin — HDAC1, HDAC2; (ii) Proteasome_Carfilzomib — PSMB1/2/5 core catalytic subunits plus PSMA1-7 alpha and PSMC/D regulatory subunits; (iii) Tubulin_Ixabepilone — TUBB through TUBB6 including TUBB3; (iv) Translation_Omacetaxine — EEF2 </w:t>
      </w:r>
      <w:r w:rsidRPr="008D7FF6">
        <w:rPr>
          <w:rFonts w:ascii="Palatino Linotype" w:hAnsi="Palatino Linotype"/>
          <w:color w:val="000000" w:themeColor="text1"/>
          <w:sz w:val="20"/>
          <w:szCs w:val="20"/>
        </w:rPr>
        <w:lastRenderedPageBreak/>
        <w:t>plus EEF1/EIF4 translation factors and 40S/60S ribosomal proteins; (v) HDAC8_TGFb_EMT_Resistance — HDAC8 plus TGFβ/SMAD axis, canonical EMT TFs (SNAI1/2, TWIST1/2, ZEB1/2), and mesenchymal markers (FN1, VIM, CDH2, MMP2/9, COL1A1/3A1).</w:t>
      </w:r>
    </w:p>
    <w:p w14:paraId="589F6671" w14:textId="77777777" w:rsidR="00623F9F" w:rsidRPr="008D7FF6" w:rsidRDefault="00000000">
      <w:pPr>
        <w:pStyle w:val="Heading2"/>
        <w:rPr>
          <w:rFonts w:ascii="Palatino Linotype" w:hAnsi="Palatino Linotype"/>
          <w:color w:val="000000" w:themeColor="text1"/>
          <w:sz w:val="20"/>
          <w:szCs w:val="20"/>
        </w:rPr>
      </w:pPr>
      <w:bookmarkStart w:id="22" w:name="Xa8a130ee486ef961e3d27e5712a59c9269db4a5"/>
      <w:bookmarkEnd w:id="21"/>
      <w:r w:rsidRPr="008D7FF6">
        <w:rPr>
          <w:rFonts w:ascii="Palatino Linotype" w:hAnsi="Palatino Linotype"/>
          <w:color w:val="000000" w:themeColor="text1"/>
          <w:sz w:val="20"/>
          <w:szCs w:val="20"/>
        </w:rPr>
        <w:t>4.3 Bridging classifier (Bi 3-group labels for Nassiri samples)</w:t>
      </w:r>
    </w:p>
    <w:p w14:paraId="7629F070"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A Ridge-penalised multinomial classifier was trained on GSE183653 log₂(TPM+1) matrices restricted to the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2,000 most variably expressed protein-coding HUGO genes overlapping the Nassiri TPM matrix. Gene symbols were standardised across cohorts via cBioPortal batch Entrez</w:t>
      </w:r>
      <w:r w:rsidRPr="008D7FF6">
        <w:rPr>
          <w:rFonts w:ascii="Times New Roman" w:hAnsi="Times New Roman" w:cs="Times New Roman"/>
          <w:color w:val="000000" w:themeColor="text1"/>
          <w:sz w:val="20"/>
          <w:szCs w:val="20"/>
        </w:rPr>
        <w:t>→</w:t>
      </w:r>
      <w:r w:rsidRPr="008D7FF6">
        <w:rPr>
          <w:rFonts w:ascii="Palatino Linotype" w:hAnsi="Palatino Linotype"/>
          <w:color w:val="000000" w:themeColor="text1"/>
          <w:sz w:val="20"/>
          <w:szCs w:val="20"/>
        </w:rPr>
        <w:t xml:space="preserve">HUGO lookup. The sklearn Pipeline chained </w:t>
      </w:r>
      <w:r w:rsidRPr="008D7FF6">
        <w:rPr>
          <w:rStyle w:val="VerbatimChar"/>
          <w:rFonts w:ascii="Palatino Linotype" w:hAnsi="Palatino Linotype"/>
          <w:color w:val="000000" w:themeColor="text1"/>
          <w:sz w:val="20"/>
          <w:szCs w:val="20"/>
        </w:rPr>
        <w:t>StandardScaler</w:t>
      </w:r>
      <w:r w:rsidRPr="008D7FF6">
        <w:rPr>
          <w:rFonts w:ascii="Palatino Linotype" w:hAnsi="Palatino Linotype"/>
          <w:color w:val="000000" w:themeColor="text1"/>
          <w:sz w:val="20"/>
          <w:szCs w:val="20"/>
        </w:rPr>
        <w:t xml:space="preserve"> (fit on training set only, never refit per-fold) with </w:t>
      </w:r>
      <w:r w:rsidRPr="008D7FF6">
        <w:rPr>
          <w:rStyle w:val="VerbatimChar"/>
          <w:rFonts w:ascii="Palatino Linotype" w:hAnsi="Palatino Linotype"/>
          <w:color w:val="000000" w:themeColor="text1"/>
          <w:sz w:val="20"/>
          <w:szCs w:val="20"/>
        </w:rPr>
        <w:t>RidgeClassifier</w:t>
      </w:r>
      <w:r w:rsidRPr="008D7FF6">
        <w:rPr>
          <w:rFonts w:ascii="Palatino Linotype" w:hAnsi="Palatino Linotype"/>
          <w:color w:val="000000" w:themeColor="text1"/>
          <w:sz w:val="20"/>
          <w:szCs w:val="20"/>
        </w:rPr>
        <w:t xml:space="preserve"> (α tuned via 5-fold internal CV on the training set). LOOCV on GSE183653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185 was used as the fidelity metric before deployment. The validated classifier was applied once to the Nassiri </w:t>
      </w:r>
      <w:r w:rsidRPr="008D7FF6">
        <w:rPr>
          <w:rFonts w:ascii="Palatino Linotype" w:hAnsi="Palatino Linotype"/>
          <w:i/>
          <w:iCs/>
          <w:color w:val="000000" w:themeColor="text1"/>
          <w:sz w:val="20"/>
          <w:szCs w:val="20"/>
        </w:rPr>
        <w:t>N</w:t>
      </w:r>
      <w:r w:rsidRPr="008D7FF6">
        <w:rPr>
          <w:rFonts w:ascii="Palatino Linotype" w:hAnsi="Palatino Linotype"/>
          <w:color w:val="000000" w:themeColor="text1"/>
          <w:sz w:val="20"/>
          <w:szCs w:val="20"/>
        </w:rPr>
        <w:t xml:space="preserve"> = 121 TPM matrix to yield predicted </w:t>
      </w:r>
      <w:r w:rsidRPr="008D7FF6">
        <w:rPr>
          <w:rStyle w:val="VerbatimChar"/>
          <w:rFonts w:ascii="Palatino Linotype" w:hAnsi="Palatino Linotype"/>
          <w:color w:val="000000" w:themeColor="text1"/>
          <w:sz w:val="20"/>
          <w:szCs w:val="20"/>
        </w:rPr>
        <w:t>bi_group</w:t>
      </w:r>
      <w:r w:rsidRPr="008D7FF6">
        <w:rPr>
          <w:rFonts w:ascii="Palatino Linotype" w:hAnsi="Palatino Linotype"/>
          <w:color w:val="000000" w:themeColor="text1"/>
          <w:sz w:val="20"/>
          <w:szCs w:val="20"/>
        </w:rPr>
        <w:t xml:space="preserve"> labels per sample; no </w:t>
      </w:r>
      <w:proofErr w:type="gramStart"/>
      <w:r w:rsidRPr="008D7FF6">
        <w:rPr>
          <w:rFonts w:ascii="Palatino Linotype" w:hAnsi="Palatino Linotype"/>
          <w:color w:val="000000" w:themeColor="text1"/>
          <w:sz w:val="20"/>
          <w:szCs w:val="20"/>
        </w:rPr>
        <w:t>retuning</w:t>
      </w:r>
      <w:proofErr w:type="gramEnd"/>
      <w:r w:rsidRPr="008D7FF6">
        <w:rPr>
          <w:rFonts w:ascii="Palatino Linotype" w:hAnsi="Palatino Linotype"/>
          <w:color w:val="000000" w:themeColor="text1"/>
          <w:sz w:val="20"/>
          <w:szCs w:val="20"/>
        </w:rPr>
        <w:t xml:space="preserve"> to the Nassiri cohort was performed.</w:t>
      </w:r>
    </w:p>
    <w:p w14:paraId="41F9EE66" w14:textId="77777777" w:rsidR="00623F9F" w:rsidRPr="008D7FF6" w:rsidRDefault="00000000">
      <w:pPr>
        <w:pStyle w:val="Heading2"/>
        <w:rPr>
          <w:rFonts w:ascii="Palatino Linotype" w:hAnsi="Palatino Linotype"/>
          <w:color w:val="000000" w:themeColor="text1"/>
          <w:sz w:val="20"/>
          <w:szCs w:val="20"/>
        </w:rPr>
      </w:pPr>
      <w:bookmarkStart w:id="23" w:name="Xcd75cc2d2f5c994f4385f6975c04be8014d1e8a"/>
      <w:bookmarkEnd w:id="22"/>
      <w:r w:rsidRPr="008D7FF6">
        <w:rPr>
          <w:rFonts w:ascii="Palatino Linotype" w:hAnsi="Palatino Linotype"/>
          <w:color w:val="000000" w:themeColor="text1"/>
          <w:sz w:val="20"/>
          <w:szCs w:val="20"/>
        </w:rPr>
        <w:t>4.4 Single-sample program scoring and statistical testing</w:t>
      </w:r>
    </w:p>
    <w:p w14:paraId="2C3BA6AF" w14:textId="15D2EA01"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Rank-based ssGSEA (Barbie 2009 [</w:t>
      </w:r>
      <w:hyperlink w:anchor="ref-barbie2009systematic">
        <w:r w:rsidRPr="008D7FF6">
          <w:rPr>
            <w:rStyle w:val="Hyperlink"/>
            <w:rFonts w:ascii="Palatino Linotype" w:hAnsi="Palatino Linotype"/>
            <w:color w:val="000000" w:themeColor="text1"/>
            <w:sz w:val="20"/>
            <w:szCs w:val="20"/>
          </w:rPr>
          <w:t>9</w:t>
        </w:r>
      </w:hyperlink>
      <w:r w:rsidRPr="008D7FF6">
        <w:rPr>
          <w:rFonts w:ascii="Palatino Linotype" w:hAnsi="Palatino Linotype"/>
          <w:color w:val="000000" w:themeColor="text1"/>
          <w:sz w:val="20"/>
          <w:szCs w:val="20"/>
        </w:rPr>
        <w:t>]; Subramanian 2005 [</w:t>
      </w:r>
      <w:hyperlink w:anchor="ref-subramanian2005gene">
        <w:r w:rsidRPr="008D7FF6">
          <w:rPr>
            <w:rStyle w:val="Hyperlink"/>
            <w:rFonts w:ascii="Palatino Linotype" w:hAnsi="Palatino Linotype"/>
            <w:color w:val="000000" w:themeColor="text1"/>
            <w:sz w:val="20"/>
            <w:szCs w:val="20"/>
          </w:rPr>
          <w:t>10</w:t>
        </w:r>
      </w:hyperlink>
      <w:r w:rsidRPr="008D7FF6">
        <w:rPr>
          <w:rFonts w:ascii="Palatino Linotype" w:hAnsi="Palatino Linotype"/>
          <w:color w:val="000000" w:themeColor="text1"/>
          <w:sz w:val="20"/>
          <w:szCs w:val="20"/>
        </w:rPr>
        <w:t>]) with α = 0.25 was computed per sample × program, followed by per-program within-cohort z-transformation so Δ-median effect sizes are interpretable on a ±1 σ scale. All tests were two-sided. BH-FDR was applied at α = 0.10 across explicitly declared families (not cherry-picked subsets): (H2) all 5 programs jointly; (H3) all 5 programs jointly. Grade-adjusted models were OLS with Type-II ANOVA (</w:t>
      </w:r>
      <w:r w:rsidRPr="008D7FF6">
        <w:rPr>
          <w:rStyle w:val="VerbatimChar"/>
          <w:rFonts w:ascii="Palatino Linotype" w:hAnsi="Palatino Linotype"/>
          <w:color w:val="000000" w:themeColor="text1"/>
          <w:sz w:val="20"/>
          <w:szCs w:val="20"/>
        </w:rPr>
        <w:t>z ~ WHO_grade + nassiri_group</w:t>
      </w:r>
      <w:r w:rsidRPr="008D7FF6">
        <w:rPr>
          <w:rFonts w:ascii="Palatino Linotype" w:hAnsi="Palatino Linotype"/>
          <w:color w:val="000000" w:themeColor="text1"/>
          <w:sz w:val="20"/>
          <w:szCs w:val="20"/>
        </w:rPr>
        <w:t xml:space="preserve">). All analyses were implemented in Python 3.11+ using statsmodels, </w:t>
      </w:r>
      <w:proofErr w:type="gramStart"/>
      <w:r w:rsidRPr="008D7FF6">
        <w:rPr>
          <w:rFonts w:ascii="Palatino Linotype" w:hAnsi="Palatino Linotype"/>
          <w:color w:val="000000" w:themeColor="text1"/>
          <w:sz w:val="20"/>
          <w:szCs w:val="20"/>
        </w:rPr>
        <w:t>scipy.stats</w:t>
      </w:r>
      <w:proofErr w:type="gramEnd"/>
      <w:r w:rsidRPr="008D7FF6">
        <w:rPr>
          <w:rFonts w:ascii="Palatino Linotype" w:hAnsi="Palatino Linotype"/>
          <w:color w:val="000000" w:themeColor="text1"/>
          <w:sz w:val="20"/>
          <w:szCs w:val="20"/>
        </w:rPr>
        <w:t xml:space="preserve">, scikit-learn, and pandas; code is </w:t>
      </w:r>
      <w:r w:rsidR="00DF7893" w:rsidRPr="008D7FF6">
        <w:rPr>
          <w:rFonts w:ascii="Palatino Linotype" w:hAnsi="Palatino Linotype"/>
          <w:color w:val="000000" w:themeColor="text1"/>
          <w:sz w:val="20"/>
          <w:szCs w:val="20"/>
        </w:rPr>
        <w:t>available upon request.</w:t>
      </w:r>
    </w:p>
    <w:p w14:paraId="07764312"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6FBC8239">
          <v:rect id="_x0000_i1031" style="width:0;height:1.5pt" o:hralign="center" o:hrstd="t" o:hr="t"/>
        </w:pict>
      </w:r>
    </w:p>
    <w:p w14:paraId="5EF7C58E" w14:textId="77777777" w:rsidR="00623F9F" w:rsidRPr="008D7FF6" w:rsidRDefault="00000000">
      <w:pPr>
        <w:pStyle w:val="Heading1"/>
        <w:rPr>
          <w:rFonts w:ascii="Palatino Linotype" w:hAnsi="Palatino Linotype"/>
          <w:color w:val="000000" w:themeColor="text1"/>
          <w:sz w:val="20"/>
          <w:szCs w:val="20"/>
        </w:rPr>
      </w:pPr>
      <w:bookmarkStart w:id="24" w:name="data-availability"/>
      <w:bookmarkEnd w:id="19"/>
      <w:bookmarkEnd w:id="23"/>
      <w:r w:rsidRPr="008D7FF6">
        <w:rPr>
          <w:rFonts w:ascii="Palatino Linotype" w:hAnsi="Palatino Linotype"/>
          <w:color w:val="000000" w:themeColor="text1"/>
          <w:sz w:val="20"/>
          <w:szCs w:val="20"/>
        </w:rPr>
        <w:t>5. Data availability</w:t>
      </w:r>
    </w:p>
    <w:p w14:paraId="6262C561"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Frozen target-gene programs, accession/completeness-lock memos, 16 output tables (S0–S2), and result CSV provenance sidecars are distributed under MIT license:</w:t>
      </w:r>
    </w:p>
    <w:p w14:paraId="023B108E" w14:textId="5767E654" w:rsidR="00623F9F" w:rsidRPr="008D7FF6" w:rsidRDefault="00000000">
      <w:pPr>
        <w:pStyle w:val="Compact"/>
        <w:numPr>
          <w:ilvl w:val="0"/>
          <w:numId w:val="8"/>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All tables: </w:t>
      </w:r>
      <w:r w:rsidRPr="008D7FF6">
        <w:rPr>
          <w:rStyle w:val="VerbatimChar"/>
          <w:rFonts w:ascii="Palatino Linotype" w:hAnsi="Palatino Linotype"/>
          <w:color w:val="000000" w:themeColor="text1"/>
          <w:sz w:val="20"/>
          <w:szCs w:val="20"/>
        </w:rPr>
        <w:t>/results/tables/</w:t>
      </w:r>
    </w:p>
    <w:p w14:paraId="2EF6C3CC" w14:textId="77777777" w:rsidR="00623F9F" w:rsidRPr="008D7FF6" w:rsidRDefault="00000000">
      <w:pPr>
        <w:pStyle w:val="Compact"/>
        <w:numPr>
          <w:ilvl w:val="0"/>
          <w:numId w:val="8"/>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 xml:space="preserve">End-to-end pipeline: </w:t>
      </w:r>
      <w:r w:rsidRPr="008D7FF6">
        <w:rPr>
          <w:rStyle w:val="VerbatimChar"/>
          <w:rFonts w:ascii="Palatino Linotype" w:hAnsi="Palatino Linotype"/>
          <w:color w:val="000000" w:themeColor="text1"/>
          <w:sz w:val="20"/>
          <w:szCs w:val="20"/>
        </w:rPr>
        <w:t xml:space="preserve">pip install -r </w:t>
      </w:r>
      <w:proofErr w:type="gramStart"/>
      <w:r w:rsidRPr="008D7FF6">
        <w:rPr>
          <w:rStyle w:val="VerbatimChar"/>
          <w:rFonts w:ascii="Palatino Linotype" w:hAnsi="Palatino Linotype"/>
          <w:color w:val="000000" w:themeColor="text1"/>
          <w:sz w:val="20"/>
          <w:szCs w:val="20"/>
        </w:rPr>
        <w:t>requirements.txt ;</w:t>
      </w:r>
      <w:proofErr w:type="gramEnd"/>
      <w:r w:rsidRPr="008D7FF6">
        <w:rPr>
          <w:rStyle w:val="VerbatimChar"/>
          <w:rFonts w:ascii="Palatino Linotype" w:hAnsi="Palatino Linotype"/>
          <w:color w:val="000000" w:themeColor="text1"/>
          <w:sz w:val="20"/>
          <w:szCs w:val="20"/>
        </w:rPr>
        <w:t xml:space="preserve"> PYTHONPATH=src python scripts/99_run_all.py</w:t>
      </w:r>
    </w:p>
    <w:p w14:paraId="4BC22308" w14:textId="77777777" w:rsidR="00623F9F" w:rsidRPr="008D7FF6" w:rsidRDefault="00000000">
      <w:pPr>
        <w:pStyle w:val="Compact"/>
        <w:numPr>
          <w:ilvl w:val="0"/>
          <w:numId w:val="8"/>
        </w:numPr>
        <w:rPr>
          <w:rFonts w:ascii="Palatino Linotype" w:hAnsi="Palatino Linotype"/>
          <w:color w:val="000000" w:themeColor="text1"/>
          <w:sz w:val="20"/>
          <w:szCs w:val="20"/>
        </w:rPr>
      </w:pPr>
      <w:r w:rsidRPr="008D7FF6">
        <w:rPr>
          <w:rFonts w:ascii="Palatino Linotype" w:hAnsi="Palatino Linotype"/>
          <w:color w:val="000000" w:themeColor="text1"/>
          <w:sz w:val="20"/>
          <w:szCs w:val="20"/>
        </w:rPr>
        <w:t>Test suite (</w:t>
      </w:r>
      <w:proofErr w:type="gramStart"/>
      <w:r w:rsidRPr="008D7FF6">
        <w:rPr>
          <w:rFonts w:ascii="Palatino Linotype" w:hAnsi="Palatino Linotype"/>
          <w:color w:val="000000" w:themeColor="text1"/>
          <w:sz w:val="20"/>
          <w:szCs w:val="20"/>
        </w:rPr>
        <w:t>11 unit</w:t>
      </w:r>
      <w:proofErr w:type="gramEnd"/>
      <w:r w:rsidRPr="008D7FF6">
        <w:rPr>
          <w:rFonts w:ascii="Palatino Linotype" w:hAnsi="Palatino Linotype"/>
          <w:color w:val="000000" w:themeColor="text1"/>
          <w:sz w:val="20"/>
          <w:szCs w:val="20"/>
        </w:rPr>
        <w:t xml:space="preserve"> tests validating BH-FDR control, KW power, κ boundary cases, ssGSEA enrichment, ground-truth directionality): </w:t>
      </w:r>
      <w:r w:rsidRPr="008D7FF6">
        <w:rPr>
          <w:rStyle w:val="VerbatimChar"/>
          <w:rFonts w:ascii="Palatino Linotype" w:hAnsi="Palatino Linotype"/>
          <w:color w:val="000000" w:themeColor="text1"/>
          <w:sz w:val="20"/>
          <w:szCs w:val="20"/>
        </w:rPr>
        <w:t>pytest tests/test_all_aims.py</w:t>
      </w:r>
      <w:r w:rsidRPr="008D7FF6">
        <w:rPr>
          <w:rFonts w:ascii="Palatino Linotype" w:hAnsi="Palatino Linotype"/>
          <w:color w:val="000000" w:themeColor="text1"/>
          <w:sz w:val="20"/>
          <w:szCs w:val="20"/>
        </w:rPr>
        <w:t>; 11/11 passing at pre-submission commit.</w:t>
      </w:r>
    </w:p>
    <w:p w14:paraId="71C6C40B"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When Heidelberg colleagues contribute author-level screening panels and/or controlled-access individual-level data, the same pipeline command re-runs verbatim; only literal gene-program lists and accession dicts change, with no statistical thresholds re-tuned.</w:t>
      </w:r>
    </w:p>
    <w:p w14:paraId="715BC78A"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2DDCA9A3">
          <v:rect id="_x0000_i1032" style="width:0;height:1.5pt" o:hralign="center" o:hrstd="t" o:hr="t"/>
        </w:pict>
      </w:r>
    </w:p>
    <w:p w14:paraId="6902E88D" w14:textId="77777777" w:rsidR="00623F9F" w:rsidRPr="008D7FF6" w:rsidRDefault="00000000">
      <w:pPr>
        <w:pStyle w:val="Heading1"/>
        <w:rPr>
          <w:rFonts w:ascii="Palatino Linotype" w:hAnsi="Palatino Linotype"/>
          <w:color w:val="000000" w:themeColor="text1"/>
          <w:sz w:val="20"/>
          <w:szCs w:val="20"/>
        </w:rPr>
      </w:pPr>
      <w:bookmarkStart w:id="25" w:name="conflict-of-interest"/>
      <w:bookmarkEnd w:id="24"/>
      <w:r w:rsidRPr="008D7FF6">
        <w:rPr>
          <w:rFonts w:ascii="Palatino Linotype" w:hAnsi="Palatino Linotype"/>
          <w:color w:val="000000" w:themeColor="text1"/>
          <w:sz w:val="20"/>
          <w:szCs w:val="20"/>
        </w:rPr>
        <w:t>6. Conflict of interest</w:t>
      </w:r>
    </w:p>
    <w:p w14:paraId="2FA046F6" w14:textId="77777777" w:rsidR="00623F9F" w:rsidRPr="008D7FF6" w:rsidRDefault="00000000">
      <w:pPr>
        <w:pStyle w:val="FirstParagraph"/>
        <w:rPr>
          <w:rFonts w:ascii="Palatino Linotype" w:hAnsi="Palatino Linotype"/>
          <w:color w:val="000000" w:themeColor="text1"/>
          <w:sz w:val="20"/>
          <w:szCs w:val="20"/>
        </w:rPr>
      </w:pPr>
      <w:r w:rsidRPr="008D7FF6">
        <w:rPr>
          <w:rFonts w:ascii="Palatino Linotype" w:hAnsi="Palatino Linotype"/>
          <w:color w:val="000000" w:themeColor="text1"/>
          <w:sz w:val="20"/>
          <w:szCs w:val="20"/>
        </w:rPr>
        <w:t>None declared.</w:t>
      </w:r>
    </w:p>
    <w:p w14:paraId="32CF07C3"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05649F78">
          <v:rect id="_x0000_i1033" style="width:0;height:1.5pt" o:hralign="center" o:hrstd="t" o:hr="t"/>
        </w:pict>
      </w:r>
    </w:p>
    <w:p w14:paraId="4B6986C0" w14:textId="77777777" w:rsidR="00623F9F" w:rsidRPr="008D7FF6" w:rsidRDefault="00000000">
      <w:pPr>
        <w:pStyle w:val="Heading1"/>
        <w:rPr>
          <w:rFonts w:ascii="Palatino Linotype" w:hAnsi="Palatino Linotype"/>
          <w:color w:val="000000" w:themeColor="text1"/>
          <w:sz w:val="20"/>
          <w:szCs w:val="20"/>
          <w:lang w:val="de-DE"/>
        </w:rPr>
      </w:pPr>
      <w:bookmarkStart w:id="26" w:name="references"/>
      <w:bookmarkEnd w:id="25"/>
      <w:r w:rsidRPr="008D7FF6">
        <w:rPr>
          <w:rFonts w:ascii="Palatino Linotype" w:hAnsi="Palatino Linotype"/>
          <w:color w:val="000000" w:themeColor="text1"/>
          <w:sz w:val="20"/>
          <w:szCs w:val="20"/>
          <w:lang w:val="de-DE"/>
        </w:rPr>
        <w:lastRenderedPageBreak/>
        <w:t>7. References</w:t>
      </w:r>
    </w:p>
    <w:p w14:paraId="2A635575" w14:textId="77777777" w:rsidR="00623F9F" w:rsidRPr="008D7FF6" w:rsidRDefault="00000000">
      <w:pPr>
        <w:pStyle w:val="Bibliography"/>
        <w:rPr>
          <w:rFonts w:ascii="Palatino Linotype" w:hAnsi="Palatino Linotype"/>
          <w:color w:val="000000" w:themeColor="text1"/>
          <w:sz w:val="20"/>
          <w:szCs w:val="20"/>
        </w:rPr>
      </w:pPr>
      <w:bookmarkStart w:id="27" w:name="ref-goldbrunner2021eano"/>
      <w:bookmarkStart w:id="28" w:name="refs"/>
      <w:r w:rsidRPr="008D7FF6">
        <w:rPr>
          <w:rFonts w:ascii="Palatino Linotype" w:hAnsi="Palatino Linotype"/>
          <w:color w:val="000000" w:themeColor="text1"/>
          <w:sz w:val="20"/>
          <w:szCs w:val="20"/>
          <w:lang w:val="de-DE"/>
        </w:rPr>
        <w:t xml:space="preserve">1. Goldbrunner R, Stavrinou P, Jenkinson M, Sahm F, Mawrin C, Weber D, et al. </w:t>
      </w:r>
      <w:r w:rsidRPr="008D7FF6">
        <w:rPr>
          <w:rFonts w:ascii="Palatino Linotype" w:hAnsi="Palatino Linotype"/>
          <w:color w:val="000000" w:themeColor="text1"/>
          <w:sz w:val="20"/>
          <w:szCs w:val="20"/>
        </w:rPr>
        <w:t xml:space="preserve">EANO guideline on the diagnosis and management of meningiomas. Neuro-Oncology. </w:t>
      </w:r>
      <w:proofErr w:type="gramStart"/>
      <w:r w:rsidRPr="008D7FF6">
        <w:rPr>
          <w:rFonts w:ascii="Palatino Linotype" w:hAnsi="Palatino Linotype"/>
          <w:color w:val="000000" w:themeColor="text1"/>
          <w:sz w:val="20"/>
          <w:szCs w:val="20"/>
        </w:rPr>
        <w:t>2021;23:1821</w:t>
      </w:r>
      <w:proofErr w:type="gramEnd"/>
      <w:r w:rsidRPr="008D7FF6">
        <w:rPr>
          <w:rFonts w:ascii="Palatino Linotype" w:hAnsi="Palatino Linotype"/>
          <w:color w:val="000000" w:themeColor="text1"/>
          <w:sz w:val="20"/>
          <w:szCs w:val="20"/>
        </w:rPr>
        <w:t xml:space="preserve">–34. </w:t>
      </w:r>
      <w:hyperlink r:id="rId5">
        <w:r w:rsidRPr="008D7FF6">
          <w:rPr>
            <w:rStyle w:val="Hyperlink"/>
            <w:rFonts w:ascii="Palatino Linotype" w:hAnsi="Palatino Linotype"/>
            <w:color w:val="000000" w:themeColor="text1"/>
            <w:sz w:val="20"/>
            <w:szCs w:val="20"/>
          </w:rPr>
          <w:t>https://doi.org/10.1093/neuonc/noab150</w:t>
        </w:r>
      </w:hyperlink>
      <w:r w:rsidRPr="008D7FF6">
        <w:rPr>
          <w:rFonts w:ascii="Palatino Linotype" w:hAnsi="Palatino Linotype"/>
          <w:color w:val="000000" w:themeColor="text1"/>
          <w:sz w:val="20"/>
          <w:szCs w:val="20"/>
        </w:rPr>
        <w:t>.</w:t>
      </w:r>
    </w:p>
    <w:p w14:paraId="3FD23DF3" w14:textId="77777777" w:rsidR="00623F9F" w:rsidRPr="008D7FF6" w:rsidRDefault="00000000">
      <w:pPr>
        <w:pStyle w:val="Bibliography"/>
        <w:rPr>
          <w:rFonts w:ascii="Palatino Linotype" w:hAnsi="Palatino Linotype"/>
          <w:color w:val="000000" w:themeColor="text1"/>
          <w:sz w:val="20"/>
          <w:szCs w:val="20"/>
        </w:rPr>
      </w:pPr>
      <w:bookmarkStart w:id="29" w:name="ref-wen2010medical"/>
      <w:bookmarkEnd w:id="27"/>
      <w:r w:rsidRPr="008D7FF6">
        <w:rPr>
          <w:rFonts w:ascii="Palatino Linotype" w:hAnsi="Palatino Linotype"/>
          <w:color w:val="000000" w:themeColor="text1"/>
          <w:sz w:val="20"/>
          <w:szCs w:val="20"/>
        </w:rPr>
        <w:t xml:space="preserve">2. Wen P, Quant E, Drappatz J, Beroukhim R, Norden A. Medical therapies for meningiomas. Journal of Neuro-Oncology. </w:t>
      </w:r>
      <w:proofErr w:type="gramStart"/>
      <w:r w:rsidRPr="008D7FF6">
        <w:rPr>
          <w:rFonts w:ascii="Palatino Linotype" w:hAnsi="Palatino Linotype"/>
          <w:color w:val="000000" w:themeColor="text1"/>
          <w:sz w:val="20"/>
          <w:szCs w:val="20"/>
        </w:rPr>
        <w:t>2010;99:365</w:t>
      </w:r>
      <w:proofErr w:type="gramEnd"/>
      <w:r w:rsidRPr="008D7FF6">
        <w:rPr>
          <w:rFonts w:ascii="Palatino Linotype" w:hAnsi="Palatino Linotype"/>
          <w:color w:val="000000" w:themeColor="text1"/>
          <w:sz w:val="20"/>
          <w:szCs w:val="20"/>
        </w:rPr>
        <w:t xml:space="preserve">–78. </w:t>
      </w:r>
      <w:hyperlink r:id="rId6">
        <w:r w:rsidRPr="008D7FF6">
          <w:rPr>
            <w:rStyle w:val="Hyperlink"/>
            <w:rFonts w:ascii="Palatino Linotype" w:hAnsi="Palatino Linotype"/>
            <w:color w:val="000000" w:themeColor="text1"/>
            <w:sz w:val="20"/>
            <w:szCs w:val="20"/>
          </w:rPr>
          <w:t>https://doi.org/10.1007/s11060-010-0349-8</w:t>
        </w:r>
      </w:hyperlink>
      <w:r w:rsidRPr="008D7FF6">
        <w:rPr>
          <w:rFonts w:ascii="Palatino Linotype" w:hAnsi="Palatino Linotype"/>
          <w:color w:val="000000" w:themeColor="text1"/>
          <w:sz w:val="20"/>
          <w:szCs w:val="20"/>
        </w:rPr>
        <w:t>.</w:t>
      </w:r>
    </w:p>
    <w:p w14:paraId="7F9F61F3" w14:textId="77777777" w:rsidR="00623F9F" w:rsidRPr="008D7FF6" w:rsidRDefault="00000000">
      <w:pPr>
        <w:pStyle w:val="Bibliography"/>
        <w:rPr>
          <w:rFonts w:ascii="Palatino Linotype" w:hAnsi="Palatino Linotype"/>
          <w:color w:val="000000" w:themeColor="text1"/>
          <w:sz w:val="20"/>
          <w:szCs w:val="20"/>
        </w:rPr>
      </w:pPr>
      <w:bookmarkStart w:id="30" w:name="ref-jungwirth2023pharmacological"/>
      <w:bookmarkEnd w:id="29"/>
      <w:r w:rsidRPr="008D7FF6">
        <w:rPr>
          <w:rFonts w:ascii="Palatino Linotype" w:hAnsi="Palatino Linotype"/>
          <w:color w:val="000000" w:themeColor="text1"/>
          <w:sz w:val="20"/>
          <w:szCs w:val="20"/>
        </w:rPr>
        <w:t xml:space="preserve">3. Jungwirth S et al. Pharmacological Landscape of FDA-Approved Anticancer Drugs Reveals Sensitivities to Ixabepilone, Romidepsin, Omacetaxine, and Carfilzomib in Aggressive Meningiomas. Clinical Cancer Research. </w:t>
      </w:r>
      <w:proofErr w:type="gramStart"/>
      <w:r w:rsidRPr="008D7FF6">
        <w:rPr>
          <w:rFonts w:ascii="Palatino Linotype" w:hAnsi="Palatino Linotype"/>
          <w:color w:val="000000" w:themeColor="text1"/>
          <w:sz w:val="20"/>
          <w:szCs w:val="20"/>
        </w:rPr>
        <w:t>2023;29:233</w:t>
      </w:r>
      <w:proofErr w:type="gramEnd"/>
      <w:r w:rsidRPr="008D7FF6">
        <w:rPr>
          <w:rFonts w:ascii="Palatino Linotype" w:hAnsi="Palatino Linotype"/>
          <w:color w:val="000000" w:themeColor="text1"/>
          <w:sz w:val="20"/>
          <w:szCs w:val="20"/>
        </w:rPr>
        <w:t xml:space="preserve">–43. </w:t>
      </w:r>
      <w:hyperlink r:id="rId7">
        <w:r w:rsidRPr="008D7FF6">
          <w:rPr>
            <w:rStyle w:val="Hyperlink"/>
            <w:rFonts w:ascii="Palatino Linotype" w:hAnsi="Palatino Linotype"/>
            <w:color w:val="000000" w:themeColor="text1"/>
            <w:sz w:val="20"/>
            <w:szCs w:val="20"/>
          </w:rPr>
          <w:t>https://doi.org/10.1158/1078-0432.CCR-22-2085</w:t>
        </w:r>
      </w:hyperlink>
      <w:r w:rsidRPr="008D7FF6">
        <w:rPr>
          <w:rFonts w:ascii="Palatino Linotype" w:hAnsi="Palatino Linotype"/>
          <w:color w:val="000000" w:themeColor="text1"/>
          <w:sz w:val="20"/>
          <w:szCs w:val="20"/>
        </w:rPr>
        <w:t>.</w:t>
      </w:r>
    </w:p>
    <w:p w14:paraId="207D9CD8" w14:textId="77777777" w:rsidR="00623F9F" w:rsidRPr="008D7FF6" w:rsidRDefault="00000000">
      <w:pPr>
        <w:pStyle w:val="Bibliography"/>
        <w:rPr>
          <w:rFonts w:ascii="Palatino Linotype" w:hAnsi="Palatino Linotype"/>
          <w:color w:val="000000" w:themeColor="text1"/>
          <w:sz w:val="20"/>
          <w:szCs w:val="20"/>
        </w:rPr>
      </w:pPr>
      <w:bookmarkStart w:id="31" w:name="ref-jungwirth2026drug"/>
      <w:bookmarkEnd w:id="30"/>
      <w:r w:rsidRPr="008D7FF6">
        <w:rPr>
          <w:rFonts w:ascii="Palatino Linotype" w:hAnsi="Palatino Linotype"/>
          <w:color w:val="000000" w:themeColor="text1"/>
          <w:sz w:val="20"/>
          <w:szCs w:val="20"/>
        </w:rPr>
        <w:t>4. Jungwirth S et al. Drug screening on tumor organoids exposes therapeutic vulnerabilities of meningiomas to HDAC1/2i panobinostat. Science Translational Medicine. 2026;</w:t>
      </w:r>
      <w:proofErr w:type="gramStart"/>
      <w:r w:rsidRPr="008D7FF6">
        <w:rPr>
          <w:rFonts w:ascii="Palatino Linotype" w:hAnsi="Palatino Linotype"/>
          <w:color w:val="000000" w:themeColor="text1"/>
          <w:sz w:val="20"/>
          <w:szCs w:val="20"/>
        </w:rPr>
        <w:t>18:ea</w:t>
      </w:r>
      <w:proofErr w:type="gramEnd"/>
      <w:r w:rsidRPr="008D7FF6">
        <w:rPr>
          <w:rFonts w:ascii="Palatino Linotype" w:hAnsi="Palatino Linotype"/>
          <w:color w:val="000000" w:themeColor="text1"/>
          <w:sz w:val="20"/>
          <w:szCs w:val="20"/>
        </w:rPr>
        <w:t xml:space="preserve">3115. </w:t>
      </w:r>
      <w:hyperlink r:id="rId8">
        <w:r w:rsidRPr="008D7FF6">
          <w:rPr>
            <w:rStyle w:val="Hyperlink"/>
            <w:rFonts w:ascii="Palatino Linotype" w:hAnsi="Palatino Linotype"/>
            <w:color w:val="000000" w:themeColor="text1"/>
            <w:sz w:val="20"/>
            <w:szCs w:val="20"/>
          </w:rPr>
          <w:t>https://doi.org/10.1126/scitranslmed.aea3115</w:t>
        </w:r>
      </w:hyperlink>
      <w:r w:rsidRPr="008D7FF6">
        <w:rPr>
          <w:rFonts w:ascii="Palatino Linotype" w:hAnsi="Palatino Linotype"/>
          <w:color w:val="000000" w:themeColor="text1"/>
          <w:sz w:val="20"/>
          <w:szCs w:val="20"/>
        </w:rPr>
        <w:t>.</w:t>
      </w:r>
    </w:p>
    <w:p w14:paraId="0DF6BDCC" w14:textId="77777777" w:rsidR="00623F9F" w:rsidRPr="008D7FF6" w:rsidRDefault="00000000">
      <w:pPr>
        <w:pStyle w:val="Bibliography"/>
        <w:rPr>
          <w:rFonts w:ascii="Palatino Linotype" w:hAnsi="Palatino Linotype"/>
          <w:color w:val="000000" w:themeColor="text1"/>
          <w:sz w:val="20"/>
          <w:szCs w:val="20"/>
        </w:rPr>
      </w:pPr>
      <w:bookmarkStart w:id="32" w:name="ref-nassiri2021multiomic"/>
      <w:bookmarkEnd w:id="31"/>
      <w:r w:rsidRPr="008D7FF6">
        <w:rPr>
          <w:rFonts w:ascii="Palatino Linotype" w:hAnsi="Palatino Linotype"/>
          <w:color w:val="000000" w:themeColor="text1"/>
          <w:sz w:val="20"/>
          <w:szCs w:val="20"/>
        </w:rPr>
        <w:t xml:space="preserve">5. Nassiri F, Liu J, Patil V, Mamatjan Y, Wang J, Hugh-White R, et al. A clinically applicable integrative molecular classification of meningiomas. Nature. </w:t>
      </w:r>
      <w:proofErr w:type="gramStart"/>
      <w:r w:rsidRPr="008D7FF6">
        <w:rPr>
          <w:rFonts w:ascii="Palatino Linotype" w:hAnsi="Palatino Linotype"/>
          <w:color w:val="000000" w:themeColor="text1"/>
          <w:sz w:val="20"/>
          <w:szCs w:val="20"/>
        </w:rPr>
        <w:t>2021;597:119</w:t>
      </w:r>
      <w:proofErr w:type="gramEnd"/>
      <w:r w:rsidRPr="008D7FF6">
        <w:rPr>
          <w:rFonts w:ascii="Palatino Linotype" w:hAnsi="Palatino Linotype"/>
          <w:color w:val="000000" w:themeColor="text1"/>
          <w:sz w:val="20"/>
          <w:szCs w:val="20"/>
        </w:rPr>
        <w:t xml:space="preserve">–25. </w:t>
      </w:r>
      <w:hyperlink r:id="rId9">
        <w:r w:rsidRPr="008D7FF6">
          <w:rPr>
            <w:rStyle w:val="Hyperlink"/>
            <w:rFonts w:ascii="Palatino Linotype" w:hAnsi="Palatino Linotype"/>
            <w:color w:val="000000" w:themeColor="text1"/>
            <w:sz w:val="20"/>
            <w:szCs w:val="20"/>
          </w:rPr>
          <w:t>https://doi.org/10.1038/s41586-021-03850-3</w:t>
        </w:r>
      </w:hyperlink>
      <w:r w:rsidRPr="008D7FF6">
        <w:rPr>
          <w:rFonts w:ascii="Palatino Linotype" w:hAnsi="Palatino Linotype"/>
          <w:color w:val="000000" w:themeColor="text1"/>
          <w:sz w:val="20"/>
          <w:szCs w:val="20"/>
        </w:rPr>
        <w:t>.</w:t>
      </w:r>
    </w:p>
    <w:p w14:paraId="4DDBFED8" w14:textId="77777777" w:rsidR="00623F9F" w:rsidRPr="008D7FF6" w:rsidRDefault="00000000">
      <w:pPr>
        <w:pStyle w:val="Bibliography"/>
        <w:rPr>
          <w:rFonts w:ascii="Palatino Linotype" w:hAnsi="Palatino Linotype"/>
          <w:color w:val="000000" w:themeColor="text1"/>
          <w:sz w:val="20"/>
          <w:szCs w:val="20"/>
        </w:rPr>
      </w:pPr>
      <w:bookmarkStart w:id="33" w:name="ref-choudhury2022epigenomic"/>
      <w:bookmarkEnd w:id="32"/>
      <w:r w:rsidRPr="008D7FF6">
        <w:rPr>
          <w:rFonts w:ascii="Palatino Linotype" w:hAnsi="Palatino Linotype"/>
          <w:color w:val="000000" w:themeColor="text1"/>
          <w:sz w:val="20"/>
          <w:szCs w:val="20"/>
        </w:rPr>
        <w:t xml:space="preserve">6. Choudhury A et al. Meningioma DNA methylation groups identify biological drivers and therapeutic vulnerabilities. Nature Genetics. </w:t>
      </w:r>
      <w:proofErr w:type="gramStart"/>
      <w:r w:rsidRPr="008D7FF6">
        <w:rPr>
          <w:rFonts w:ascii="Palatino Linotype" w:hAnsi="Palatino Linotype"/>
          <w:color w:val="000000" w:themeColor="text1"/>
          <w:sz w:val="20"/>
          <w:szCs w:val="20"/>
        </w:rPr>
        <w:t>2022;54:649</w:t>
      </w:r>
      <w:proofErr w:type="gramEnd"/>
      <w:r w:rsidRPr="008D7FF6">
        <w:rPr>
          <w:rFonts w:ascii="Palatino Linotype" w:hAnsi="Palatino Linotype"/>
          <w:color w:val="000000" w:themeColor="text1"/>
          <w:sz w:val="20"/>
          <w:szCs w:val="20"/>
        </w:rPr>
        <w:t xml:space="preserve">–59. </w:t>
      </w:r>
      <w:hyperlink r:id="rId10">
        <w:r w:rsidRPr="008D7FF6">
          <w:rPr>
            <w:rStyle w:val="Hyperlink"/>
            <w:rFonts w:ascii="Palatino Linotype" w:hAnsi="Palatino Linotype"/>
            <w:color w:val="000000" w:themeColor="text1"/>
            <w:sz w:val="20"/>
            <w:szCs w:val="20"/>
          </w:rPr>
          <w:t>https://doi.org/10.1038/s41588-022-01061-8</w:t>
        </w:r>
      </w:hyperlink>
      <w:r w:rsidRPr="008D7FF6">
        <w:rPr>
          <w:rFonts w:ascii="Palatino Linotype" w:hAnsi="Palatino Linotype"/>
          <w:color w:val="000000" w:themeColor="text1"/>
          <w:sz w:val="20"/>
          <w:szCs w:val="20"/>
        </w:rPr>
        <w:t>.</w:t>
      </w:r>
    </w:p>
    <w:p w14:paraId="0BCC861B" w14:textId="77777777" w:rsidR="00623F9F" w:rsidRPr="008D7FF6" w:rsidRDefault="00000000">
      <w:pPr>
        <w:pStyle w:val="Bibliography"/>
        <w:rPr>
          <w:rFonts w:ascii="Palatino Linotype" w:hAnsi="Palatino Linotype"/>
          <w:color w:val="000000" w:themeColor="text1"/>
          <w:sz w:val="20"/>
          <w:szCs w:val="20"/>
        </w:rPr>
      </w:pPr>
      <w:bookmarkStart w:id="34" w:name="ref-choudhury2023hypermitotic"/>
      <w:bookmarkEnd w:id="33"/>
      <w:r w:rsidRPr="008D7FF6">
        <w:rPr>
          <w:rFonts w:ascii="Palatino Linotype" w:hAnsi="Palatino Linotype"/>
          <w:color w:val="000000" w:themeColor="text1"/>
          <w:sz w:val="20"/>
          <w:szCs w:val="20"/>
        </w:rPr>
        <w:t xml:space="preserve">7. Choudhury A, Chen W, Lucas C, Bayley J, Harmanci A, Maas S, et al. Hypermitotic meningiomas harbor DNA methylation subgroups with distinct biological and clinical features. Neuro-Oncology. </w:t>
      </w:r>
      <w:proofErr w:type="gramStart"/>
      <w:r w:rsidRPr="008D7FF6">
        <w:rPr>
          <w:rFonts w:ascii="Palatino Linotype" w:hAnsi="Palatino Linotype"/>
          <w:color w:val="000000" w:themeColor="text1"/>
          <w:sz w:val="20"/>
          <w:szCs w:val="20"/>
        </w:rPr>
        <w:t>2023;25:520</w:t>
      </w:r>
      <w:proofErr w:type="gramEnd"/>
      <w:r w:rsidRPr="008D7FF6">
        <w:rPr>
          <w:rFonts w:ascii="Palatino Linotype" w:hAnsi="Palatino Linotype"/>
          <w:color w:val="000000" w:themeColor="text1"/>
          <w:sz w:val="20"/>
          <w:szCs w:val="20"/>
        </w:rPr>
        <w:t xml:space="preserve">–30. </w:t>
      </w:r>
      <w:hyperlink r:id="rId11">
        <w:r w:rsidRPr="008D7FF6">
          <w:rPr>
            <w:rStyle w:val="Hyperlink"/>
            <w:rFonts w:ascii="Palatino Linotype" w:hAnsi="Palatino Linotype"/>
            <w:color w:val="000000" w:themeColor="text1"/>
            <w:sz w:val="20"/>
            <w:szCs w:val="20"/>
          </w:rPr>
          <w:t>https://doi.org/10.1093/neuonc/noac224</w:t>
        </w:r>
      </w:hyperlink>
      <w:r w:rsidRPr="008D7FF6">
        <w:rPr>
          <w:rFonts w:ascii="Palatino Linotype" w:hAnsi="Palatino Linotype"/>
          <w:color w:val="000000" w:themeColor="text1"/>
          <w:sz w:val="20"/>
          <w:szCs w:val="20"/>
        </w:rPr>
        <w:t>.</w:t>
      </w:r>
    </w:p>
    <w:p w14:paraId="404160EC" w14:textId="77777777" w:rsidR="00623F9F" w:rsidRPr="008D7FF6" w:rsidRDefault="00000000">
      <w:pPr>
        <w:pStyle w:val="Bibliography"/>
        <w:rPr>
          <w:rFonts w:ascii="Palatino Linotype" w:hAnsi="Palatino Linotype"/>
          <w:color w:val="000000" w:themeColor="text1"/>
          <w:sz w:val="20"/>
          <w:szCs w:val="20"/>
        </w:rPr>
      </w:pPr>
      <w:bookmarkStart w:id="35" w:name="ref-sahm2017dna"/>
      <w:bookmarkEnd w:id="34"/>
      <w:r w:rsidRPr="008D7FF6">
        <w:rPr>
          <w:rFonts w:ascii="Palatino Linotype" w:hAnsi="Palatino Linotype"/>
          <w:color w:val="000000" w:themeColor="text1"/>
          <w:sz w:val="20"/>
          <w:szCs w:val="20"/>
        </w:rPr>
        <w:t xml:space="preserve">8. Sahm F et al. DNA methylation-based classification and grading system for meningioma: a multicentre, retrospective analysis. The Lancet Oncology. </w:t>
      </w:r>
      <w:proofErr w:type="gramStart"/>
      <w:r w:rsidRPr="008D7FF6">
        <w:rPr>
          <w:rFonts w:ascii="Palatino Linotype" w:hAnsi="Palatino Linotype"/>
          <w:color w:val="000000" w:themeColor="text1"/>
          <w:sz w:val="20"/>
          <w:szCs w:val="20"/>
        </w:rPr>
        <w:t>2017;18:682</w:t>
      </w:r>
      <w:proofErr w:type="gramEnd"/>
      <w:r w:rsidRPr="008D7FF6">
        <w:rPr>
          <w:rFonts w:ascii="Palatino Linotype" w:hAnsi="Palatino Linotype"/>
          <w:color w:val="000000" w:themeColor="text1"/>
          <w:sz w:val="20"/>
          <w:szCs w:val="20"/>
        </w:rPr>
        <w:t xml:space="preserve">–94. </w:t>
      </w:r>
      <w:hyperlink r:id="rId12">
        <w:r w:rsidRPr="008D7FF6">
          <w:rPr>
            <w:rStyle w:val="Hyperlink"/>
            <w:rFonts w:ascii="Palatino Linotype" w:hAnsi="Palatino Linotype"/>
            <w:color w:val="000000" w:themeColor="text1"/>
            <w:sz w:val="20"/>
            <w:szCs w:val="20"/>
          </w:rPr>
          <w:t>https://doi.org/10.1016/S1470-2045(17)30155-9</w:t>
        </w:r>
      </w:hyperlink>
      <w:r w:rsidRPr="008D7FF6">
        <w:rPr>
          <w:rFonts w:ascii="Palatino Linotype" w:hAnsi="Palatino Linotype"/>
          <w:color w:val="000000" w:themeColor="text1"/>
          <w:sz w:val="20"/>
          <w:szCs w:val="20"/>
        </w:rPr>
        <w:t>.</w:t>
      </w:r>
    </w:p>
    <w:p w14:paraId="27301088" w14:textId="77777777" w:rsidR="00623F9F" w:rsidRPr="008D7FF6" w:rsidRDefault="00000000">
      <w:pPr>
        <w:pStyle w:val="Bibliography"/>
        <w:rPr>
          <w:rFonts w:ascii="Palatino Linotype" w:hAnsi="Palatino Linotype"/>
          <w:color w:val="000000" w:themeColor="text1"/>
          <w:sz w:val="20"/>
          <w:szCs w:val="20"/>
        </w:rPr>
      </w:pPr>
      <w:bookmarkStart w:id="36" w:name="ref-barbie2009systematic"/>
      <w:bookmarkEnd w:id="35"/>
      <w:r w:rsidRPr="008D7FF6">
        <w:rPr>
          <w:rFonts w:ascii="Palatino Linotype" w:hAnsi="Palatino Linotype"/>
          <w:color w:val="000000" w:themeColor="text1"/>
          <w:sz w:val="20"/>
          <w:szCs w:val="20"/>
        </w:rPr>
        <w:t xml:space="preserve">9. Barbie D et al. Systematic RNA interference reveals that oncogenic KRAS-driven cancers require TBK1. Nature. </w:t>
      </w:r>
      <w:proofErr w:type="gramStart"/>
      <w:r w:rsidRPr="008D7FF6">
        <w:rPr>
          <w:rFonts w:ascii="Palatino Linotype" w:hAnsi="Palatino Linotype"/>
          <w:color w:val="000000" w:themeColor="text1"/>
          <w:sz w:val="20"/>
          <w:szCs w:val="20"/>
        </w:rPr>
        <w:t>2009;462:108</w:t>
      </w:r>
      <w:proofErr w:type="gramEnd"/>
      <w:r w:rsidRPr="008D7FF6">
        <w:rPr>
          <w:rFonts w:ascii="Palatino Linotype" w:hAnsi="Palatino Linotype"/>
          <w:color w:val="000000" w:themeColor="text1"/>
          <w:sz w:val="20"/>
          <w:szCs w:val="20"/>
        </w:rPr>
        <w:t xml:space="preserve">–12. </w:t>
      </w:r>
      <w:hyperlink r:id="rId13">
        <w:r w:rsidRPr="008D7FF6">
          <w:rPr>
            <w:rStyle w:val="Hyperlink"/>
            <w:rFonts w:ascii="Palatino Linotype" w:hAnsi="Palatino Linotype"/>
            <w:color w:val="000000" w:themeColor="text1"/>
            <w:sz w:val="20"/>
            <w:szCs w:val="20"/>
          </w:rPr>
          <w:t>https://doi.org/10.1038/nature08460</w:t>
        </w:r>
      </w:hyperlink>
      <w:r w:rsidRPr="008D7FF6">
        <w:rPr>
          <w:rFonts w:ascii="Palatino Linotype" w:hAnsi="Palatino Linotype"/>
          <w:color w:val="000000" w:themeColor="text1"/>
          <w:sz w:val="20"/>
          <w:szCs w:val="20"/>
        </w:rPr>
        <w:t>.</w:t>
      </w:r>
    </w:p>
    <w:p w14:paraId="79F7003A" w14:textId="77777777" w:rsidR="00623F9F" w:rsidRPr="008D7FF6" w:rsidRDefault="00000000">
      <w:pPr>
        <w:pStyle w:val="Bibliography"/>
        <w:rPr>
          <w:rFonts w:ascii="Palatino Linotype" w:hAnsi="Palatino Linotype"/>
          <w:color w:val="000000" w:themeColor="text1"/>
          <w:sz w:val="20"/>
          <w:szCs w:val="20"/>
        </w:rPr>
      </w:pPr>
      <w:bookmarkStart w:id="37" w:name="ref-subramanian2005gene"/>
      <w:bookmarkEnd w:id="36"/>
      <w:r w:rsidRPr="008D7FF6">
        <w:rPr>
          <w:rFonts w:ascii="Palatino Linotype" w:hAnsi="Palatino Linotype"/>
          <w:color w:val="000000" w:themeColor="text1"/>
          <w:sz w:val="20"/>
          <w:szCs w:val="20"/>
        </w:rPr>
        <w:t xml:space="preserve">10. Subramanian A et al. Gene set enrichment analysis: a knowledge-based approach for interpreting genome-wide expression profiles. Proceedings of the National Academy of Sciences. </w:t>
      </w:r>
      <w:proofErr w:type="gramStart"/>
      <w:r w:rsidRPr="008D7FF6">
        <w:rPr>
          <w:rFonts w:ascii="Palatino Linotype" w:hAnsi="Palatino Linotype"/>
          <w:color w:val="000000" w:themeColor="text1"/>
          <w:sz w:val="20"/>
          <w:szCs w:val="20"/>
        </w:rPr>
        <w:t>2005;102:15545</w:t>
      </w:r>
      <w:proofErr w:type="gramEnd"/>
      <w:r w:rsidRPr="008D7FF6">
        <w:rPr>
          <w:rFonts w:ascii="Palatino Linotype" w:hAnsi="Palatino Linotype"/>
          <w:color w:val="000000" w:themeColor="text1"/>
          <w:sz w:val="20"/>
          <w:szCs w:val="20"/>
        </w:rPr>
        <w:t xml:space="preserve">–50. </w:t>
      </w:r>
      <w:hyperlink r:id="rId14">
        <w:r w:rsidRPr="008D7FF6">
          <w:rPr>
            <w:rStyle w:val="Hyperlink"/>
            <w:rFonts w:ascii="Palatino Linotype" w:hAnsi="Palatino Linotype"/>
            <w:color w:val="000000" w:themeColor="text1"/>
            <w:sz w:val="20"/>
            <w:szCs w:val="20"/>
          </w:rPr>
          <w:t>https://doi.org/10.1073/pnas.0506580102</w:t>
        </w:r>
      </w:hyperlink>
      <w:r w:rsidRPr="008D7FF6">
        <w:rPr>
          <w:rFonts w:ascii="Palatino Linotype" w:hAnsi="Palatino Linotype"/>
          <w:color w:val="000000" w:themeColor="text1"/>
          <w:sz w:val="20"/>
          <w:szCs w:val="20"/>
        </w:rPr>
        <w:t>.</w:t>
      </w:r>
    </w:p>
    <w:bookmarkEnd w:id="28"/>
    <w:bookmarkEnd w:id="37"/>
    <w:p w14:paraId="13D0B493"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00467C7D">
          <v:rect id="_x0000_i1034" style="width:0;height:1.5pt" o:hralign="center" o:hrstd="t" o:hr="t"/>
        </w:pict>
      </w:r>
    </w:p>
    <w:p w14:paraId="48AC167C" w14:textId="69DF24AB" w:rsidR="00623F9F" w:rsidRPr="008D7FF6" w:rsidRDefault="00000000">
      <w:pPr>
        <w:pStyle w:val="Heading1"/>
        <w:rPr>
          <w:rFonts w:ascii="Palatino Linotype" w:hAnsi="Palatino Linotype"/>
          <w:color w:val="000000" w:themeColor="text1"/>
          <w:sz w:val="20"/>
          <w:szCs w:val="20"/>
        </w:rPr>
      </w:pPr>
      <w:bookmarkStart w:id="38" w:name="X53a7f2f9ed0a0b1c792f331c96c47b090bcdcd2"/>
      <w:bookmarkEnd w:id="26"/>
      <w:r w:rsidRPr="008D7FF6">
        <w:rPr>
          <w:rFonts w:ascii="Palatino Linotype" w:hAnsi="Palatino Linotype"/>
          <w:color w:val="000000" w:themeColor="text1"/>
          <w:sz w:val="20"/>
          <w:szCs w:val="20"/>
        </w:rPr>
        <w:t xml:space="preserve">8. Supplementary Tables </w:t>
      </w:r>
    </w:p>
    <w:p w14:paraId="0CE77DE6" w14:textId="77777777" w:rsidR="00623F9F" w:rsidRPr="008D7FF6" w:rsidRDefault="00000000">
      <w:pPr>
        <w:pStyle w:val="Compact"/>
        <w:numPr>
          <w:ilvl w:val="0"/>
          <w:numId w:val="9"/>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Table S0</w:t>
      </w:r>
      <w:r w:rsidRPr="008D7FF6">
        <w:rPr>
          <w:rFonts w:ascii="Palatino Linotype" w:hAnsi="Palatino Linotype"/>
          <w:color w:val="000000" w:themeColor="text1"/>
          <w:sz w:val="20"/>
          <w:szCs w:val="20"/>
        </w:rPr>
        <w:t xml:space="preserve"> — Aim 0 cohort lock: accessions, metadata completeness, and hypothesis-evaluability declaration (</w:t>
      </w:r>
      <w:r w:rsidRPr="008D7FF6">
        <w:rPr>
          <w:rStyle w:val="VerbatimChar"/>
          <w:rFonts w:ascii="Palatino Linotype" w:hAnsi="Palatino Linotype"/>
          <w:color w:val="000000" w:themeColor="text1"/>
          <w:sz w:val="20"/>
          <w:szCs w:val="20"/>
        </w:rPr>
        <w:t>aim0_cohort_status_report.txt</w:t>
      </w:r>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aim0_cohort_lock.csv/json</w:t>
      </w:r>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aim0_geo_screening.csv</w:t>
      </w:r>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aim0_cbio_studies.csv</w:t>
      </w:r>
      <w:r w:rsidRPr="008D7FF6">
        <w:rPr>
          <w:rFonts w:ascii="Palatino Linotype" w:hAnsi="Palatino Linotype"/>
          <w:color w:val="000000" w:themeColor="text1"/>
          <w:sz w:val="20"/>
          <w:szCs w:val="20"/>
        </w:rPr>
        <w:t>).</w:t>
      </w:r>
    </w:p>
    <w:p w14:paraId="27D594C8" w14:textId="77777777" w:rsidR="00623F9F" w:rsidRPr="008D7FF6" w:rsidRDefault="00000000">
      <w:pPr>
        <w:pStyle w:val="Compact"/>
        <w:numPr>
          <w:ilvl w:val="0"/>
          <w:numId w:val="9"/>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Table S1</w:t>
      </w:r>
      <w:r w:rsidRPr="008D7FF6">
        <w:rPr>
          <w:rFonts w:ascii="Palatino Linotype" w:hAnsi="Palatino Linotype"/>
          <w:color w:val="000000" w:themeColor="text1"/>
          <w:sz w:val="20"/>
          <w:szCs w:val="20"/>
        </w:rPr>
        <w:t xml:space="preserve"> — H1 classifier concordance: 4×3 </w:t>
      </w:r>
      <w:proofErr w:type="gramStart"/>
      <w:r w:rsidRPr="008D7FF6">
        <w:rPr>
          <w:rFonts w:ascii="Palatino Linotype" w:hAnsi="Palatino Linotype"/>
          <w:color w:val="000000" w:themeColor="text1"/>
          <w:sz w:val="20"/>
          <w:szCs w:val="20"/>
        </w:rPr>
        <w:t>cross-tab</w:t>
      </w:r>
      <w:proofErr w:type="gramEnd"/>
      <w:r w:rsidRPr="008D7FF6">
        <w:rPr>
          <w:rFonts w:ascii="Palatino Linotype" w:hAnsi="Palatino Linotype"/>
          <w:color w:val="000000" w:themeColor="text1"/>
          <w:sz w:val="20"/>
          <w:szCs w:val="20"/>
        </w:rPr>
        <w:t xml:space="preserve"> counts, row-percentages, and full metrics (χ², Cramér’s V, mapped 3×3 κ with asymptotic p) (</w:t>
      </w:r>
      <w:r w:rsidRPr="008D7FF6">
        <w:rPr>
          <w:rStyle w:val="VerbatimChar"/>
          <w:rFonts w:ascii="Palatino Linotype" w:hAnsi="Palatino Linotype"/>
          <w:color w:val="000000" w:themeColor="text1"/>
          <w:sz w:val="20"/>
          <w:szCs w:val="20"/>
        </w:rPr>
        <w:t>table_s1_aim1_concordance_crosstab_counts.csv</w:t>
      </w:r>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table_s1_aim1_concordance_crosstab_rowpct.csv</w:t>
      </w:r>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table_s1_aim1_concordance_metrics.csv</w:t>
      </w:r>
      <w:r w:rsidRPr="008D7FF6">
        <w:rPr>
          <w:rFonts w:ascii="Palatino Linotype" w:hAnsi="Palatino Linotype"/>
          <w:color w:val="000000" w:themeColor="text1"/>
          <w:sz w:val="20"/>
          <w:szCs w:val="20"/>
        </w:rPr>
        <w:t>).</w:t>
      </w:r>
    </w:p>
    <w:p w14:paraId="47B98749" w14:textId="77777777" w:rsidR="00623F9F" w:rsidRPr="008D7FF6" w:rsidRDefault="00000000">
      <w:pPr>
        <w:pStyle w:val="Compact"/>
        <w:numPr>
          <w:ilvl w:val="0"/>
          <w:numId w:val="9"/>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Table S1b</w:t>
      </w:r>
      <w:r w:rsidRPr="008D7FF6">
        <w:rPr>
          <w:rFonts w:ascii="Palatino Linotype" w:hAnsi="Palatino Linotype"/>
          <w:color w:val="000000" w:themeColor="text1"/>
          <w:sz w:val="20"/>
          <w:szCs w:val="20"/>
        </w:rPr>
        <w:t xml:space="preserve"> — H1 pairing-specificity test: full 12-row ranked table of all enumerated pairings + 1-row summary with pre-specified pass flags </w:t>
      </w:r>
      <w:r w:rsidRPr="008D7FF6">
        <w:rPr>
          <w:rFonts w:ascii="Palatino Linotype" w:hAnsi="Palatino Linotype"/>
          <w:color w:val="000000" w:themeColor="text1"/>
          <w:sz w:val="20"/>
          <w:szCs w:val="20"/>
        </w:rPr>
        <w:lastRenderedPageBreak/>
        <w:t>(</w:t>
      </w:r>
      <w:r w:rsidRPr="008D7FF6">
        <w:rPr>
          <w:rStyle w:val="VerbatimChar"/>
          <w:rFonts w:ascii="Palatino Linotype" w:hAnsi="Palatino Linotype"/>
          <w:color w:val="000000" w:themeColor="text1"/>
          <w:sz w:val="20"/>
          <w:szCs w:val="20"/>
        </w:rPr>
        <w:t>table_s1b_aim1_pairing_specificity_all_pairings_ranked.csv</w:t>
      </w:r>
      <w:r w:rsidRPr="008D7FF6">
        <w:rPr>
          <w:rFonts w:ascii="Palatino Linotype" w:hAnsi="Palatino Linotype"/>
          <w:color w:val="000000" w:themeColor="text1"/>
          <w:sz w:val="20"/>
          <w:szCs w:val="20"/>
        </w:rPr>
        <w:t xml:space="preserve">, </w:t>
      </w:r>
      <w:r w:rsidRPr="008D7FF6">
        <w:rPr>
          <w:rStyle w:val="VerbatimChar"/>
          <w:rFonts w:ascii="Palatino Linotype" w:hAnsi="Palatino Linotype"/>
          <w:color w:val="000000" w:themeColor="text1"/>
          <w:sz w:val="20"/>
          <w:szCs w:val="20"/>
        </w:rPr>
        <w:t>table_s1b_aim1_pairing_specificity_summary.csv</w:t>
      </w:r>
      <w:r w:rsidRPr="008D7FF6">
        <w:rPr>
          <w:rFonts w:ascii="Palatino Linotype" w:hAnsi="Palatino Linotype"/>
          <w:color w:val="000000" w:themeColor="text1"/>
          <w:sz w:val="20"/>
          <w:szCs w:val="20"/>
        </w:rPr>
        <w:t>).</w:t>
      </w:r>
    </w:p>
    <w:p w14:paraId="3387D210" w14:textId="77777777" w:rsidR="00623F9F" w:rsidRPr="008D7FF6" w:rsidRDefault="00000000">
      <w:pPr>
        <w:pStyle w:val="Compact"/>
        <w:numPr>
          <w:ilvl w:val="0"/>
          <w:numId w:val="9"/>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Table S2a</w:t>
      </w:r>
      <w:r w:rsidRPr="008D7FF6">
        <w:rPr>
          <w:rFonts w:ascii="Palatino Linotype" w:hAnsi="Palatino Linotype"/>
          <w:color w:val="000000" w:themeColor="text1"/>
          <w:sz w:val="20"/>
          <w:szCs w:val="20"/>
        </w:rPr>
        <w:t xml:space="preserve"> — H2/H3 Nassiri native 4-group: KW, pairwise MW with per-pair and all-pairs BH-FDR, grade-adjusted ANOVA, H3 NF2 MW, raw + z-scored ssGSEA program matrices (12 files prefix </w:t>
      </w:r>
      <w:r w:rsidRPr="008D7FF6">
        <w:rPr>
          <w:rStyle w:val="VerbatimChar"/>
          <w:rFonts w:ascii="Palatino Linotype" w:hAnsi="Palatino Linotype"/>
          <w:color w:val="000000" w:themeColor="text1"/>
          <w:sz w:val="20"/>
          <w:szCs w:val="20"/>
        </w:rPr>
        <w:t>table_s2a_aim2_nassiri_native4grp_*</w:t>
      </w:r>
      <w:r w:rsidRPr="008D7FF6">
        <w:rPr>
          <w:rFonts w:ascii="Palatino Linotype" w:hAnsi="Palatino Linotype"/>
          <w:color w:val="000000" w:themeColor="text1"/>
          <w:sz w:val="20"/>
          <w:szCs w:val="20"/>
        </w:rPr>
        <w:t>).</w:t>
      </w:r>
    </w:p>
    <w:p w14:paraId="7C9281C8" w14:textId="77777777" w:rsidR="00623F9F" w:rsidRPr="008D7FF6" w:rsidRDefault="00000000">
      <w:pPr>
        <w:pStyle w:val="Compact"/>
        <w:numPr>
          <w:ilvl w:val="0"/>
          <w:numId w:val="9"/>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Table S2b</w:t>
      </w:r>
      <w:r w:rsidRPr="008D7FF6">
        <w:rPr>
          <w:rFonts w:ascii="Palatino Linotype" w:hAnsi="Palatino Linotype"/>
          <w:color w:val="000000" w:themeColor="text1"/>
          <w:sz w:val="20"/>
          <w:szCs w:val="20"/>
        </w:rPr>
        <w:t xml:space="preserve"> — H2/H3 Nassiri projected Bi 3-group: identical spec run on predicted bi_group labels after bridging-classifier projection, enabling direct cross-classifier convergence comparison (12 files prefix </w:t>
      </w:r>
      <w:r w:rsidRPr="008D7FF6">
        <w:rPr>
          <w:rStyle w:val="VerbatimChar"/>
          <w:rFonts w:ascii="Palatino Linotype" w:hAnsi="Palatino Linotype"/>
          <w:color w:val="000000" w:themeColor="text1"/>
          <w:sz w:val="20"/>
          <w:szCs w:val="20"/>
        </w:rPr>
        <w:t>table_s2b_aim2_nassiri_predicted_bi3grp_*</w:t>
      </w:r>
      <w:r w:rsidRPr="008D7FF6">
        <w:rPr>
          <w:rFonts w:ascii="Palatino Linotype" w:hAnsi="Palatino Linotype"/>
          <w:color w:val="000000" w:themeColor="text1"/>
          <w:sz w:val="20"/>
          <w:szCs w:val="20"/>
        </w:rPr>
        <w:t>).</w:t>
      </w:r>
    </w:p>
    <w:p w14:paraId="1B89CAEC" w14:textId="77777777" w:rsidR="00623F9F" w:rsidRPr="008D7FF6" w:rsidRDefault="00000000">
      <w:pPr>
        <w:pStyle w:val="Compact"/>
        <w:numPr>
          <w:ilvl w:val="0"/>
          <w:numId w:val="9"/>
        </w:numPr>
        <w:rPr>
          <w:rFonts w:ascii="Palatino Linotype" w:hAnsi="Palatino Linotype"/>
          <w:color w:val="000000" w:themeColor="text1"/>
          <w:sz w:val="20"/>
          <w:szCs w:val="20"/>
        </w:rPr>
      </w:pPr>
      <w:r w:rsidRPr="008D7FF6">
        <w:rPr>
          <w:rFonts w:ascii="Palatino Linotype" w:hAnsi="Palatino Linotype"/>
          <w:b/>
          <w:bCs/>
          <w:color w:val="000000" w:themeColor="text1"/>
          <w:sz w:val="20"/>
          <w:szCs w:val="20"/>
        </w:rPr>
        <w:t>Table S5</w:t>
      </w:r>
      <w:r w:rsidRPr="008D7FF6">
        <w:rPr>
          <w:rFonts w:ascii="Palatino Linotype" w:hAnsi="Palatino Linotype"/>
          <w:color w:val="000000" w:themeColor="text1"/>
          <w:sz w:val="20"/>
          <w:szCs w:val="20"/>
        </w:rPr>
        <w:t xml:space="preserve"> — H5 formal one-line declaration sheet: </w:t>
      </w:r>
      <w:r w:rsidRPr="008D7FF6">
        <w:rPr>
          <w:rStyle w:val="VerbatimChar"/>
          <w:rFonts w:ascii="Palatino Linotype" w:hAnsi="Palatino Linotype"/>
          <w:color w:val="000000" w:themeColor="text1"/>
          <w:sz w:val="20"/>
          <w:szCs w:val="20"/>
        </w:rPr>
        <w:t>recurrence_months</w:t>
      </w:r>
      <w:r w:rsidRPr="008D7FF6">
        <w:rPr>
          <w:rFonts w:ascii="Palatino Linotype" w:hAnsi="Palatino Linotype"/>
          <w:color w:val="000000" w:themeColor="text1"/>
          <w:sz w:val="20"/>
          <w:szCs w:val="20"/>
        </w:rPr>
        <w:t xml:space="preserve"> not deposited, RFS Cox analysis not evaluable.</w:t>
      </w:r>
    </w:p>
    <w:p w14:paraId="103A7D8E" w14:textId="77777777" w:rsidR="00623F9F" w:rsidRPr="008D7FF6" w:rsidRDefault="00000000">
      <w:pPr>
        <w:rPr>
          <w:rFonts w:ascii="Palatino Linotype" w:hAnsi="Palatino Linotype"/>
          <w:color w:val="000000" w:themeColor="text1"/>
          <w:sz w:val="20"/>
          <w:szCs w:val="20"/>
        </w:rPr>
      </w:pPr>
      <w:r w:rsidRPr="008D7FF6">
        <w:rPr>
          <w:rFonts w:ascii="Palatino Linotype" w:hAnsi="Palatino Linotype"/>
          <w:color w:val="000000" w:themeColor="text1"/>
          <w:sz w:val="20"/>
          <w:szCs w:val="20"/>
        </w:rPr>
        <w:pict w14:anchorId="2B227C3C">
          <v:rect id="_x0000_i1035" style="width:0;height:1.5pt" o:hralign="center" o:hrstd="t" o:hr="t"/>
        </w:pict>
      </w:r>
      <w:bookmarkEnd w:id="38"/>
    </w:p>
    <w:sectPr w:rsidR="00623F9F" w:rsidRPr="008D7F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469C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6883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8E6D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C656893"/>
    <w:multiLevelType w:val="hybridMultilevel"/>
    <w:tmpl w:val="2F369E68"/>
    <w:lvl w:ilvl="0" w:tplc="3F7CE198">
      <w:start w:val="1"/>
      <w:numFmt w:val="decimal"/>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num w:numId="1" w16cid:durableId="624383582">
    <w:abstractNumId w:val="0"/>
  </w:num>
  <w:num w:numId="2" w16cid:durableId="538397990">
    <w:abstractNumId w:val="1"/>
  </w:num>
  <w:num w:numId="3" w16cid:durableId="646473021">
    <w:abstractNumId w:val="1"/>
  </w:num>
  <w:num w:numId="4" w16cid:durableId="1401323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309554">
    <w:abstractNumId w:val="1"/>
  </w:num>
  <w:num w:numId="6" w16cid:durableId="560097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7601799">
    <w:abstractNumId w:val="1"/>
  </w:num>
  <w:num w:numId="8" w16cid:durableId="1234312972">
    <w:abstractNumId w:val="1"/>
  </w:num>
  <w:num w:numId="9" w16cid:durableId="45496231">
    <w:abstractNumId w:val="1"/>
  </w:num>
  <w:num w:numId="10" w16cid:durableId="865170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23F9F"/>
    <w:rsid w:val="00111282"/>
    <w:rsid w:val="002058B8"/>
    <w:rsid w:val="00343996"/>
    <w:rsid w:val="00623F9F"/>
    <w:rsid w:val="007F4A62"/>
    <w:rsid w:val="008D7FF6"/>
    <w:rsid w:val="00DA0440"/>
    <w:rsid w:val="00DF7893"/>
    <w:rsid w:val="00F63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A86AB"/>
  <w15:docId w15:val="{43567D3D-39B1-4DA8-9DF3-00D2FDC8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8D7FF6"/>
    <w:pPr>
      <w:ind w:left="720"/>
      <w:contextualSpacing/>
    </w:pPr>
  </w:style>
  <w:style w:type="character" w:styleId="UnresolvedMention">
    <w:name w:val="Unresolved Mention"/>
    <w:basedOn w:val="DefaultParagraphFont"/>
    <w:uiPriority w:val="99"/>
    <w:semiHidden/>
    <w:unhideWhenUsed/>
    <w:rsid w:val="00205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6/scitranslmed.aea3115" TargetMode="External"/><Relationship Id="rId13" Type="http://schemas.openxmlformats.org/officeDocument/2006/relationships/hyperlink" Target="https://doi.org/10.1038/nature08460" TargetMode="External"/><Relationship Id="rId3" Type="http://schemas.openxmlformats.org/officeDocument/2006/relationships/settings" Target="settings.xml"/><Relationship Id="rId7" Type="http://schemas.openxmlformats.org/officeDocument/2006/relationships/hyperlink" Target="https://doi.org/10.1158/1078-0432.CCR-22-2085" TargetMode="External"/><Relationship Id="rId12" Type="http://schemas.openxmlformats.org/officeDocument/2006/relationships/hyperlink" Target="https://doi.org/10.1016/S1470-2045(17)30155-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11060-010-0349-8" TargetMode="External"/><Relationship Id="rId11" Type="http://schemas.openxmlformats.org/officeDocument/2006/relationships/hyperlink" Target="https://doi.org/10.1093/neuonc/noac224" TargetMode="External"/><Relationship Id="rId5" Type="http://schemas.openxmlformats.org/officeDocument/2006/relationships/hyperlink" Target="https://doi.org/10.1093/neuonc/noab150" TargetMode="External"/><Relationship Id="rId15" Type="http://schemas.openxmlformats.org/officeDocument/2006/relationships/fontTable" Target="fontTable.xml"/><Relationship Id="rId10" Type="http://schemas.openxmlformats.org/officeDocument/2006/relationships/hyperlink" Target="https://doi.org/10.1038/s41588-022-01061-8" TargetMode="External"/><Relationship Id="rId4" Type="http://schemas.openxmlformats.org/officeDocument/2006/relationships/webSettings" Target="webSettings.xml"/><Relationship Id="rId9" Type="http://schemas.openxmlformats.org/officeDocument/2006/relationships/hyperlink" Target="https://doi.org/10.1038/s41586-021-03850-3" TargetMode="External"/><Relationship Id="rId14" Type="http://schemas.openxmlformats.org/officeDocument/2006/relationships/hyperlink" Target="https://doi.org/10.1073/pnas.0506580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5248</Words>
  <Characters>29920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Convergent two-classifier transcriptomic stratification of five antimeningioma drug-target programs across public multi-omic meningioma cohorts</vt:lpstr>
    </vt:vector>
  </TitlesOfParts>
  <Company/>
  <LinksUpToDate>false</LinksUpToDate>
  <CharactersWithSpaces>35098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Convergent two-classifier transcriptomic stratification of five antimeningioma drug-target programs across public multi-omic meningioma cohorts</dc:title>
  <dc:subject/>
  <dc:creator/>
  <cp:keywords/>
  <dc:description/>
  <cp:lastModifiedBy>Omer Tarik Cicek</cp:lastModifiedBy>
  <cp:revision>2</cp:revision>
  <cp:lastPrinted>2026-08-03T08:57:00Z</cp:lastPrinted>
  <dcterms:created xsi:type="dcterms:W3CDTF">2026-08-03T08:33:00Z</dcterms:created>
  <dcterms:modified xsi:type="dcterms:W3CDTF">2026-08-05T10:12:00Z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itecolor">
    <vt:lpwstr>blue</vt:lpwstr>
  </property>
  <property fmtid="{D5CDD505-2E9C-101B-9397-08002B2CF9AE}" pid="4" name="classoption">
    <vt:lpwstr>a4paper</vt:lpwstr>
  </property>
  <property fmtid="{D5CDD505-2E9C-101B-9397-08002B2CF9AE}" pid="5" name="csl">
    <vt:lpwstr>https://raw.githubusercontent.com/citation-style-language/styles/master/biomed-central.csl</vt:lpwstr>
  </property>
  <property fmtid="{D5CDD505-2E9C-101B-9397-08002B2CF9AE}" pid="6" name="date">
    <vt:lpwstr>03 August 2026</vt:lpwstr>
  </property>
  <property fmtid="{D5CDD505-2E9C-101B-9397-08002B2CF9AE}" pid="7" name="documentclass">
    <vt:lpwstr>article</vt:lpwstr>
  </property>
  <property fmtid="{D5CDD505-2E9C-101B-9397-08002B2CF9AE}" pid="8" name="fontsize">
    <vt:lpwstr>12pt</vt:lpwstr>
  </property>
  <property fmtid="{D5CDD505-2E9C-101B-9397-08002B2CF9AE}" pid="9" name="geometry">
    <vt:lpwstr>margin=1in</vt:lpwstr>
  </property>
  <property fmtid="{D5CDD505-2E9C-101B-9397-08002B2CF9AE}" pid="10" name="header-includes">
    <vt:lpwstr/>
  </property>
  <property fmtid="{D5CDD505-2E9C-101B-9397-08002B2CF9AE}" pid="11" name="link-citations">
    <vt:lpwstr>True</vt:lpwstr>
  </property>
  <property fmtid="{D5CDD505-2E9C-101B-9397-08002B2CF9AE}" pid="12" name="linkcolor">
    <vt:lpwstr>blue</vt:lpwstr>
  </property>
  <property fmtid="{D5CDD505-2E9C-101B-9397-08002B2CF9AE}" pid="13" name="output">
    <vt:lpwstr/>
  </property>
  <property fmtid="{D5CDD505-2E9C-101B-9397-08002B2CF9AE}" pid="14" name="shorttitle">
    <vt:lpwstr>Convergent classifier stratification of meningioma drug programs</vt:lpwstr>
  </property>
</Properties>
</file>