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42862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 cy="476250"/>
                    </a:xfrm>
                    <a:prstGeom prst="rect">
                      <a:avLst/>
                    </a:prstGeom>
                  </pic:spPr>
                </pic:pic>
              </a:graphicData>
            </a:graphic>
          </wp:inline>
        </w:drawing>
      </w:r>
    </w:p>
    <w:p>
      <w:pPr>
        <w:spacing w:after="60" w:line="276"/>
        <w:jc w:val="center"/>
      </w:pPr>
      <w:r>
        <w:rPr>
          <w:rFonts w:ascii="Garamond" w:cs="Garamond" w:eastAsia="Garamond" w:hAnsi="Garamond"/>
          <w:b/>
          <w:bCs/>
          <w:color w:val="1F3864"/>
          <w:sz w:val="32"/>
          <w:szCs w:val="32"/>
        </w:rPr>
        <w:t xml:space="preserve">LOGOS V1 Prototype: Technical Status Memo</w:t>
      </w:r>
    </w:p>
    <w:p>
      <w:pPr>
        <w:spacing w:after="40" w:line="276"/>
        <w:jc w:val="center"/>
      </w:pPr>
      <w:r>
        <w:rPr>
          <w:rFonts w:ascii="Garamond" w:cs="Garamond" w:eastAsia="Garamond" w:hAnsi="Garamond"/>
          <w:sz w:val="22"/>
          <w:szCs w:val="22"/>
        </w:rPr>
        <w:t xml:space="preserve">Caleb Mukasa and Shadi Alazzeh</w:t>
      </w:r>
    </w:p>
    <w:p>
      <w:pPr>
        <w:spacing w:after="60" w:line="276"/>
        <w:jc w:val="center"/>
      </w:pPr>
      <w:r>
        <w:rPr>
          <w:rFonts w:ascii="Garamond" w:cs="Garamond" w:eastAsia="Garamond" w:hAnsi="Garamond"/>
          <w:color w:val="666666"/>
          <w:sz w:val="22"/>
          <w:szCs w:val="22"/>
        </w:rPr>
        <w:t xml:space="preserve">Lake Forest College, March 2026</w:t>
      </w:r>
    </w:p>
    <w:p>
      <w:pPr>
        <w:pBdr>
          <w:bottom w:val="single" w:color="1F3864" w:sz="4" w:space="1"/>
        </w:pBdr>
        <w:spacing w:after="250"/>
      </w:pPr>
    </w:p>
    <w:p>
      <w:pPr>
        <w:spacing w:after="180" w:line="276"/>
      </w:pPr>
      <w:r>
        <w:rPr>
          <w:rFonts w:ascii="Garamond" w:cs="Garamond" w:eastAsia="Garamond" w:hAnsi="Garamond"/>
          <w:b/>
          <w:bCs/>
          <w:sz w:val="24"/>
          <w:szCs w:val="24"/>
        </w:rPr>
        <w:t xml:space="preserve">What the prototype already does. </w:t>
      </w:r>
      <w:r>
        <w:rPr>
          <w:rFonts w:ascii="Garamond" w:cs="Garamond" w:eastAsia="Garamond" w:hAnsi="Garamond"/>
          <w:sz w:val="24"/>
          <w:szCs w:val="24"/>
        </w:rPr>
        <w:t xml:space="preserve">The LOGOS V1 prototype is a working Python pipeline that performs end-to-end analysis of prediction market coherence. It ingests live Polymarket contract data, parses and organizes contracts into logical families based on their structural relationships, checks whether observed prices satisfy the required probability constraints, solves a convex quadratic program (via CVXPY with the SCS solver) to compute the nearest coherent probability vector for each family at each time step, and produces diagnostic metrics and visualizations covering violation frequency, magnitude, and persistence.</w:t>
      </w:r>
    </w:p>
    <w:p>
      <w:pPr>
        <w:spacing w:after="180" w:line="276"/>
      </w:pPr>
      <w:r>
        <w:rPr>
          <w:rFonts w:ascii="Garamond" w:cs="Garamond" w:eastAsia="Garamond" w:hAnsi="Garamond"/>
          <w:b/>
          <w:bCs/>
          <w:sz w:val="24"/>
          <w:szCs w:val="24"/>
        </w:rPr>
        <w:t xml:space="preserve">What data has already been collected. </w:t>
      </w:r>
      <w:r>
        <w:rPr>
          <w:rFonts w:ascii="Garamond" w:cs="Garamond" w:eastAsia="Garamond" w:hAnsi="Garamond"/>
          <w:sz w:val="24"/>
          <w:szCs w:val="24"/>
        </w:rPr>
        <w:t xml:space="preserve">The prototype has processed 132 time-series snapshots collected over approximately 11 hours on March 15, 2026. The dataset covers 58 contracts across 5 market families: US-Iran Ceasefire (6 contracts, deadline nesting), BTC March Upside (9 contracts, threshold chain), BTC March Downside (10 contracts, threshold chain), 2026 NBA Champion (26 contracts, mutually exclusive), and Fed Rate Cut (7 contracts, deadline nesting). This yielded 7,656 individual price observations and 660 family-level diagnostic records. The system computed 660 coherent projections across all snapshots.</w:t>
      </w:r>
    </w:p>
    <w:p>
      <w:pPr>
        <w:spacing w:after="180" w:line="276"/>
      </w:pPr>
      <w:r>
        <w:rPr>
          <w:rFonts w:ascii="Garamond" w:cs="Garamond" w:eastAsia="Garamond" w:hAnsi="Garamond"/>
          <w:b/>
          <w:bCs/>
          <w:sz w:val="24"/>
          <w:szCs w:val="24"/>
        </w:rPr>
        <w:t xml:space="preserve">What technical components are working. </w:t>
      </w:r>
      <w:r>
        <w:rPr>
          <w:rFonts w:ascii="Garamond" w:cs="Garamond" w:eastAsia="Garamond" w:hAnsi="Garamond"/>
          <w:sz w:val="24"/>
          <w:szCs w:val="24"/>
        </w:rPr>
        <w:t xml:space="preserve">All core components are operational: JSON-based data ingestion, family construction logic for three constraint types (threshold chain, deadline nesting, mutually exclusive), the CVXPY-based convex optimizer with analytical fallback, violation detection and classification, inconsistency scoring (L2 norm of adjustment vectors), persistence analysis (consecutive violation run detection), and multi-panel visualization. The pipeline runs without errors on the full preliminary dataset.</w:t>
      </w:r>
    </w:p>
    <w:p>
      <w:pPr>
        <w:spacing w:after="180" w:line="276"/>
      </w:pPr>
      <w:r>
        <w:rPr>
          <w:rFonts w:ascii="Garamond" w:cs="Garamond" w:eastAsia="Garamond" w:hAnsi="Garamond"/>
          <w:b/>
          <w:bCs/>
          <w:sz w:val="24"/>
          <w:szCs w:val="24"/>
        </w:rPr>
        <w:t xml:space="preserve">Key preliminary findings. </w:t>
      </w:r>
      <w:r>
        <w:rPr>
          <w:rFonts w:ascii="Garamond" w:cs="Garamond" w:eastAsia="Garamond" w:hAnsi="Garamond"/>
          <w:sz w:val="24"/>
          <w:szCs w:val="24"/>
        </w:rPr>
        <w:t xml:space="preserve">Of the five families monitored, three (BTC Downside, NBA Champion, Fed Rate Cut) showed constraint violations in 100% of snapshots. A fourth (BTC Upside) was violated in 49.2% of snapshots. Only one family (US-Iran Ceasefire) remained coherent throughout. The Fed Rate Cut family exhibited the largest deviation, with the September/October deadline inversion requiring adjustments of up to ~6 percentage points per contract (inconsistency score up to 0.112). The NBA market consistently exceeded a probability sum of 1.00 by approximately 1.5–2.5 percentage points. Violations in three families persisted for the entire 11-hour observation window.</w:t>
      </w:r>
    </w:p>
    <w:p>
      <w:pPr>
        <w:spacing w:after="180" w:line="276"/>
      </w:pPr>
      <w:r>
        <w:rPr>
          <w:rFonts w:ascii="Garamond" w:cs="Garamond" w:eastAsia="Garamond" w:hAnsi="Garamond"/>
          <w:b/>
          <w:bCs/>
          <w:sz w:val="24"/>
          <w:szCs w:val="24"/>
        </w:rPr>
        <w:t xml:space="preserve">What remains for the summer. </w:t>
      </w:r>
      <w:r>
        <w:rPr>
          <w:rFonts w:ascii="Garamond" w:cs="Garamond" w:eastAsia="Garamond" w:hAnsi="Garamond"/>
          <w:sz w:val="24"/>
          <w:szCs w:val="24"/>
        </w:rPr>
        <w:t xml:space="preserve">The prototype demonstrates feasibility. The summer research period will focus on: (1) expanding data collection to cover more families, event types, and a longer time horizon; (2) modularizing and documenting the codebase for reproducibility; (3) conducting systematic empirical analysis across the expanded dataset; (4) exploring refinements such as liquidity-weighted optimization; and (5) writing and presenting the final research paper.</w:t>
      </w:r>
    </w:p>
    <w:p>
      <w:pPr>
        <w:spacing w:after="180" w:line="276"/>
      </w:pPr>
      <w:r>
        <w:rPr>
          <w:rFonts w:ascii="Garamond" w:cs="Garamond" w:eastAsia="Garamond" w:hAnsi="Garamond"/>
          <w:b/>
          <w:bCs/>
          <w:sz w:val="24"/>
          <w:szCs w:val="24"/>
        </w:rPr>
        <w:t xml:space="preserve">Why this demonstrates feasibility. </w:t>
      </w:r>
      <w:r>
        <w:rPr>
          <w:rFonts w:ascii="Garamond" w:cs="Garamond" w:eastAsia="Garamond" w:hAnsi="Garamond"/>
          <w:sz w:val="24"/>
          <w:szCs w:val="24"/>
        </w:rPr>
        <w:t xml:space="preserve">The hardest parts of the project (designing the mathematical framework, building the optimization engine, validating it on real data) are already done. The summer work is scaling a working system, not building one from scratch. The preliminary results suggest that the research questions are empirically tractable and that the technical pipeline produces meaningful output.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8"/>
        <w:szCs w:val="18"/>
      </w:rPr>
      <w:t xml:space="preserve">Mukasa &amp; Alazzeh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0"/>
      <w:jc w:val="right"/>
    </w:pPr>
    <w:r>
      <w:rPr>
        <w:rFonts w:ascii="Garamond" w:cs="Garamond" w:eastAsia="Garamond" w:hAnsi="Garamond"/>
        <w:i/>
        <w:iCs/>
        <w:color w:val="888888"/>
        <w:sz w:val="18"/>
        <w:szCs w:val="18"/>
      </w:rPr>
      <w:t xml:space="preserve">LOGOS | Prototype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c84c669351300eb758e8ff3eff776b64a42f69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2026-03-27T00:16:33.380Z</dcterms:created>
  <dcterms:modified xsi:type="dcterms:W3CDTF">2026-03-27T00:16:33.381Z</dcterms:modified>
</cp:coreProperties>
</file>

<file path=docProps/custom.xml><?xml version="1.0" encoding="utf-8"?>
<Properties xmlns="http://schemas.openxmlformats.org/officeDocument/2006/custom-properties" xmlns:vt="http://schemas.openxmlformats.org/officeDocument/2006/docPropsVTypes"/>
</file>