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FDFB8" w14:textId="09079FEA" w:rsidR="245937A3" w:rsidRDefault="00504CC6" w:rsidP="00504CC6">
      <w:pPr>
        <w:pStyle w:val="SuperTitle"/>
      </w:pPr>
      <w:r>
        <w:rPr>
          <w:noProof/>
        </w:rPr>
        <w:drawing>
          <wp:anchor distT="0" distB="0" distL="114300" distR="114300" simplePos="0" relativeHeight="251658240" behindDoc="0" locked="0" layoutInCell="1" allowOverlap="1" wp14:anchorId="49D6BDF7" wp14:editId="048E9B6B">
            <wp:simplePos x="0" y="0"/>
            <wp:positionH relativeFrom="column">
              <wp:posOffset>0</wp:posOffset>
            </wp:positionH>
            <wp:positionV relativeFrom="paragraph">
              <wp:posOffset>0</wp:posOffset>
            </wp:positionV>
            <wp:extent cx="419100" cy="466014"/>
            <wp:effectExtent l="0" t="0" r="0" b="4445"/>
            <wp:wrapSquare wrapText="bothSides"/>
            <wp:docPr id="224154185" name="Picture 2" descr="A red and black background with acorns and leav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54185" name="Picture 2" descr="A red and black background with acorns and leaves  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9100" cy="466014"/>
                    </a:xfrm>
                    <a:prstGeom prst="rect">
                      <a:avLst/>
                    </a:prstGeom>
                  </pic:spPr>
                </pic:pic>
              </a:graphicData>
            </a:graphic>
            <wp14:sizeRelH relativeFrom="page">
              <wp14:pctWidth>0</wp14:pctWidth>
            </wp14:sizeRelH>
            <wp14:sizeRelV relativeFrom="page">
              <wp14:pctHeight>0</wp14:pctHeight>
            </wp14:sizeRelV>
          </wp:anchor>
        </w:drawing>
      </w:r>
      <w:r>
        <w:t>James Rocco Quantitative Data Research Scholarship Proposal</w:t>
      </w:r>
    </w:p>
    <w:p w14:paraId="16B070A3" w14:textId="4DCFD1B4" w:rsidR="245937A3" w:rsidRPr="00504CC6" w:rsidRDefault="245937A3" w:rsidP="00504CC6">
      <w:pPr>
        <w:pStyle w:val="Title"/>
      </w:pPr>
      <w:r>
        <w:t>LOGOS: Logical Optimization for Global Outcome Systems</w:t>
      </w:r>
    </w:p>
    <w:p w14:paraId="6CDB39D5" w14:textId="7459305C" w:rsidR="245937A3" w:rsidRDefault="245937A3" w:rsidP="19A54BE9">
      <w:pPr>
        <w:pStyle w:val="Subtitle"/>
      </w:pPr>
      <w:r>
        <w:t>Caleb Mukasa and Shadi Alazzeh</w:t>
      </w:r>
    </w:p>
    <w:p w14:paraId="5DD21F0A" w14:textId="061CB297" w:rsidR="33811CCA" w:rsidRDefault="33811CCA" w:rsidP="19A54BE9">
      <w:pPr>
        <w:pStyle w:val="Subtitle"/>
      </w:pPr>
      <w:r>
        <w:t>March 2026</w:t>
      </w:r>
    </w:p>
    <w:p w14:paraId="20544D13" w14:textId="6441D902" w:rsidR="19A54BE9" w:rsidRDefault="19A54BE9" w:rsidP="19A54BE9"/>
    <w:p w14:paraId="0397C498" w14:textId="1A5D52F7" w:rsidR="245937A3" w:rsidRPr="00504CC6" w:rsidRDefault="245937A3" w:rsidP="00504CC6">
      <w:pPr>
        <w:pStyle w:val="Heading1"/>
      </w:pPr>
      <w:r>
        <w:t xml:space="preserve">Abstract </w:t>
      </w:r>
    </w:p>
    <w:p w14:paraId="1E6AECB1" w14:textId="763A0C75" w:rsidR="00AA1234" w:rsidRDefault="00AA1234" w:rsidP="006034CF">
      <w:r>
        <w:t xml:space="preserve">This proposal presents LOGOS (Logical Optimization for Global Outcome Systems), a quantitative research system that detects logical inconsistencies in prediction market pricing. Prediction markets like Polymarket express contract prices as implied probabilities, but related contracts often violate basic axioms of probability theory. For instance, the probability assigned to Bitcoin exceeding $100,000 by a given date sometimes exceeds the probability of it exceeding $95,000 by that same date. This is a logical impossibility, since the higher threshold is a strict subset of the lower one. LOGOS groups logically related contracts into families, checks their prices against probability constraints, and uses convex optimization to compute the nearest coherent probability system. Over ten weeks, we will build a full ingestion-to-analysis pipeline in Python, conduct an empirical study of how often these inconsistencies appear, how large they are, and how long they last across Polymarket, and write up the findings in a formal research paper. The final deliverables include a modular open-source codebase, a writeup suitable for an undergraduate research journal, and a campus presentation of results.</w:t>
      </w:r>
    </w:p>
    <w:p w14:paraId="3101907A" w14:textId="215BF273" w:rsidR="245937A3" w:rsidRDefault="245937A3" w:rsidP="19A54BE9">
      <w:pPr>
        <w:pStyle w:val="Heading1"/>
      </w:pPr>
      <w:r>
        <w:t xml:space="preserve">Research Question and Relevance </w:t>
      </w:r>
    </w:p>
    <w:p w14:paraId="6BDF2E2F" w14:textId="3D4FDDD5" w:rsidR="00AA1234" w:rsidRDefault="00AA1234" w:rsidP="006034CF">
      <w:r>
        <w:t xml:space="preserve">The central research question is: How frequently, how severely, and how persistently do prediction market prices violate the logical constraints implied by probability theory? To make this concrete, consider a set of contracts on Polymarket asking whether Bitcoin will exceed $95k, $100k, and $105k by the same date. These contracts are logically related, and so their market-implied probabilities should obey monotonicity, subset, and summation rules that any valid probability distribution must satisfy. But do they?</w:t>
      </w:r>
    </w:p>
    <w:p w14:paraId="10000001" w14:textId="20000001" w:rsidR="00AA1234" w:rsidRDefault="00AA1234" w:rsidP="006034CF">
      <w:r>
        <w:t xml:space="preserve">This question sits at the intersection of probability theory, market microstructure, and the efficient markets hypothesis. A long tradition in quantitative finance, beginning with de Finetti’s coherence theorem and extending through modern no-arbitrage pricing theory, holds that market prices, when interpreted as probabilities, should be internally consistent (de Finetti, 1937; Harrison and Kreps, 1979). Prediction markets offer a uniquely clean setting for testing this, because their contract prices are directly interpretable as probabilities without requiring options-pricing transformations. Recent work by Manski (2006) and Wolfers and Zitzewitz (2004) has explored the informational efficiency of prediction markets, but relatively little empirical research has focused specifically on the internal logical coherence of related contract families within a single venue.</w:t>
      </w:r>
    </w:p>
    <w:p w14:paraId="10000002" w14:textId="20000002" w:rsidR="00AA1234" w:rsidRDefault="00AA1234" w:rsidP="006034CF">
      <w:r>
        <w:t xml:space="preserve">This gap matters both theoretically and practically. On the theoretical side, persistent logical violations would challenge strong-form market efficiency claims for prediction markets. On the practical side, such violations represent structural arbitrage opportunities. These are not speculative bets on future events, but corrections of prices that are provably mispriced relative to one another. By formalizing the detection of these violations through constrained optimization and measuring their empirical properties, LOGOS offers a new empirical lens on market efficiency in decentralized prediction markets, which are becoming an increasingly important class of financial instrument.</w:t>
      </w:r>
    </w:p>
    <w:p w14:paraId="71E2ECAD" w14:textId="115C28B8" w:rsidR="245937A3" w:rsidRDefault="245937A3" w:rsidP="19A54BE9">
      <w:pPr>
        <w:pStyle w:val="Heading1"/>
      </w:pPr>
      <w:r>
        <w:lastRenderedPageBreak/>
        <w:t>Data</w:t>
      </w:r>
    </w:p>
    <w:p w14:paraId="24008D71" w14:textId="00E4BA16" w:rsidR="00AA1234" w:rsidRDefault="00AA1234" w:rsidP="006034CF">
      <w:r>
        <w:t xml:space="preserve">The primary dataset for this project consists of real-time and historical contract data from Polymarket, a decentralized prediction market built on the Polygon blockchain. Polymarket exposes a public REST API and a CLOB (Central Limit Order Book) API that provide contract metadata, current prices, order book depth, trade history, and volume statistics. Each contract includes a title, description, outcome tokens, and a last-traded price interpretable as an implied probability between 0 and 1. The data is freely accessible with no authentication required for public endpoints.</w:t>
      </w:r>
    </w:p>
    <w:p w14:paraId="10000003" w14:textId="20000003" w:rsidR="00AA1234" w:rsidRDefault="00AA1234" w:rsidP="006034CF">
      <w:r>
        <w:t xml:space="preserve">In preliminary exploration, we have confirmed that the Polymarket API currently lists over 1,000 active markets spanning cryptocurrency price thresholds, U.S. and international politics, sports outcomes, and macroeconomic indicators. For LOGOS, the relevant subset is markets that can be grouped into logical families, meaning sets of contracts whose probabilities must obey known ordering or summation constraints. Our initial scans have already identified dozens of threshold-chain families (e.g., Bitcoin and Ethereum price targets at multiple levels for the same deadline), deadline-nesting families (the same event with progressively later expiration dates), and mutually exclusive outcome sets (e.g., multi-candidate election markets where probabilities should sum to one). We estimate that at any given time, roughly 30 to 60 active families of 3 or more related contracts will be available for analysis.</w:t>
      </w:r>
    </w:p>
    <w:p w14:paraId="10000004" w14:textId="20000004" w:rsidR="00AA1234" w:rsidRDefault="00AA1234" w:rsidP="006034CF">
      <w:r>
        <w:t xml:space="preserve">Because the API returns live snapshots, we will build an automated ingestion pipeline that polls contract prices at regular intervals (initially every 15 minutes) and stores them in a local SQLite database with timestamps. Over the 10-week program, this will accumulate a large panel of price snapshots sufficient for persistence and time-series analysis. Data quality is high because Polymarket prices come from actual trades on a transparent order book, and the API returns structured JSON with consistent schemas. The only preprocessing needed is parsing titles to extract threshold values and grouping contracts into families, both of which we have already written working prototype code for. Data wrangling will not take up a significant portion of the project timeline.</w:t>
      </w:r>
    </w:p>
    <w:p w14:paraId="6D299E90" w14:textId="6DA9DE58" w:rsidR="245937A3" w:rsidRDefault="245937A3" w:rsidP="19A54BE9">
      <w:pPr>
        <w:pStyle w:val="Heading1"/>
      </w:pPr>
      <w:r>
        <w:t xml:space="preserve">Technical Approach </w:t>
      </w:r>
    </w:p>
    <w:p w14:paraId="1B0CAF6A" w14:textId="73E6B96A" w:rsidR="00AA1234" w:rsidRDefault="00AA1234" w:rsidP="006034CF">
      <w:r>
        <w:t xml:space="preserve">The technical approach consists of three integrated components: family construction, constraint verification, and convex projection. The system is implemented entirely in Python, leveraging NumPy for numerical computation, CVXPY for convex optimization, and SQLite for data storage.</w:t>
      </w:r>
    </w:p>
    <w:p w14:paraId="10000005" w14:textId="20000005" w:rsidR="00AA1234" w:rsidRDefault="00AA1234" w:rsidP="006034CF">
      <w:r>
        <w:t xml:space="preserve">Family Construction. The first stage groups Polymarket contracts into logical families using rule-based parsing. A title parser extracts structured features from contract names, including asset names, numeric thresholds, and deadline dates. A family builder then groups contracts that share a common event structure. We support four family types in this project. Threshold chains (e.g., BTC &gt; $95k, $100k, $105k by the same date), where probabilities must be monotonically decreasing in the threshold. Deadline-nesting families (same event, progressively later deadlines), where probabilities must be monotonically increasing in time. Nested achievement chains (e.g., make playoffs, reach finals, win championship), where probabilities must decrease with difficulty. And mutually exclusive outcome sets (e.g., multi-candidate elections), where probabilities must sum to at most one, or exactly one if the set is exhaustive.</w:t>
      </w:r>
    </w:p>
    <w:p w14:paraId="10000006" w14:textId="20000006" w:rsidR="00AA1234" w:rsidRDefault="00AA1234" w:rsidP="006034CF">
      <w:r>
        <w:t xml:space="preserve">Constraint Verification. For each family, the system checks whether the observed market probability vector p_market satisfies the relevant constraints. Threshold chains and deadline families require linear inequality constraints (p_i ≥ p_{i+1} or p_i ≤ p_{i+1}); mutually exclusive sets require a linear equality or inequality on the sum. Any violation is flagged and its magnitude recorded.</w:t>
      </w:r>
    </w:p>
    <w:p w14:paraId="10000007" w14:textId="20000007" w:rsidR="00AA1234" w:rsidRDefault="00AA1234" w:rsidP="006034CF">
      <w:r>
        <w:t xml:space="preserve">Convex Projection. When violations are detected, the core optimization engine computes the nearest coherent probability vector p* by solving: minimize the sum of squared deviations between p and p_market, subject to the family-specific linear constraints and the bound constraints 0 ≤ p_i ≤ 1. This is a convex quadratic program with linear constraints, which CVXPY solves reliably via its built-in solvers (OSQP or ECOS). The L2 distance between p_market and p* serves as the family-level inconsistency score. Future refinements may weight the objective by trading volume or liquidity so that more liquid contracts are adjusted less in the projection.</w:t>
      </w:r>
    </w:p>
    <w:p w14:paraId="10000008" w14:textId="20000008" w:rsidR="00AA1234" w:rsidRDefault="00AA1234" w:rsidP="006034CF">
      <w:r>
        <w:t xml:space="preserve">Empirical Analysis. The final stage aggregates inconsistency scores across families and over time to answer three empirical questions: how frequently do violations occur, how large are they, and how long do they persist before the market self-corrects? We will use standard statistical methods including descriptive statistics, time-series plots, and nonparametric tests to characterize the distribution of violations across family types, market categories, and time periods.</w:t>
      </w:r>
    </w:p>
    <w:p w14:paraId="2A903092" w14:textId="0D65D2D3" w:rsidR="245937A3" w:rsidRDefault="245937A3" w:rsidP="19A54BE9">
      <w:pPr>
        <w:pStyle w:val="Heading1"/>
      </w:pPr>
      <w:r>
        <w:t>Expertise</w:t>
      </w:r>
    </w:p>
    <w:p w14:paraId="6FC9E037" w14:textId="365BF99D" w:rsidR="00AA1234" w:rsidRDefault="00AA1234" w:rsidP="006034CF">
      <w:r>
        <w:t xml:space="preserve">Caleb Mukasa (Class of 2027) has taken coursework in statistics and is proficient in Python, with hands-on experience in data analysis, API integration, and building modular software systems. He independently researched prediction market structure and developed the LOGOS concept from the ground up, including the family taxonomy, the optimization formulation, and a working prototype of the Polymarket ingestion pipeline. His interests in quantitative finance, market microstructure, and decentralized financial infrastructure are what originally motivated this project.</w:t>
      </w:r>
    </w:p>
    <w:p w14:paraId="10000009" w14:textId="20000009" w:rsidR="00AA1234" w:rsidRDefault="00AA1234" w:rsidP="006034CF">
      <w:r>
        <w:t xml:space="preserve">Shadi Alazzeh (Class of 2027) brings complementary strengths in mathematical modeling and computational methods. Together, the team covers the full pipeline from data engineering and family construction to formal optimization and empirical analysis.</w:t>
      </w:r>
    </w:p>
    <w:p w14:paraId="5163DE4C" w14:textId="3A4D7E2C" w:rsidR="245937A3" w:rsidRDefault="245937A3" w:rsidP="19A54BE9">
      <w:pPr>
        <w:pStyle w:val="Heading1"/>
      </w:pPr>
      <w:r>
        <w:lastRenderedPageBreak/>
        <w:t>Broader Impacts</w:t>
      </w:r>
    </w:p>
    <w:p w14:paraId="16D208CC" w14:textId="2E4385D7" w:rsidR="00AA1234" w:rsidRDefault="00AA1234" w:rsidP="006034CF">
      <w:r>
        <w:t xml:space="preserve">This project directly supports both students’ career goals in quantitative finance and data science. The mix of probabilistic reasoning, convex optimization, systems design, and empirical analysis that LOGOS requires makes it a strong portfolio piece for quantitative research roles. In those roles, the ability to formalize structural questions about markets is valued well above routine prediction or backtesting work. We expect LOGOS to become a central part of both of our professional portfolios.</w:t>
      </w:r>
    </w:p>
    <w:p w14:paraId="1000000B" w14:textId="2000000B" w:rsidR="00AA1234" w:rsidRDefault="00AA1234" w:rsidP="006034CF">
      <w:r>
        <w:t xml:space="preserve">We also see strong potential for this project to grow into a senior thesis or longer-term research effort. Future extensions could include automated relationship discovery using large language models, real-time monitoring dashboards, backtesting of arbitrage strategies suggested by detected violations, and cross-venue consistency analysis. If the empirical findings are novel enough, the research paper from this program could be submitted to an undergraduate research journal or presented at a student research conference.</w:t>
      </w:r>
    </w:p>
    <w:p w14:paraId="1000000C" w14:textId="2000000C" w:rsidR="00AA1234" w:rsidRDefault="00AA1234" w:rsidP="006034CF">
      <w:r>
        <w:t xml:space="preserve">On a broader level, this work contributes to the study of market efficiency in a rapidly growing area of finance. As prediction markets gain mainstream adoption for forecasting elections, policy outcomes, and economic events, understanding whether the signals they produce are internally consistent becomes a real public interest question. The open-source codebase we produce could also be picked up by other researchers looking to extend this kind of analysis to other platforms and market types.</w:t>
      </w:r>
    </w:p>
    <w:p w14:paraId="6AE27E89" w14:textId="12745F5E" w:rsidR="245937A3" w:rsidRDefault="245937A3" w:rsidP="19A54BE9">
      <w:pPr>
        <w:pStyle w:val="Heading1"/>
      </w:pPr>
      <w:r>
        <w:t xml:space="preserve">Deliverables and Timeline </w:t>
      </w:r>
    </w:p>
    <w:p w14:paraId="7D822DA3" w14:textId="57E2CDE4" w:rsidR="00AA1234" w:rsidRDefault="00AA1234" w:rsidP="006034CF">
      <w:r>
        <w:t xml:space="preserve">Weeks 1 to 2 (May 26 to June 6): Data infrastructure. Build the Polymarket ingestion pipeline, implement the title parser and family builder, and begin automated data collection. Deliverable: a working pipeline that polls Polymarket and stores structured snapshots in a local database.</w:t>
      </w:r>
    </w:p>
    <w:p w14:paraId="1000000D" w14:textId="2000000D" w:rsidR="00AA1234" w:rsidRDefault="00AA1234" w:rsidP="006034CF">
      <w:r>
        <w:t xml:space="preserve">Weeks 3 to 4 (June 9 to June 20): Core engine. Implement the constraint verification layer and the CVXPY-based convex projection engine for all four family types. Deliverable: a detection and optimization engine that takes in a market family and returns the coherent projection, per-contract adjustments, and an inconsistency score.</w:t>
      </w:r>
    </w:p>
    <w:p w14:paraId="1000000E" w14:textId="2000000E" w:rsidR="00AA1234" w:rsidRDefault="00AA1234" w:rsidP="006034CF">
      <w:r>
        <w:t xml:space="preserve">Weeks 5 to 7 (June 23 to July 11): Empirical study. Run the engine over the accumulated data to measure violation frequency, magnitude, and persistence. Produce summary statistics, time-series visualizations, and comparisons across family types and market categories. Deliverable: a complete set of empirical results with figures and tables.</w:t>
      </w:r>
    </w:p>
    <w:p w14:paraId="1000000F" w14:textId="2000000F" w:rsidR="00AA1234" w:rsidRDefault="00AA1234" w:rsidP="006034CF">
      <w:r>
        <w:t xml:space="preserve">Weeks 8 to 9 (July 14 to July 25): Research paper and refinement. Write a formal research paper documenting the motivation, methodology, and findings. Clean up the codebase for clarity and reproducibility. Deliverable: draft research paper and polished open-source repository.</w:t>
      </w:r>
    </w:p>
    <w:p w14:paraId="10000010" w14:textId="20000010" w:rsidR="00AA1234" w:rsidRDefault="00AA1234" w:rsidP="006034CF">
      <w:r>
        <w:t xml:space="preserve">Week 10 (July 28 to July 31): Presentation. Prepare and rehearse a campus presentation summarizing what we found. Deliverable: slide deck and oral presentation of results.</w:t>
      </w:r>
    </w:p>
    <w:p w14:paraId="300111AA" w14:textId="61CE27A5" w:rsidR="245937A3" w:rsidRDefault="245937A3" w:rsidP="00504CC6">
      <w:pPr>
        <w:pStyle w:val="Heading1"/>
      </w:pPr>
      <w:r>
        <w:t>References</w:t>
      </w:r>
    </w:p>
    <w:p w14:paraId="6E54D6DE" w14:textId="3E26EC48" w:rsidR="00AA1234" w:rsidRDefault="00AA1234" w:rsidP="006034CF">
      <w:r>
        <w:t xml:space="preserve">de Finetti, B. (1937). La prévision: ses lois logiques, ses sources subjectives. Annales de l’Institut Henri Poincaré, 7(1), 1–68.</w:t>
      </w:r>
    </w:p>
    <w:p w14:paraId="10000011" w14:textId="20000011" w:rsidR="00AA1234" w:rsidRDefault="00AA1234" w:rsidP="006034CF">
      <w:r>
        <w:t xml:space="preserve">Harrison, J. M., &amp; Kreps, D. M. (1979). Martingales and arbitrage in multiperiod securities markets. Journal of Economic Theory, 20(3), 381–408.</w:t>
      </w:r>
    </w:p>
    <w:p w14:paraId="10000012" w14:textId="20000012" w:rsidR="00AA1234" w:rsidRDefault="00AA1234" w:rsidP="006034CF">
      <w:r>
        <w:t xml:space="preserve">Manski, C. F. (2006). Interpreting the predictions of prediction markets. Economics Letters, 91(3), 425–429.</w:t>
      </w:r>
    </w:p>
    <w:p w14:paraId="10000013" w14:textId="20000013" w:rsidR="00AA1234" w:rsidRDefault="00AA1234" w:rsidP="006034CF">
      <w:r>
        <w:t xml:space="preserve">Wolfers, J., &amp; Zitzewitz, E. (2004). Prediction markets. Journal of Economic Perspectives, 18(2), 107–126.</w:t>
      </w:r>
    </w:p>
    <w:p w14:paraId="10000014" w14:textId="20000014" w:rsidR="00AA1234" w:rsidRDefault="00AA1234" w:rsidP="006034CF">
      <w:r>
        <w:t xml:space="preserve">Boyd, S., &amp; Vandenberghe, L. (2004). Convex Optimization. Cambridge University Press.</w:t>
      </w:r>
    </w:p>
    <w:sectPr w:rsidR="735ECC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D9C6F"/>
    <w:multiLevelType w:val="hybridMultilevel"/>
    <w:tmpl w:val="0CEE66D2"/>
    <w:lvl w:ilvl="0" w:tplc="FE5EF96C">
      <w:start w:val="1"/>
      <w:numFmt w:val="decimal"/>
      <w:lvlText w:val="%1."/>
      <w:lvlJc w:val="left"/>
      <w:pPr>
        <w:ind w:left="720" w:hanging="360"/>
      </w:pPr>
    </w:lvl>
    <w:lvl w:ilvl="1" w:tplc="4E4AC088">
      <w:start w:val="1"/>
      <w:numFmt w:val="lowerLetter"/>
      <w:lvlText w:val="%2."/>
      <w:lvlJc w:val="left"/>
      <w:pPr>
        <w:ind w:left="1440" w:hanging="360"/>
      </w:pPr>
    </w:lvl>
    <w:lvl w:ilvl="2" w:tplc="DBE8F652">
      <w:start w:val="1"/>
      <w:numFmt w:val="lowerRoman"/>
      <w:lvlText w:val="%3."/>
      <w:lvlJc w:val="right"/>
      <w:pPr>
        <w:ind w:left="2160" w:hanging="180"/>
      </w:pPr>
    </w:lvl>
    <w:lvl w:ilvl="3" w:tplc="6B647CEE">
      <w:start w:val="1"/>
      <w:numFmt w:val="decimal"/>
      <w:lvlText w:val="%4."/>
      <w:lvlJc w:val="left"/>
      <w:pPr>
        <w:ind w:left="2880" w:hanging="360"/>
      </w:pPr>
    </w:lvl>
    <w:lvl w:ilvl="4" w:tplc="239EE1BE">
      <w:start w:val="1"/>
      <w:numFmt w:val="lowerLetter"/>
      <w:lvlText w:val="%5."/>
      <w:lvlJc w:val="left"/>
      <w:pPr>
        <w:ind w:left="3600" w:hanging="360"/>
      </w:pPr>
    </w:lvl>
    <w:lvl w:ilvl="5" w:tplc="F5EAA13E">
      <w:start w:val="1"/>
      <w:numFmt w:val="lowerRoman"/>
      <w:lvlText w:val="%6."/>
      <w:lvlJc w:val="right"/>
      <w:pPr>
        <w:ind w:left="4320" w:hanging="180"/>
      </w:pPr>
    </w:lvl>
    <w:lvl w:ilvl="6" w:tplc="3F16B292">
      <w:start w:val="1"/>
      <w:numFmt w:val="decimal"/>
      <w:lvlText w:val="%7."/>
      <w:lvlJc w:val="left"/>
      <w:pPr>
        <w:ind w:left="5040" w:hanging="360"/>
      </w:pPr>
    </w:lvl>
    <w:lvl w:ilvl="7" w:tplc="0E42347E">
      <w:start w:val="1"/>
      <w:numFmt w:val="lowerLetter"/>
      <w:lvlText w:val="%8."/>
      <w:lvlJc w:val="left"/>
      <w:pPr>
        <w:ind w:left="5760" w:hanging="360"/>
      </w:pPr>
    </w:lvl>
    <w:lvl w:ilvl="8" w:tplc="0C4643D2">
      <w:start w:val="1"/>
      <w:numFmt w:val="lowerRoman"/>
      <w:lvlText w:val="%9."/>
      <w:lvlJc w:val="right"/>
      <w:pPr>
        <w:ind w:left="6480" w:hanging="180"/>
      </w:pPr>
    </w:lvl>
  </w:abstractNum>
  <w:abstractNum w:abstractNumId="1" w15:restartNumberingAfterBreak="0">
    <w:nsid w:val="36646F9E"/>
    <w:multiLevelType w:val="hybridMultilevel"/>
    <w:tmpl w:val="CB0C26FC"/>
    <w:lvl w:ilvl="0" w:tplc="F00A63EE">
      <w:start w:val="1"/>
      <w:numFmt w:val="bullet"/>
      <w:lvlText w:val=""/>
      <w:lvlJc w:val="left"/>
      <w:pPr>
        <w:ind w:left="720" w:hanging="360"/>
      </w:pPr>
      <w:rPr>
        <w:rFonts w:ascii="Symbol" w:hAnsi="Symbol" w:hint="default"/>
      </w:rPr>
    </w:lvl>
    <w:lvl w:ilvl="1" w:tplc="37B44CDC">
      <w:start w:val="1"/>
      <w:numFmt w:val="bullet"/>
      <w:lvlText w:val="o"/>
      <w:lvlJc w:val="left"/>
      <w:pPr>
        <w:ind w:left="1440" w:hanging="360"/>
      </w:pPr>
      <w:rPr>
        <w:rFonts w:ascii="Courier New" w:hAnsi="Courier New" w:hint="default"/>
      </w:rPr>
    </w:lvl>
    <w:lvl w:ilvl="2" w:tplc="2940FAA2">
      <w:start w:val="1"/>
      <w:numFmt w:val="bullet"/>
      <w:lvlText w:val=""/>
      <w:lvlJc w:val="left"/>
      <w:pPr>
        <w:ind w:left="2160" w:hanging="360"/>
      </w:pPr>
      <w:rPr>
        <w:rFonts w:ascii="Wingdings" w:hAnsi="Wingdings" w:hint="default"/>
      </w:rPr>
    </w:lvl>
    <w:lvl w:ilvl="3" w:tplc="A1CC7C1A">
      <w:start w:val="1"/>
      <w:numFmt w:val="bullet"/>
      <w:lvlText w:val=""/>
      <w:lvlJc w:val="left"/>
      <w:pPr>
        <w:ind w:left="2880" w:hanging="360"/>
      </w:pPr>
      <w:rPr>
        <w:rFonts w:ascii="Symbol" w:hAnsi="Symbol" w:hint="default"/>
      </w:rPr>
    </w:lvl>
    <w:lvl w:ilvl="4" w:tplc="6E6EDBDA">
      <w:start w:val="1"/>
      <w:numFmt w:val="bullet"/>
      <w:lvlText w:val="o"/>
      <w:lvlJc w:val="left"/>
      <w:pPr>
        <w:ind w:left="3600" w:hanging="360"/>
      </w:pPr>
      <w:rPr>
        <w:rFonts w:ascii="Courier New" w:hAnsi="Courier New" w:hint="default"/>
      </w:rPr>
    </w:lvl>
    <w:lvl w:ilvl="5" w:tplc="EC5C2AB0">
      <w:start w:val="1"/>
      <w:numFmt w:val="bullet"/>
      <w:lvlText w:val=""/>
      <w:lvlJc w:val="left"/>
      <w:pPr>
        <w:ind w:left="4320" w:hanging="360"/>
      </w:pPr>
      <w:rPr>
        <w:rFonts w:ascii="Wingdings" w:hAnsi="Wingdings" w:hint="default"/>
      </w:rPr>
    </w:lvl>
    <w:lvl w:ilvl="6" w:tplc="E5F699D0">
      <w:start w:val="1"/>
      <w:numFmt w:val="bullet"/>
      <w:lvlText w:val=""/>
      <w:lvlJc w:val="left"/>
      <w:pPr>
        <w:ind w:left="5040" w:hanging="360"/>
      </w:pPr>
      <w:rPr>
        <w:rFonts w:ascii="Symbol" w:hAnsi="Symbol" w:hint="default"/>
      </w:rPr>
    </w:lvl>
    <w:lvl w:ilvl="7" w:tplc="676271A4">
      <w:start w:val="1"/>
      <w:numFmt w:val="bullet"/>
      <w:lvlText w:val="o"/>
      <w:lvlJc w:val="left"/>
      <w:pPr>
        <w:ind w:left="5760" w:hanging="360"/>
      </w:pPr>
      <w:rPr>
        <w:rFonts w:ascii="Courier New" w:hAnsi="Courier New" w:hint="default"/>
      </w:rPr>
    </w:lvl>
    <w:lvl w:ilvl="8" w:tplc="FA124C0C">
      <w:start w:val="1"/>
      <w:numFmt w:val="bullet"/>
      <w:lvlText w:val=""/>
      <w:lvlJc w:val="left"/>
      <w:pPr>
        <w:ind w:left="6480" w:hanging="360"/>
      </w:pPr>
      <w:rPr>
        <w:rFonts w:ascii="Wingdings" w:hAnsi="Wingdings" w:hint="default"/>
      </w:rPr>
    </w:lvl>
  </w:abstractNum>
  <w:abstractNum w:abstractNumId="2" w15:restartNumberingAfterBreak="0">
    <w:nsid w:val="457B0BE8"/>
    <w:multiLevelType w:val="hybridMultilevel"/>
    <w:tmpl w:val="D614659C"/>
    <w:lvl w:ilvl="0" w:tplc="7C10FE60">
      <w:start w:val="1"/>
      <w:numFmt w:val="bullet"/>
      <w:lvlText w:val=""/>
      <w:lvlJc w:val="left"/>
      <w:pPr>
        <w:ind w:left="720" w:hanging="360"/>
      </w:pPr>
      <w:rPr>
        <w:rFonts w:ascii="Symbol" w:hAnsi="Symbol" w:hint="default"/>
      </w:rPr>
    </w:lvl>
    <w:lvl w:ilvl="1" w:tplc="4518343E">
      <w:start w:val="1"/>
      <w:numFmt w:val="bullet"/>
      <w:lvlText w:val="o"/>
      <w:lvlJc w:val="left"/>
      <w:pPr>
        <w:ind w:left="1440" w:hanging="360"/>
      </w:pPr>
      <w:rPr>
        <w:rFonts w:ascii="Courier New" w:hAnsi="Courier New" w:hint="default"/>
      </w:rPr>
    </w:lvl>
    <w:lvl w:ilvl="2" w:tplc="9C90D63C">
      <w:start w:val="1"/>
      <w:numFmt w:val="bullet"/>
      <w:lvlText w:val=""/>
      <w:lvlJc w:val="left"/>
      <w:pPr>
        <w:ind w:left="2160" w:hanging="360"/>
      </w:pPr>
      <w:rPr>
        <w:rFonts w:ascii="Wingdings" w:hAnsi="Wingdings" w:hint="default"/>
      </w:rPr>
    </w:lvl>
    <w:lvl w:ilvl="3" w:tplc="3B3A7360">
      <w:start w:val="1"/>
      <w:numFmt w:val="bullet"/>
      <w:lvlText w:val=""/>
      <w:lvlJc w:val="left"/>
      <w:pPr>
        <w:ind w:left="2880" w:hanging="360"/>
      </w:pPr>
      <w:rPr>
        <w:rFonts w:ascii="Symbol" w:hAnsi="Symbol" w:hint="default"/>
      </w:rPr>
    </w:lvl>
    <w:lvl w:ilvl="4" w:tplc="B756FDFC">
      <w:start w:val="1"/>
      <w:numFmt w:val="bullet"/>
      <w:lvlText w:val="o"/>
      <w:lvlJc w:val="left"/>
      <w:pPr>
        <w:ind w:left="3600" w:hanging="360"/>
      </w:pPr>
      <w:rPr>
        <w:rFonts w:ascii="Courier New" w:hAnsi="Courier New" w:hint="default"/>
      </w:rPr>
    </w:lvl>
    <w:lvl w:ilvl="5" w:tplc="44FA99DC">
      <w:start w:val="1"/>
      <w:numFmt w:val="bullet"/>
      <w:lvlText w:val=""/>
      <w:lvlJc w:val="left"/>
      <w:pPr>
        <w:ind w:left="4320" w:hanging="360"/>
      </w:pPr>
      <w:rPr>
        <w:rFonts w:ascii="Wingdings" w:hAnsi="Wingdings" w:hint="default"/>
      </w:rPr>
    </w:lvl>
    <w:lvl w:ilvl="6" w:tplc="02B2A67A">
      <w:start w:val="1"/>
      <w:numFmt w:val="bullet"/>
      <w:lvlText w:val=""/>
      <w:lvlJc w:val="left"/>
      <w:pPr>
        <w:ind w:left="5040" w:hanging="360"/>
      </w:pPr>
      <w:rPr>
        <w:rFonts w:ascii="Symbol" w:hAnsi="Symbol" w:hint="default"/>
      </w:rPr>
    </w:lvl>
    <w:lvl w:ilvl="7" w:tplc="25385490">
      <w:start w:val="1"/>
      <w:numFmt w:val="bullet"/>
      <w:lvlText w:val="o"/>
      <w:lvlJc w:val="left"/>
      <w:pPr>
        <w:ind w:left="5760" w:hanging="360"/>
      </w:pPr>
      <w:rPr>
        <w:rFonts w:ascii="Courier New" w:hAnsi="Courier New" w:hint="default"/>
      </w:rPr>
    </w:lvl>
    <w:lvl w:ilvl="8" w:tplc="86086EF6">
      <w:start w:val="1"/>
      <w:numFmt w:val="bullet"/>
      <w:lvlText w:val=""/>
      <w:lvlJc w:val="left"/>
      <w:pPr>
        <w:ind w:left="6480" w:hanging="360"/>
      </w:pPr>
      <w:rPr>
        <w:rFonts w:ascii="Wingdings" w:hAnsi="Wingdings" w:hint="default"/>
      </w:rPr>
    </w:lvl>
  </w:abstractNum>
  <w:num w:numId="1" w16cid:durableId="1824656040">
    <w:abstractNumId w:val="1"/>
  </w:num>
  <w:num w:numId="2" w16cid:durableId="1167086994">
    <w:abstractNumId w:val="0"/>
  </w:num>
  <w:num w:numId="3" w16cid:durableId="1866358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C84839"/>
    <w:rsid w:val="003A1FD4"/>
    <w:rsid w:val="00504CC6"/>
    <w:rsid w:val="006034CF"/>
    <w:rsid w:val="008A2CBF"/>
    <w:rsid w:val="00BD0678"/>
    <w:rsid w:val="00E706AF"/>
    <w:rsid w:val="00FC104C"/>
    <w:rsid w:val="017D21E9"/>
    <w:rsid w:val="01803402"/>
    <w:rsid w:val="02CBB82D"/>
    <w:rsid w:val="0390A673"/>
    <w:rsid w:val="03CE6E94"/>
    <w:rsid w:val="050AF689"/>
    <w:rsid w:val="05A34564"/>
    <w:rsid w:val="08DF87DB"/>
    <w:rsid w:val="0A320B67"/>
    <w:rsid w:val="0B1D6EC1"/>
    <w:rsid w:val="0C2C44FE"/>
    <w:rsid w:val="0E36A715"/>
    <w:rsid w:val="0F8C6F15"/>
    <w:rsid w:val="104326C8"/>
    <w:rsid w:val="10C13959"/>
    <w:rsid w:val="13CA3078"/>
    <w:rsid w:val="14C71E89"/>
    <w:rsid w:val="14DB1F2F"/>
    <w:rsid w:val="15332F80"/>
    <w:rsid w:val="157CF53D"/>
    <w:rsid w:val="161B195D"/>
    <w:rsid w:val="188B7FAA"/>
    <w:rsid w:val="18B52B12"/>
    <w:rsid w:val="18D029D2"/>
    <w:rsid w:val="19A54BE9"/>
    <w:rsid w:val="1A768488"/>
    <w:rsid w:val="1C346272"/>
    <w:rsid w:val="1CBC1C40"/>
    <w:rsid w:val="1D6D37DC"/>
    <w:rsid w:val="1E6426D5"/>
    <w:rsid w:val="1FAAC478"/>
    <w:rsid w:val="1FE083E9"/>
    <w:rsid w:val="2001208D"/>
    <w:rsid w:val="23AA7197"/>
    <w:rsid w:val="245937A3"/>
    <w:rsid w:val="25A7ACF5"/>
    <w:rsid w:val="26DD2DC4"/>
    <w:rsid w:val="276A81CC"/>
    <w:rsid w:val="296C989F"/>
    <w:rsid w:val="2D22E561"/>
    <w:rsid w:val="2F39AAC9"/>
    <w:rsid w:val="2F5803F0"/>
    <w:rsid w:val="335380D3"/>
    <w:rsid w:val="33811CCA"/>
    <w:rsid w:val="34546004"/>
    <w:rsid w:val="350FB32A"/>
    <w:rsid w:val="359BE7B8"/>
    <w:rsid w:val="36A0A1D8"/>
    <w:rsid w:val="3790A00A"/>
    <w:rsid w:val="392F10B6"/>
    <w:rsid w:val="39818150"/>
    <w:rsid w:val="3BA4AD85"/>
    <w:rsid w:val="3C7E8AAA"/>
    <w:rsid w:val="3E32DB78"/>
    <w:rsid w:val="3F2F2C55"/>
    <w:rsid w:val="3F7B1EDF"/>
    <w:rsid w:val="3FA078F8"/>
    <w:rsid w:val="40B35920"/>
    <w:rsid w:val="41D7A34D"/>
    <w:rsid w:val="41E71037"/>
    <w:rsid w:val="456A9BF9"/>
    <w:rsid w:val="45D5C9CC"/>
    <w:rsid w:val="4622A9CD"/>
    <w:rsid w:val="46C84839"/>
    <w:rsid w:val="4AB338D8"/>
    <w:rsid w:val="4B2942A0"/>
    <w:rsid w:val="4B7A55E8"/>
    <w:rsid w:val="4D0B1BB2"/>
    <w:rsid w:val="4DFDC30E"/>
    <w:rsid w:val="4E345E08"/>
    <w:rsid w:val="4F8EE885"/>
    <w:rsid w:val="535643A9"/>
    <w:rsid w:val="536FCDDB"/>
    <w:rsid w:val="554B2545"/>
    <w:rsid w:val="56323482"/>
    <w:rsid w:val="578EC30A"/>
    <w:rsid w:val="58CF27EA"/>
    <w:rsid w:val="59071509"/>
    <w:rsid w:val="5C9FD6B6"/>
    <w:rsid w:val="5D9898FA"/>
    <w:rsid w:val="600872DF"/>
    <w:rsid w:val="6075A611"/>
    <w:rsid w:val="61527CDA"/>
    <w:rsid w:val="61E5581B"/>
    <w:rsid w:val="627225B9"/>
    <w:rsid w:val="62839262"/>
    <w:rsid w:val="65BA60B8"/>
    <w:rsid w:val="65ED27E6"/>
    <w:rsid w:val="66311C95"/>
    <w:rsid w:val="6726285B"/>
    <w:rsid w:val="678F6BB4"/>
    <w:rsid w:val="69FAC597"/>
    <w:rsid w:val="6B3E6ED1"/>
    <w:rsid w:val="6CD5A226"/>
    <w:rsid w:val="6D0BB395"/>
    <w:rsid w:val="6E62CBA2"/>
    <w:rsid w:val="7182F1B8"/>
    <w:rsid w:val="71D04BCF"/>
    <w:rsid w:val="729C6C3C"/>
    <w:rsid w:val="735ECC82"/>
    <w:rsid w:val="73F02C20"/>
    <w:rsid w:val="748C0FDD"/>
    <w:rsid w:val="777F54BB"/>
    <w:rsid w:val="77CE9829"/>
    <w:rsid w:val="77F5C0C6"/>
    <w:rsid w:val="784AE562"/>
    <w:rsid w:val="789796CB"/>
    <w:rsid w:val="78B85DD7"/>
    <w:rsid w:val="78E7DF0F"/>
    <w:rsid w:val="793AA82E"/>
    <w:rsid w:val="79DBB1BB"/>
    <w:rsid w:val="7AA2C617"/>
    <w:rsid w:val="7B58B628"/>
    <w:rsid w:val="7D02F92B"/>
    <w:rsid w:val="7DAEDD82"/>
    <w:rsid w:val="7DCA1072"/>
    <w:rsid w:val="7FD471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84839"/>
  <w15:chartTrackingRefBased/>
  <w15:docId w15:val="{7D07A42C-8E4F-4B07-90CD-A4F928E31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CC6"/>
    <w:pPr>
      <w:keepNext/>
      <w:keepLines/>
      <w:spacing w:before="360" w:after="80"/>
      <w:outlineLvl w:val="0"/>
    </w:pPr>
    <w:rPr>
      <w:rFonts w:asciiTheme="majorHAnsi" w:eastAsiaTheme="majorEastAsia" w:hAnsiTheme="majorHAnsi" w:cstheme="majorBidi"/>
      <w:color w:val="600507"/>
      <w:sz w:val="40"/>
      <w:szCs w:val="40"/>
    </w:rPr>
  </w:style>
  <w:style w:type="paragraph" w:styleId="Heading2">
    <w:name w:val="heading 2"/>
    <w:basedOn w:val="Normal"/>
    <w:next w:val="Normal"/>
    <w:link w:val="Heading2Char"/>
    <w:uiPriority w:val="9"/>
    <w:unhideWhenUsed/>
    <w:qFormat/>
    <w:rsid w:val="00504CC6"/>
    <w:pPr>
      <w:keepNext/>
      <w:keepLines/>
      <w:spacing w:before="160" w:after="80"/>
      <w:outlineLvl w:val="1"/>
    </w:pPr>
    <w:rPr>
      <w:rFonts w:asciiTheme="majorHAnsi" w:eastAsiaTheme="majorEastAsia" w:hAnsiTheme="majorHAnsi" w:cstheme="majorBidi"/>
      <w:color w:val="600507"/>
      <w:sz w:val="32"/>
      <w:szCs w:val="32"/>
    </w:rPr>
  </w:style>
  <w:style w:type="paragraph" w:styleId="Heading3">
    <w:name w:val="heading 3"/>
    <w:basedOn w:val="Normal"/>
    <w:next w:val="Normal"/>
    <w:link w:val="Heading3Char"/>
    <w:uiPriority w:val="9"/>
    <w:unhideWhenUsed/>
    <w:qFormat/>
    <w:rsid w:val="00504CC6"/>
    <w:pPr>
      <w:keepNext/>
      <w:keepLines/>
      <w:spacing w:before="160" w:after="80"/>
      <w:outlineLvl w:val="2"/>
    </w:pPr>
    <w:rPr>
      <w:rFonts w:eastAsiaTheme="majorEastAsia" w:cstheme="majorBidi"/>
      <w:color w:val="600507"/>
      <w:sz w:val="28"/>
      <w:szCs w:val="28"/>
    </w:rPr>
  </w:style>
  <w:style w:type="paragraph" w:styleId="Heading4">
    <w:name w:val="heading 4"/>
    <w:basedOn w:val="Normal"/>
    <w:next w:val="Normal"/>
    <w:link w:val="Heading4Char"/>
    <w:uiPriority w:val="9"/>
    <w:unhideWhenUsed/>
    <w:qFormat/>
    <w:rsid w:val="00504CC6"/>
    <w:pPr>
      <w:keepNext/>
      <w:keepLines/>
      <w:spacing w:before="80" w:after="40"/>
      <w:outlineLvl w:val="3"/>
    </w:pPr>
    <w:rPr>
      <w:rFonts w:eastAsiaTheme="majorEastAsia" w:cstheme="majorBidi"/>
      <w:i/>
      <w:iCs/>
      <w:color w:val="600507"/>
    </w:rPr>
  </w:style>
  <w:style w:type="paragraph" w:styleId="Heading5">
    <w:name w:val="heading 5"/>
    <w:basedOn w:val="Normal"/>
    <w:next w:val="Normal"/>
    <w:link w:val="Heading5Char"/>
    <w:uiPriority w:val="9"/>
    <w:unhideWhenUsed/>
    <w:qFormat/>
    <w:rsid w:val="00504CC6"/>
    <w:pPr>
      <w:keepNext/>
      <w:keepLines/>
      <w:spacing w:before="80" w:after="40"/>
      <w:outlineLvl w:val="4"/>
    </w:pPr>
    <w:rPr>
      <w:rFonts w:eastAsiaTheme="majorEastAsia" w:cstheme="majorBidi"/>
      <w:color w:val="600507"/>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CC6"/>
    <w:rPr>
      <w:rFonts w:asciiTheme="majorHAnsi" w:eastAsiaTheme="majorEastAsia" w:hAnsiTheme="majorHAnsi" w:cstheme="majorBidi"/>
      <w:color w:val="600507"/>
      <w:sz w:val="40"/>
      <w:szCs w:val="40"/>
    </w:rPr>
  </w:style>
  <w:style w:type="character" w:customStyle="1" w:styleId="Heading2Char">
    <w:name w:val="Heading 2 Char"/>
    <w:basedOn w:val="DefaultParagraphFont"/>
    <w:link w:val="Heading2"/>
    <w:uiPriority w:val="9"/>
    <w:rsid w:val="00504CC6"/>
    <w:rPr>
      <w:rFonts w:asciiTheme="majorHAnsi" w:eastAsiaTheme="majorEastAsia" w:hAnsiTheme="majorHAnsi" w:cstheme="majorBidi"/>
      <w:color w:val="600507"/>
      <w:sz w:val="32"/>
      <w:szCs w:val="32"/>
    </w:rPr>
  </w:style>
  <w:style w:type="character" w:customStyle="1" w:styleId="Heading3Char">
    <w:name w:val="Heading 3 Char"/>
    <w:basedOn w:val="DefaultParagraphFont"/>
    <w:link w:val="Heading3"/>
    <w:uiPriority w:val="9"/>
    <w:rsid w:val="00504CC6"/>
    <w:rPr>
      <w:rFonts w:eastAsiaTheme="majorEastAsia" w:cstheme="majorBidi"/>
      <w:color w:val="600507"/>
      <w:sz w:val="28"/>
      <w:szCs w:val="28"/>
    </w:rPr>
  </w:style>
  <w:style w:type="character" w:customStyle="1" w:styleId="Heading4Char">
    <w:name w:val="Heading 4 Char"/>
    <w:basedOn w:val="DefaultParagraphFont"/>
    <w:link w:val="Heading4"/>
    <w:uiPriority w:val="9"/>
    <w:rsid w:val="00504CC6"/>
    <w:rPr>
      <w:rFonts w:eastAsiaTheme="majorEastAsia" w:cstheme="majorBidi"/>
      <w:i/>
      <w:iCs/>
      <w:color w:val="600507"/>
    </w:rPr>
  </w:style>
  <w:style w:type="character" w:customStyle="1" w:styleId="Heading5Char">
    <w:name w:val="Heading 5 Char"/>
    <w:basedOn w:val="DefaultParagraphFont"/>
    <w:link w:val="Heading5"/>
    <w:uiPriority w:val="9"/>
    <w:rsid w:val="00504CC6"/>
    <w:rPr>
      <w:rFonts w:eastAsiaTheme="majorEastAsia" w:cstheme="majorBidi"/>
      <w:color w:val="600507"/>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sid w:val="00504CC6"/>
    <w:rPr>
      <w:rFonts w:asciiTheme="majorHAnsi" w:eastAsiaTheme="majorEastAsia" w:hAnsiTheme="majorHAnsi" w:cstheme="majorBidi"/>
      <w:spacing w:val="-10"/>
      <w:kern w:val="28"/>
      <w:sz w:val="72"/>
      <w:szCs w:val="56"/>
    </w:rPr>
  </w:style>
  <w:style w:type="paragraph" w:styleId="Title">
    <w:name w:val="Title"/>
    <w:basedOn w:val="Normal"/>
    <w:next w:val="Normal"/>
    <w:link w:val="TitleChar"/>
    <w:uiPriority w:val="10"/>
    <w:qFormat/>
    <w:rsid w:val="00504CC6"/>
    <w:pPr>
      <w:spacing w:after="80" w:line="240" w:lineRule="auto"/>
      <w:contextualSpacing/>
      <w:jc w:val="center"/>
    </w:pPr>
    <w:rPr>
      <w:rFonts w:asciiTheme="majorHAnsi" w:eastAsiaTheme="majorEastAsia" w:hAnsiTheme="majorHAnsi" w:cstheme="majorBidi"/>
      <w:spacing w:val="-10"/>
      <w:kern w:val="28"/>
      <w:sz w:val="72"/>
      <w:szCs w:val="56"/>
    </w:rPr>
  </w:style>
  <w:style w:type="character" w:customStyle="1" w:styleId="SubtitleChar">
    <w:name w:val="Subtitle Char"/>
    <w:basedOn w:val="DefaultParagraphFont"/>
    <w:link w:val="Subtitle"/>
    <w:uiPriority w:val="11"/>
    <w:rsid w:val="00504CC6"/>
    <w:rPr>
      <w:rFonts w:eastAsiaTheme="majorEastAsia" w:cstheme="majorBidi"/>
      <w:i/>
      <w:color w:val="595959" w:themeColor="text1" w:themeTint="A6"/>
      <w:spacing w:val="15"/>
      <w:sz w:val="28"/>
      <w:szCs w:val="28"/>
    </w:rPr>
  </w:style>
  <w:style w:type="paragraph" w:styleId="Subtitle">
    <w:name w:val="Subtitle"/>
    <w:basedOn w:val="Normal"/>
    <w:next w:val="Normal"/>
    <w:link w:val="SubtitleChar"/>
    <w:uiPriority w:val="11"/>
    <w:qFormat/>
    <w:rsid w:val="00504CC6"/>
    <w:pPr>
      <w:numPr>
        <w:ilvl w:val="1"/>
      </w:numPr>
      <w:jc w:val="center"/>
    </w:pPr>
    <w:rPr>
      <w:rFonts w:eastAsiaTheme="majorEastAsia" w:cstheme="majorBidi"/>
      <w:i/>
      <w:color w:val="595959" w:themeColor="text1" w:themeTint="A6"/>
      <w:spacing w:val="15"/>
      <w:sz w:val="28"/>
      <w:szCs w:val="28"/>
    </w:rPr>
  </w:style>
  <w:style w:type="character" w:styleId="IntenseEmphasis">
    <w:name w:val="Intense Emphasis"/>
    <w:basedOn w:val="DefaultParagraphFont"/>
    <w:uiPriority w:val="21"/>
    <w:qFormat/>
    <w:rsid w:val="00504CC6"/>
    <w:rPr>
      <w:i/>
      <w:iCs/>
      <w:color w:val="600507"/>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9A54BE9"/>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04CC6"/>
    <w:pPr>
      <w:spacing w:after="0" w:line="240" w:lineRule="auto"/>
    </w:pPr>
  </w:style>
  <w:style w:type="paragraph" w:customStyle="1" w:styleId="SuperTitle">
    <w:name w:val="SuperTitle"/>
    <w:basedOn w:val="Subtitle"/>
    <w:qFormat/>
    <w:rsid w:val="00504CC6"/>
    <w:pPr>
      <w:jc w:val="left"/>
    </w:pPr>
    <w:rPr>
      <w:i w:val="0"/>
      <w:color w:val="C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48D12D-E9AC-9846-A270-5017F8251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789</Words>
  <Characters>4154</Characters>
  <Application>Microsoft Office Word</Application>
  <DocSecurity>0</DocSecurity>
  <Lines>69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Jamshidi, Sara (She/Her/Hers)</dc:creator>
  <cp:keywords/>
  <dc:description/>
  <cp:lastModifiedBy>Jamshidi, Sara (She/Her/Hers)</cp:lastModifiedBy>
  <cp:revision>7</cp:revision>
  <dcterms:created xsi:type="dcterms:W3CDTF">2025-01-14T20:26:00Z</dcterms:created>
  <dcterms:modified xsi:type="dcterms:W3CDTF">2026-02-19T22:01:00Z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2dee603-0001-4639-81f8-0608a53322f1_Enabled">
    <vt:lpwstr>true</vt:lpwstr>
  </property>
  <property fmtid="{D5CDD505-2E9C-101B-9397-08002B2CF9AE}" pid="3" name="MSIP_Label_f2dee603-0001-4639-81f8-0608a53322f1_SetDate">
    <vt:lpwstr>2025-01-14T20:26:59Z</vt:lpwstr>
  </property>
  <property fmtid="{D5CDD505-2E9C-101B-9397-08002B2CF9AE}" pid="4" name="MSIP_Label_f2dee603-0001-4639-81f8-0608a53322f1_Method">
    <vt:lpwstr>Standard</vt:lpwstr>
  </property>
  <property fmtid="{D5CDD505-2E9C-101B-9397-08002B2CF9AE}" pid="5" name="MSIP_Label_f2dee603-0001-4639-81f8-0608a53322f1_Name">
    <vt:lpwstr>defa4170-0d19-0005-0004-bc88714345d2</vt:lpwstr>
  </property>
  <property fmtid="{D5CDD505-2E9C-101B-9397-08002B2CF9AE}" pid="6" name="MSIP_Label_f2dee603-0001-4639-81f8-0608a53322f1_SiteId">
    <vt:lpwstr>b4478c05-3dd9-4e06-a7fb-5dcf72bd44ee</vt:lpwstr>
  </property>
  <property fmtid="{D5CDD505-2E9C-101B-9397-08002B2CF9AE}" pid="7" name="MSIP_Label_f2dee603-0001-4639-81f8-0608a53322f1_ActionId">
    <vt:lpwstr>e55acdad-3c75-4788-9ede-e87849462952</vt:lpwstr>
  </property>
  <property fmtid="{D5CDD505-2E9C-101B-9397-08002B2CF9AE}" pid="8" name="MSIP_Label_f2dee603-0001-4639-81f8-0608a53322f1_ContentBits">
    <vt:lpwstr>0</vt:lpwstr>
  </property>
  <property fmtid="{D5CDD505-2E9C-101B-9397-08002B2CF9AE}" pid="9" name="MSIP_Label_f2dee603-0001-4639-81f8-0608a53322f1_Tag">
    <vt:lpwstr>10, 3, 0, 2</vt:lpwstr>
  </property>
</Properties>
</file>