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80"/>
      </w:pPr>
      <w:r>
        <w:rPr>
          <w:rFonts w:ascii="Arial" w:cs="Arial" w:eastAsia="Arial" w:hAnsi="Arial"/>
          <w:b/>
          <w:bCs/>
          <w:color w:val="1B2A4A"/>
          <w:sz w:val="52"/>
          <w:szCs w:val="52"/>
        </w:rPr>
        <w:t xml:space="preserve">LOGOS V2</w:t>
      </w:r>
    </w:p>
    <w:p>
      <w:pPr>
        <w:spacing w:after="40"/>
      </w:pPr>
      <w:r>
        <w:rPr>
          <w:rFonts w:ascii="Georgia" w:cs="Georgia" w:eastAsia="Georgia" w:hAnsi="Georgia"/>
          <w:color w:val="2E75B6"/>
          <w:sz w:val="28"/>
          <w:szCs w:val="28"/>
        </w:rPr>
        <w:t xml:space="preserve">Expansion Framework for Quantitative Prediction Market Analysis</w:t>
      </w:r>
    </w:p>
    <w:p>
      <w:pPr>
        <w:spacing w:after="20"/>
      </w:pPr>
      <w:r>
        <w:rPr>
          <w:rFonts w:ascii="Georgia" w:cs="Georgia" w:eastAsia="Georgia" w:hAnsi="Georgia"/>
          <w:color w:val="666666"/>
          <w:sz w:val="22"/>
          <w:szCs w:val="22"/>
        </w:rPr>
        <w:t xml:space="preserve">Caleb Mukasa and Shadi Alazzeh</w:t>
      </w:r>
    </w:p>
    <w:p>
      <w:pPr>
        <w:spacing w:after="20"/>
      </w:pPr>
      <w:r>
        <w:rPr>
          <w:rFonts w:ascii="Georgia" w:cs="Georgia" w:eastAsia="Georgia" w:hAnsi="Georgia"/>
          <w:color w:val="666666"/>
          <w:sz w:val="22"/>
          <w:szCs w:val="22"/>
        </w:rPr>
        <w:t xml:space="preserve">Lake Forest College  ·  April 2026</w:t>
      </w:r>
    </w:p>
    <w:p>
      <w:pPr>
        <w:spacing w:after="20"/>
      </w:pPr>
      <w:r>
        <w:rPr>
          <w:rFonts w:ascii="Georgia" w:cs="Georgia" w:eastAsia="Georgia" w:hAnsi="Georgia"/>
          <w:i/>
          <w:iCs/>
          <w:color w:val="666666"/>
          <w:sz w:val="20"/>
          <w:szCs w:val="20"/>
        </w:rPr>
        <w:t xml:space="preserve">Internal Research Memo  ·  Draft</w:t>
      </w:r>
    </w:p>
    <w:p>
      <w:pPr>
        <w:pBdr>
          <w:bottom w:val="single" w:color="2E75B6" w:sz="4" w:space="8"/>
        </w:pBdr>
        <w:spacing w:after="200" w:before="200"/>
      </w:pPr>
    </w:p>
    <w:p>
      <w:pPr>
        <w:spacing w:after="160" w:before="360"/>
      </w:pPr>
      <w:r>
        <w:rPr>
          <w:rFonts w:ascii="Georgia" w:cs="Georgia" w:eastAsia="Georgia" w:hAnsi="Georgia"/>
          <w:b/>
          <w:bCs/>
          <w:color w:val="1B2A4A"/>
          <w:sz w:val="28"/>
          <w:szCs w:val="28"/>
        </w:rPr>
        <w:t xml:space="preserve">1. Where V1 Stands and Where V2 Goes</w:t>
      </w:r>
    </w:p>
    <w:p>
      <w:pPr>
        <w:spacing w:after="160" w:line="312"/>
        <w:jc w:val="both"/>
      </w:pPr>
      <w:r>
        <w:rPr>
          <w:rFonts w:ascii="Georgia" w:cs="Georgia" w:eastAsia="Georgia" w:hAnsi="Georgia"/>
          <w:b w:val="false"/>
          <w:bCs w:val="false"/>
          <w:i w:val="false"/>
          <w:iCs w:val="false"/>
          <w:color w:val="333333"/>
          <w:sz w:val="22"/>
          <w:szCs w:val="22"/>
        </w:rPr>
        <w:t xml:space="preserve">The LOGOS V1 prototype demonstrates that prediction market incoherence is both detectable and measurable at scale. Over 132 snapshots and 7,656 price observations, the system identified persistent, quantifiable deviations from probability axioms across multiple contract families and constraint types. The mathematical framework works; the optimizer converges; the diagnostics are meaningful. The hard parts are done.</w:t>
      </w:r>
    </w:p>
    <w:p>
      <w:pPr>
        <w:spacing w:after="160" w:line="312"/>
        <w:jc w:val="both"/>
      </w:pPr>
      <w:r>
        <w:rPr>
          <w:rFonts w:ascii="Georgia" w:cs="Georgia" w:eastAsia="Georgia" w:hAnsi="Georgia"/>
          <w:b w:val="false"/>
          <w:bCs w:val="false"/>
          <w:i w:val="false"/>
          <w:iCs w:val="false"/>
          <w:color w:val="333333"/>
          <w:sz w:val="22"/>
          <w:szCs w:val="22"/>
        </w:rPr>
        <w:t xml:space="preserve">But V1 is fundamentally a descriptive system. It answers the question: are these prices coherent? A quantitative research audience needs more. They want to know why the incoherence exists, how it evolves, what it predicts, and whether it can be exploited. LOGOS V2 reorients the system around these questions. The goal is to transform a coherence-detection pipeline into a quantitative research platform capable of producing findings that speak to the market microstructure, information economics, and quantitative finance literatures simultaneously.</w:t>
      </w:r>
    </w:p>
    <w:p>
      <w:pPr>
        <w:spacing w:after="160" w:line="312"/>
        <w:jc w:val="both"/>
      </w:pPr>
      <w:r>
        <w:rPr>
          <w:rFonts w:ascii="Georgia" w:cs="Georgia" w:eastAsia="Georgia" w:hAnsi="Georgia"/>
          <w:b w:val="false"/>
          <w:bCs w:val="false"/>
          <w:i w:val="false"/>
          <w:iCs w:val="false"/>
          <w:color w:val="333333"/>
          <w:sz w:val="22"/>
          <w:szCs w:val="22"/>
        </w:rPr>
        <w:t xml:space="preserve">This memo outlines the full expansion framework. It is organized around seven research dimensions, each of which represents a distinct intellectual contribution and a distinct set of technical requirements. Not all of them need to be completed for the summer paper, but they should inform the architecture of the system we build, so that the platform can grow into them over time.</w:t>
      </w:r>
    </w:p>
    <w:p>
      <w:pPr>
        <w:spacing w:after="160" w:before="360"/>
      </w:pPr>
      <w:r>
        <w:rPr>
          <w:rFonts w:ascii="Georgia" w:cs="Georgia" w:eastAsia="Georgia" w:hAnsi="Georgia"/>
          <w:b/>
          <w:bCs/>
          <w:color w:val="1B2A4A"/>
          <w:sz w:val="28"/>
          <w:szCs w:val="28"/>
        </w:rPr>
        <w:t xml:space="preserve">2. From Detection to Signal Extraction</w:t>
      </w:r>
    </w:p>
    <w:p>
      <w:pPr>
        <w:spacing w:after="160" w:line="312"/>
        <w:jc w:val="both"/>
      </w:pPr>
      <w:r>
        <w:rPr>
          <w:rFonts w:ascii="Georgia" w:cs="Georgia" w:eastAsia="Georgia" w:hAnsi="Georgia"/>
          <w:b w:val="false"/>
          <w:bCs w:val="false"/>
          <w:i w:val="false"/>
          <w:iCs w:val="false"/>
          <w:color w:val="333333"/>
          <w:sz w:val="22"/>
          <w:szCs w:val="22"/>
        </w:rPr>
        <w:t xml:space="preserve">V1 computes an inconsistency score (the L2 norm of the adjustment vector between observed and coherent prices) as a static, per-snapshot diagnostic. V2 should treat that score as a time series and study its dynamic properties.</w:t>
      </w:r>
    </w:p>
    <w:p>
      <w:pPr>
        <w:spacing w:after="100" w:before="260"/>
      </w:pPr>
      <w:r>
        <w:rPr>
          <w:rFonts w:ascii="Georgia" w:cs="Georgia" w:eastAsia="Georgia" w:hAnsi="Georgia"/>
          <w:b/>
          <w:bCs/>
          <w:color w:val="2E75B6"/>
          <w:sz w:val="24"/>
          <w:szCs w:val="24"/>
        </w:rPr>
        <w:t xml:space="preserve">2.1 Inconsistency Score Dynamics</w:t>
      </w:r>
    </w:p>
    <w:p>
      <w:pPr>
        <w:spacing w:after="160" w:line="312"/>
        <w:jc w:val="both"/>
      </w:pPr>
      <w:r>
        <w:rPr>
          <w:rFonts w:ascii="Georgia" w:cs="Georgia" w:eastAsia="Georgia" w:hAnsi="Georgia"/>
          <w:b w:val="false"/>
          <w:bCs w:val="false"/>
          <w:i w:val="false"/>
          <w:iCs w:val="false"/>
          <w:color w:val="333333"/>
          <w:sz w:val="22"/>
          <w:szCs w:val="22"/>
        </w:rPr>
        <w:t xml:space="preserve">With expanded data collection at higher frequency and over longer horizons, we can characterize the autocorrelation structure of the inconsistency score for each family type. The central question is whether incoherence mean-reverts, and if so, at what speed. The half-life of mean reversion has direct implications: fast reversion suggests active arbitrage (the market corrects itself), while slow or absent reversion suggests a structural premium—a persistent inefficiency that either cannot be profitably arbitraged or is maintained by continuous uninformed flow.</w:t>
      </w:r>
    </w:p>
    <w:p>
      <w:pPr>
        <w:spacing w:after="160" w:line="312"/>
        <w:jc w:val="both"/>
      </w:pPr>
      <w:r>
        <w:rPr>
          <w:rFonts w:ascii="Georgia" w:cs="Georgia" w:eastAsia="Georgia" w:hAnsi="Georgia"/>
          <w:b w:val="false"/>
          <w:bCs w:val="false"/>
          <w:i w:val="false"/>
          <w:iCs w:val="false"/>
          <w:color w:val="333333"/>
          <w:sz w:val="22"/>
          <w:szCs w:val="22"/>
        </w:rPr>
        <w:t xml:space="preserve">Formally, we can estimate an Ornstein-Uhlenbeck process for the inconsistency score: dθ(t) = κ(μ − θ(t))dt + σ dW(t), where θ is the inconsistency score, κ is the speed of mean reversion, and μ is the long-run level. Augmented Dickey-Fuller tests will determine stationarity; Hurst exponent estimation will distinguish mean-reverting, random-walk, and trending regimes. Different family types (mutually exclusive vs. threshold chain vs. deadline nesting) may exhibit qualitatively different dynamics, which would itself be a finding.</w:t>
      </w:r>
    </w:p>
    <w:p>
      <w:pPr>
        <w:spacing w:after="100" w:before="260"/>
      </w:pPr>
      <w:r>
        <w:rPr>
          <w:rFonts w:ascii="Georgia" w:cs="Georgia" w:eastAsia="Georgia" w:hAnsi="Georgia"/>
          <w:b/>
          <w:bCs/>
          <w:color w:val="2E75B6"/>
          <w:sz w:val="24"/>
          <w:szCs w:val="24"/>
        </w:rPr>
        <w:t xml:space="preserve">2.2 Conditional Predictive Power</w:t>
      </w:r>
    </w:p>
    <w:p>
      <w:pPr>
        <w:spacing w:after="160" w:line="312"/>
        <w:jc w:val="both"/>
      </w:pPr>
      <w:r>
        <w:rPr>
          <w:rFonts w:ascii="Georgia" w:cs="Georgia" w:eastAsia="Georgia" w:hAnsi="Georgia"/>
          <w:b w:val="false"/>
          <w:bCs w:val="false"/>
          <w:i w:val="false"/>
          <w:iCs w:val="false"/>
          <w:color w:val="333333"/>
          <w:sz w:val="22"/>
          <w:szCs w:val="22"/>
        </w:rPr>
        <w:t xml:space="preserve">The stronger claim is that the inconsistency score predicts future price movements. If the BTC threshold chain is incoherent in a specific direction—say, the higher-strike contracts are systematically overpriced relative to the lower-strike ones—does that predict which contracts will be repriced? If the NBA mutually-exclusive family sums to 1.025, do we observe systematic downward repricing toward coherence, and can we identify which contracts absorb the adjustment?</w:t>
      </w:r>
    </w:p>
    <w:p>
      <w:pPr>
        <w:spacing w:after="160" w:line="312"/>
        <w:jc w:val="both"/>
      </w:pPr>
      <w:r>
        <w:rPr>
          <w:rFonts w:ascii="Georgia" w:cs="Georgia" w:eastAsia="Georgia" w:hAnsi="Georgia"/>
          <w:b w:val="false"/>
          <w:bCs w:val="false"/>
          <w:i w:val="false"/>
          <w:iCs w:val="false"/>
          <w:color w:val="333333"/>
          <w:sz w:val="22"/>
          <w:szCs w:val="22"/>
        </w:rPr>
        <w:t xml:space="preserve">This is testable with simple Granger causality and predictive regressions. Even if the predictive power is modest, demonstrating the methodology positions LOGOS as a signal-generation tool—which is the framing that makes quantitative researchers pay attention.</w:t>
      </w:r>
    </w:p>
    <w:p>
      <w:pPr>
        <w:spacing w:after="100" w:before="260"/>
      </w:pPr>
      <w:r>
        <w:rPr>
          <w:rFonts w:ascii="Georgia" w:cs="Georgia" w:eastAsia="Georgia" w:hAnsi="Georgia"/>
          <w:b/>
          <w:bCs/>
          <w:color w:val="2E75B6"/>
          <w:sz w:val="24"/>
          <w:szCs w:val="24"/>
        </w:rPr>
        <w:t xml:space="preserve">2.3 Cross-Family Lead-Lag Relationships</w:t>
      </w:r>
    </w:p>
    <w:p>
      <w:pPr>
        <w:spacing w:after="160" w:line="312"/>
        <w:jc w:val="both"/>
      </w:pPr>
      <w:r>
        <w:rPr>
          <w:rFonts w:ascii="Georgia" w:cs="Georgia" w:eastAsia="Georgia" w:hAnsi="Georgia"/>
          <w:b w:val="false"/>
          <w:bCs w:val="false"/>
          <w:i w:val="false"/>
          <w:iCs w:val="false"/>
          <w:color w:val="333333"/>
          <w:sz w:val="22"/>
          <w:szCs w:val="22"/>
        </w:rPr>
        <w:t xml:space="preserve">A more ambitious question: does incoherence in one family predict incoherence in related families? If Fed Rate Cut deadline constraints break down, does that precede incoherence in BTC threshold chains, given that both families are sensitive to macroeconomic expectations? Cross-family lead-lag analysis is essentially a Granger causality test on the vector of inconsistency scores, and it has direct parallels to the cross-asset spillover literature in quantitative finance.</w:t>
      </w:r>
    </w:p>
    <w:p>
      <w:pPr>
        <w:spacing w:after="160" w:before="360"/>
      </w:pPr>
      <w:r>
        <w:rPr>
          <w:rFonts w:ascii="Georgia" w:cs="Georgia" w:eastAsia="Georgia" w:hAnsi="Georgia"/>
          <w:b/>
          <w:bCs/>
          <w:color w:val="1B2A4A"/>
          <w:sz w:val="28"/>
          <w:szCs w:val="28"/>
        </w:rPr>
        <w:t xml:space="preserve">3. Market Microstructure Layer</w:t>
      </w:r>
    </w:p>
    <w:p>
      <w:pPr>
        <w:spacing w:after="160" w:line="312"/>
        <w:jc w:val="both"/>
      </w:pPr>
      <w:r>
        <w:rPr>
          <w:rFonts w:ascii="Georgia" w:cs="Georgia" w:eastAsia="Georgia" w:hAnsi="Georgia"/>
          <w:b w:val="false"/>
          <w:bCs w:val="false"/>
          <w:i w:val="false"/>
          <w:iCs w:val="false"/>
          <w:color w:val="333333"/>
          <w:sz w:val="22"/>
          <w:szCs w:val="22"/>
        </w:rPr>
        <w:t xml:space="preserve">Quantitative researchers care not just about whether prices are right, but about the mechanisms that produce them. The microstructure layer asks: what is the mechanical explanation for incoherence, and how much of it is rationally persistent?</w:t>
      </w:r>
    </w:p>
    <w:p>
      <w:pPr>
        <w:spacing w:after="100" w:before="260"/>
      </w:pPr>
      <w:r>
        <w:rPr>
          <w:rFonts w:ascii="Georgia" w:cs="Georgia" w:eastAsia="Georgia" w:hAnsi="Georgia"/>
          <w:b/>
          <w:bCs/>
          <w:color w:val="2E75B6"/>
          <w:sz w:val="24"/>
          <w:szCs w:val="24"/>
        </w:rPr>
        <w:t xml:space="preserve">3.1 Liquidity-Adjusted Coherence</w:t>
      </w:r>
    </w:p>
    <w:p>
      <w:pPr>
        <w:spacing w:after="160" w:line="312"/>
        <w:jc w:val="both"/>
      </w:pPr>
      <w:r>
        <w:rPr>
          <w:rFonts w:ascii="Georgia" w:cs="Georgia" w:eastAsia="Georgia" w:hAnsi="Georgia"/>
          <w:b w:val="false"/>
          <w:bCs w:val="false"/>
          <w:i w:val="false"/>
          <w:iCs w:val="false"/>
          <w:color w:val="333333"/>
          <w:sz w:val="22"/>
          <w:szCs w:val="22"/>
        </w:rPr>
        <w:t xml:space="preserve">Not all incoherence is created equal. A 3-percentage-point violation in a family where every contract trades millions of dollars daily means something different from the same violation in a family of thinly traded contracts where the bid-ask spread alone exceeds 3 points. V2 should decompose violations into a liquidity-explainable component and a residual:</w:t>
      </w:r>
    </w:p>
    <w:p>
      <w:pPr>
        <w:spacing w:after="160" w:line="312"/>
        <w:jc w:val="both"/>
      </w:pPr>
      <w:r>
        <w:rPr>
          <w:rFonts w:ascii="Georgia" w:cs="Georgia" w:eastAsia="Georgia" w:hAnsi="Georgia"/>
          <w:b w:val="false"/>
          <w:bCs w:val="false"/>
          <w:i/>
          <w:iCs/>
          <w:color w:val="333333"/>
          <w:sz w:val="22"/>
          <w:szCs w:val="22"/>
        </w:rPr>
        <w:t xml:space="preserve">Total Incoherence = f(spread, depth, volume) + Residual Incoherence</w:t>
      </w:r>
    </w:p>
    <w:p>
      <w:pPr>
        <w:spacing w:after="160" w:line="312"/>
        <w:jc w:val="both"/>
      </w:pPr>
      <w:r>
        <w:rPr>
          <w:rFonts w:ascii="Georgia" w:cs="Georgia" w:eastAsia="Georgia" w:hAnsi="Georgia"/>
          <w:b w:val="false"/>
          <w:bCs w:val="false"/>
          <w:i w:val="false"/>
          <w:iCs w:val="false"/>
          <w:color w:val="333333"/>
          <w:sz w:val="22"/>
          <w:szCs w:val="22"/>
        </w:rPr>
        <w:t xml:space="preserve">The liquidity-explainable component captures incoherence that exists because arbing it is uneconomical—the transaction costs exceed the violation magnitude. The residual is the signal: incoherence that persists even after controlling for friction. Studying the residual across family types and market conditions is where the interesting findings will live.</w:t>
      </w:r>
    </w:p>
    <w:p>
      <w:pPr>
        <w:spacing w:after="100" w:before="260"/>
      </w:pPr>
      <w:r>
        <w:rPr>
          <w:rFonts w:ascii="Georgia" w:cs="Georgia" w:eastAsia="Georgia" w:hAnsi="Georgia"/>
          <w:b/>
          <w:bCs/>
          <w:color w:val="2E75B6"/>
          <w:sz w:val="24"/>
          <w:szCs w:val="24"/>
        </w:rPr>
        <w:t xml:space="preserve">3.2 Transaction Cost Analysis</w:t>
      </w:r>
    </w:p>
    <w:p>
      <w:pPr>
        <w:spacing w:after="160" w:line="312"/>
        <w:jc w:val="both"/>
      </w:pPr>
      <w:r>
        <w:rPr>
          <w:rFonts w:ascii="Georgia" w:cs="Georgia" w:eastAsia="Georgia" w:hAnsi="Georgia"/>
          <w:b w:val="false"/>
          <w:bCs w:val="false"/>
          <w:i w:val="false"/>
          <w:iCs w:val="false"/>
          <w:color w:val="333333"/>
          <w:sz w:val="22"/>
          <w:szCs w:val="22"/>
        </w:rPr>
        <w:t xml:space="preserve">For each detected violation, V2 should compute the net profitability of the arbitrage trade that would restore coherence. This requires accounting for platform fees, on-chain settlement costs (gas, if applicable), slippage given observable book depth, and the expected convergence time. The result is a per-violation, per-snapshot estimate of implementable profit. If the vast majority of violations are negative-expected-value after costs, we have an explanation for persistence that does not require invoking irrationality. If some are positive, we have identified exploitable inefficiency.</w:t>
      </w:r>
    </w:p>
    <w:p>
      <w:pPr>
        <w:spacing w:after="160" w:line="312"/>
        <w:jc w:val="both"/>
      </w:pPr>
      <w:r>
        <w:rPr>
          <w:rFonts w:ascii="Georgia" w:cs="Georgia" w:eastAsia="Georgia" w:hAnsi="Georgia"/>
          <w:b w:val="false"/>
          <w:bCs w:val="false"/>
          <w:i w:val="false"/>
          <w:iCs w:val="false"/>
          <w:color w:val="333333"/>
          <w:sz w:val="22"/>
          <w:szCs w:val="22"/>
        </w:rPr>
        <w:t xml:space="preserve">This reframes the research contribution. Instead of saying prediction market prices are incoherent (a descriptive claim), we say they are incoherent in specific, measurable ways, and we can characterize which violations are rationally persistent and which represent genuine opportunities (an analytical claim with practical consequences).</w:t>
      </w:r>
    </w:p>
    <w:p>
      <w:pPr>
        <w:spacing w:after="100" w:before="260"/>
      </w:pPr>
      <w:r>
        <w:rPr>
          <w:rFonts w:ascii="Georgia" w:cs="Georgia" w:eastAsia="Georgia" w:hAnsi="Georgia"/>
          <w:b/>
          <w:bCs/>
          <w:color w:val="2E75B6"/>
          <w:sz w:val="24"/>
          <w:szCs w:val="24"/>
        </w:rPr>
        <w:t xml:space="preserve">3.3 Order Flow and Incoherence Dynamics</w:t>
      </w:r>
    </w:p>
    <w:p>
      <w:pPr>
        <w:spacing w:after="160" w:line="312"/>
        <w:jc w:val="both"/>
      </w:pPr>
      <w:r>
        <w:rPr>
          <w:rFonts w:ascii="Georgia" w:cs="Georgia" w:eastAsia="Georgia" w:hAnsi="Georgia"/>
          <w:b w:val="false"/>
          <w:bCs w:val="false"/>
          <w:i w:val="false"/>
          <w:iCs w:val="false"/>
          <w:color w:val="333333"/>
          <w:sz w:val="22"/>
          <w:szCs w:val="22"/>
        </w:rPr>
        <w:t xml:space="preserve">If trade-level or order book data is accessible, we can study whether incoherence follows large trades (one leg of a family moves before the others adjust) or precedes them (informed participants wait for dislocations to build). This is a classic microstructure question—the prediction market analogue of studying whether institutional order flow creates temporary equity mispricings—and would connect LOGOS to a deep body of existing literature.</w:t>
      </w:r>
    </w:p>
    <w:p>
      <w:pPr>
        <w:spacing w:after="160" w:before="360"/>
      </w:pPr>
      <w:r>
        <w:rPr>
          <w:rFonts w:ascii="Georgia" w:cs="Georgia" w:eastAsia="Georgia" w:hAnsi="Georgia"/>
          <w:b/>
          <w:bCs/>
          <w:color w:val="1B2A4A"/>
          <w:sz w:val="28"/>
          <w:szCs w:val="28"/>
        </w:rPr>
        <w:t xml:space="preserve">4. Statistical and Mathematical Rigor</w:t>
      </w:r>
    </w:p>
    <w:p>
      <w:pPr>
        <w:spacing w:after="160" w:line="312"/>
        <w:jc w:val="both"/>
      </w:pPr>
      <w:r>
        <w:rPr>
          <w:rFonts w:ascii="Georgia" w:cs="Georgia" w:eastAsia="Georgia" w:hAnsi="Georgia"/>
          <w:b w:val="false"/>
          <w:bCs w:val="false"/>
          <w:i w:val="false"/>
          <w:iCs w:val="false"/>
          <w:color w:val="333333"/>
          <w:sz w:val="22"/>
          <w:szCs w:val="22"/>
        </w:rPr>
        <w:t xml:space="preserve">For V2 to be taken seriously by a quantitative audience, every empirical claim must be supported by a formal hypothesis test, and the optimization framework should be extended to demonstrate robustness across alternative specifications.</w:t>
      </w:r>
    </w:p>
    <w:p>
      <w:pPr>
        <w:spacing w:after="100" w:before="260"/>
      </w:pPr>
      <w:r>
        <w:rPr>
          <w:rFonts w:ascii="Georgia" w:cs="Georgia" w:eastAsia="Georgia" w:hAnsi="Georgia"/>
          <w:b/>
          <w:bCs/>
          <w:color w:val="2E75B6"/>
          <w:sz w:val="24"/>
          <w:szCs w:val="24"/>
        </w:rPr>
        <w:t xml:space="preserve">4.1 Formal Null Hypothesis</w:t>
      </w:r>
    </w:p>
    <w:p>
      <w:pPr>
        <w:spacing w:after="160" w:line="312"/>
        <w:jc w:val="both"/>
      </w:pPr>
      <w:r>
        <w:rPr>
          <w:rFonts w:ascii="Georgia" w:cs="Georgia" w:eastAsia="Georgia" w:hAnsi="Georgia"/>
          <w:b w:val="false"/>
          <w:bCs w:val="false"/>
          <w:i w:val="false"/>
          <w:iCs w:val="false"/>
          <w:color w:val="333333"/>
          <w:sz w:val="22"/>
          <w:szCs w:val="22"/>
        </w:rPr>
        <w:t xml:space="preserve">V1 reports that three families showed constraint violations in 100% of snapshots. A critical reader will ask: could this be noise? The necessary null hypothesis is that prices are coherent but observed with measurement error—bid-ask bounce, stale quotes, or rounding. Under this null, for a mutually exclusive family of N contracts with prices observed as true probabilities plus i.i.d. Gaussian noise calibrated to the bid-ask spread, we can derive the expected violation rate and magnitude analytically. Testing our observed violations against this null produces a formal rejection of the coherence hypothesis that goes beyond simply saying the prices don’t add up.</w:t>
      </w:r>
    </w:p>
    <w:p>
      <w:pPr>
        <w:spacing w:after="100" w:before="260"/>
      </w:pPr>
      <w:r>
        <w:rPr>
          <w:rFonts w:ascii="Georgia" w:cs="Georgia" w:eastAsia="Georgia" w:hAnsi="Georgia"/>
          <w:b/>
          <w:bCs/>
          <w:color w:val="2E75B6"/>
          <w:sz w:val="24"/>
          <w:szCs w:val="24"/>
        </w:rPr>
        <w:t xml:space="preserve">4.2 Persistence Testing</w:t>
      </w:r>
    </w:p>
    <w:p>
      <w:pPr>
        <w:spacing w:after="160" w:line="312"/>
        <w:jc w:val="both"/>
      </w:pPr>
      <w:r>
        <w:rPr>
          <w:rFonts w:ascii="Georgia" w:cs="Georgia" w:eastAsia="Georgia" w:hAnsi="Georgia"/>
          <w:b w:val="false"/>
          <w:bCs w:val="false"/>
          <w:i w:val="false"/>
          <w:iCs w:val="false"/>
          <w:color w:val="333333"/>
          <w:sz w:val="22"/>
          <w:szCs w:val="22"/>
        </w:rPr>
        <w:t xml:space="preserve">The finding that violations persisted for the entire 11-hour observation window is striking but requires statistical validation. Under a null of no serial dependence in violation occurrence, we can bootstrap the time series to compute confidence intervals on run lengths. Permutation tests provide a nonparametric alternative. If the observed persistence significantly exceeds what the null produces, we can make a statistically rigorous claim about the structural nature of the incoherence—not just that it happened to persist during one observation period.</w:t>
      </w:r>
    </w:p>
    <w:p>
      <w:pPr>
        <w:spacing w:after="100" w:before="260"/>
      </w:pPr>
      <w:r>
        <w:rPr>
          <w:rFonts w:ascii="Georgia" w:cs="Georgia" w:eastAsia="Georgia" w:hAnsi="Georgia"/>
          <w:b/>
          <w:bCs/>
          <w:color w:val="2E75B6"/>
          <w:sz w:val="24"/>
          <w:szCs w:val="24"/>
        </w:rPr>
        <w:t xml:space="preserve">4.3 Information-Theoretic Measures</w:t>
      </w:r>
    </w:p>
    <w:p>
      <w:pPr>
        <w:spacing w:after="160" w:line="312"/>
        <w:jc w:val="both"/>
      </w:pPr>
      <w:r>
        <w:rPr>
          <w:rFonts w:ascii="Georgia" w:cs="Georgia" w:eastAsia="Georgia" w:hAnsi="Georgia"/>
          <w:b w:val="false"/>
          <w:bCs w:val="false"/>
          <w:i w:val="false"/>
          <w:iCs w:val="false"/>
          <w:color w:val="333333"/>
          <w:sz w:val="22"/>
          <w:szCs w:val="22"/>
        </w:rPr>
        <w:t xml:space="preserve">The L2 norm is a natural starting point but not the only choice. Kullback-Leibler divergence between the observed price vector and the nearest coherent vector has an information-theoretic interpretation: it measures the bits of misinformation embedded in the market’s prices. Mutual information between the inconsistency score and subsequent price changes quantifies how much of the future is predictable from current incoherence—the formal definition of signal content.</w:t>
      </w:r>
    </w:p>
    <w:p>
      <w:pPr>
        <w:spacing w:after="100" w:before="260"/>
      </w:pPr>
      <w:r>
        <w:rPr>
          <w:rFonts w:ascii="Georgia" w:cs="Georgia" w:eastAsia="Georgia" w:hAnsi="Georgia"/>
          <w:b/>
          <w:bCs/>
          <w:color w:val="2E75B6"/>
          <w:sz w:val="24"/>
          <w:szCs w:val="24"/>
        </w:rPr>
        <w:t xml:space="preserve">4.4 Alternative Optimization Norms</w:t>
      </w:r>
    </w:p>
    <w:p>
      <w:pPr>
        <w:spacing w:after="160" w:line="312"/>
        <w:jc w:val="both"/>
      </w:pPr>
      <w:r>
        <w:rPr>
          <w:rFonts w:ascii="Georgia" w:cs="Georgia" w:eastAsia="Georgia" w:hAnsi="Georgia"/>
          <w:b w:val="false"/>
          <w:bCs w:val="false"/>
          <w:i w:val="false"/>
          <w:iCs w:val="false"/>
          <w:color w:val="333333"/>
          <w:sz w:val="22"/>
          <w:szCs w:val="22"/>
        </w:rPr>
        <w:t xml:space="preserve">The current QP minimizes L2 distance to find the nearest coherent vector. V2 should also solve under L1 (more robust to outlier contracts, penalizes the total absolute adjustment), L-infinity (minimizes the worst-case single-contract adjustment), and Wasserstein distance (connected to optimal transport theory, currently influential in quantitative finance). Comparing results across norms reveals whether incoherence is concentrated in a few contracts or diffused across many—a diagnostically meaningful distinction that the choice of L2 alone obscures.</w:t>
      </w:r>
    </w:p>
    <w:p>
      <w:pPr>
        <w:spacing w:after="160" w:before="360"/>
      </w:pPr>
      <w:r>
        <w:rPr>
          <w:rFonts w:ascii="Georgia" w:cs="Georgia" w:eastAsia="Georgia" w:hAnsi="Georgia"/>
          <w:b/>
          <w:bCs/>
          <w:color w:val="1B2A4A"/>
          <w:sz w:val="28"/>
          <w:szCs w:val="28"/>
        </w:rPr>
        <w:t xml:space="preserve">5. Expanded Constraint Taxonomy</w:t>
      </w:r>
    </w:p>
    <w:p>
      <w:pPr>
        <w:spacing w:after="160" w:line="312"/>
        <w:jc w:val="both"/>
      </w:pPr>
      <w:r>
        <w:rPr>
          <w:rFonts w:ascii="Georgia" w:cs="Georgia" w:eastAsia="Georgia" w:hAnsi="Georgia"/>
          <w:b w:val="false"/>
          <w:bCs w:val="false"/>
          <w:i w:val="false"/>
          <w:iCs w:val="false"/>
          <w:color w:val="333333"/>
          <w:sz w:val="22"/>
          <w:szCs w:val="22"/>
        </w:rPr>
        <w:t xml:space="preserve">V1 handles three constraint types: threshold chains, deadline nesting, and mutually exclusive sets. Real prediction markets exhibit a richer structure of logical relationships. Expanding the constraint taxonomy is both a theoretical contribution (a more complete formalization of prediction market coherence) and a practical one (more families become analyzable).</w:t>
      </w:r>
    </w:p>
    <w:p>
      <w:pPr>
        <w:spacing w:after="100" w:before="260"/>
      </w:pPr>
      <w:r>
        <w:rPr>
          <w:rFonts w:ascii="Georgia" w:cs="Georgia" w:eastAsia="Georgia" w:hAnsi="Georgia"/>
          <w:b/>
          <w:bCs/>
          <w:color w:val="2E75B6"/>
          <w:sz w:val="24"/>
          <w:szCs w:val="24"/>
        </w:rPr>
        <w:t xml:space="preserve">5.1 Conditional Probability Constraints</w:t>
      </w:r>
    </w:p>
    <w:p>
      <w:pPr>
        <w:spacing w:after="160" w:line="312"/>
        <w:jc w:val="both"/>
      </w:pPr>
      <w:r>
        <w:rPr>
          <w:rFonts w:ascii="Georgia" w:cs="Georgia" w:eastAsia="Georgia" w:hAnsi="Georgia"/>
          <w:b w:val="false"/>
          <w:bCs w:val="false"/>
          <w:i w:val="false"/>
          <w:iCs w:val="false"/>
          <w:color w:val="333333"/>
          <w:sz w:val="22"/>
          <w:szCs w:val="22"/>
        </w:rPr>
        <w:t xml:space="preserve">Polymarket hosts conditional markets: if event X occurs, what is the probability of event Y? The coherence requirement is Bayes’ rule: P(Y|X) × P(X) = P(X ∩ Y). This is a bilinear constraint, which means the current QP framework must be extended. Sequential quadratic programming or a log-barrier method can handle the nonlinearity. Conditional markets are among the most actively traded on Polymarket, so this extension substantially widens the empirical scope.</w:t>
      </w:r>
    </w:p>
    <w:p>
      <w:pPr>
        <w:spacing w:after="100" w:before="260"/>
      </w:pPr>
      <w:r>
        <w:rPr>
          <w:rFonts w:ascii="Georgia" w:cs="Georgia" w:eastAsia="Georgia" w:hAnsi="Georgia"/>
          <w:b/>
          <w:bCs/>
          <w:color w:val="2E75B6"/>
          <w:sz w:val="24"/>
          <w:szCs w:val="24"/>
        </w:rPr>
        <w:t xml:space="preserve">5.2 Temporal Ordering and Cross-Event Constraints</w:t>
      </w:r>
    </w:p>
    <w:p>
      <w:pPr>
        <w:spacing w:after="160" w:line="312"/>
        <w:jc w:val="both"/>
      </w:pPr>
      <w:r>
        <w:rPr>
          <w:rFonts w:ascii="Georgia" w:cs="Georgia" w:eastAsia="Georgia" w:hAnsi="Georgia"/>
          <w:b w:val="false"/>
          <w:bCs w:val="false"/>
          <w:i w:val="false"/>
          <w:iCs w:val="false"/>
          <w:color w:val="333333"/>
          <w:sz w:val="22"/>
          <w:szCs w:val="22"/>
        </w:rPr>
        <w:t xml:space="preserve">When the same event has contracts at multiple deadlines—ceasefire by June, ceasefire by December—the later deadline must price weakly higher. This is a simple linear inequality but a distinct constraint type from deadline nesting (which involves rate cuts or discrete policy events). Similarly, composite events (any of these five things happening) create union-bound relationships with the individual contracts. With correlation assumptions, tighter bounds are possible, which brings the analysis into copula territory.</w:t>
      </w:r>
    </w:p>
    <w:p>
      <w:pPr>
        <w:spacing w:after="100" w:before="260"/>
      </w:pPr>
      <w:r>
        <w:rPr>
          <w:rFonts w:ascii="Georgia" w:cs="Georgia" w:eastAsia="Georgia" w:hAnsi="Georgia"/>
          <w:b/>
          <w:bCs/>
          <w:color w:val="2E75B6"/>
          <w:sz w:val="24"/>
          <w:szCs w:val="24"/>
        </w:rPr>
        <w:t xml:space="preserve">5.3 Cross-Platform Coherence</w:t>
      </w:r>
    </w:p>
    <w:p>
      <w:pPr>
        <w:spacing w:after="160" w:line="312"/>
        <w:jc w:val="both"/>
      </w:pPr>
      <w:r>
        <w:rPr>
          <w:rFonts w:ascii="Georgia" w:cs="Georgia" w:eastAsia="Georgia" w:hAnsi="Georgia"/>
          <w:b w:val="false"/>
          <w:bCs w:val="false"/>
          <w:i w:val="false"/>
          <w:iCs w:val="false"/>
          <w:color w:val="333333"/>
          <w:sz w:val="22"/>
          <w:szCs w:val="22"/>
        </w:rPr>
        <w:t xml:space="preserve">If the same event trades on Polymarket and Kalshi, the prices should be equal after adjusting for platform-specific fee structures and position limits. Cross-platform arbitrage detection is a natural extension that dramatically widens the data universe and connects the research to the broader market fragmentation literature in finance. Initial data collection from both platforms is feasible this summer.</w:t>
      </w:r>
    </w:p>
    <w:p>
      <w:pPr>
        <w:spacing w:after="160" w:before="360"/>
      </w:pPr>
      <w:r>
        <w:rPr>
          <w:rFonts w:ascii="Georgia" w:cs="Georgia" w:eastAsia="Georgia" w:hAnsi="Georgia"/>
          <w:b/>
          <w:bCs/>
          <w:color w:val="1B2A4A"/>
          <w:sz w:val="28"/>
          <w:szCs w:val="28"/>
        </w:rPr>
        <w:t xml:space="preserve">6. Dynamic and Regime-Aware Analysis</w:t>
      </w:r>
    </w:p>
    <w:p>
      <w:pPr>
        <w:spacing w:after="100" w:before="260"/>
      </w:pPr>
      <w:r>
        <w:rPr>
          <w:rFonts w:ascii="Georgia" w:cs="Georgia" w:eastAsia="Georgia" w:hAnsi="Georgia"/>
          <w:b/>
          <w:bCs/>
          <w:color w:val="2E75B6"/>
          <w:sz w:val="24"/>
          <w:szCs w:val="24"/>
        </w:rPr>
        <w:t xml:space="preserve">6.1 Event-Driven Regime Detection</w:t>
      </w:r>
    </w:p>
    <w:p>
      <w:pPr>
        <w:spacing w:after="160" w:line="312"/>
        <w:jc w:val="both"/>
      </w:pPr>
      <w:r>
        <w:rPr>
          <w:rFonts w:ascii="Georgia" w:cs="Georgia" w:eastAsia="Georgia" w:hAnsi="Georgia"/>
          <w:b w:val="false"/>
          <w:bCs w:val="false"/>
          <w:i w:val="false"/>
          <w:iCs w:val="false"/>
          <w:color w:val="333333"/>
          <w:sz w:val="22"/>
          <w:szCs w:val="22"/>
        </w:rPr>
        <w:t xml:space="preserve">Do violations cluster around news events? Overlaying the inconsistency time series with an information arrival proxy (tweet timestamps from key accounts, news API event feeds) enables event-study methodology. We can measure the impulse response: how much does incoherence spike after an information shock, and how quickly does it decay? The decay rate is the price discovery speed of prediction markets—a quantity with direct analogues in the equity market literature and no existing measurement in the prediction market setting.</w:t>
      </w:r>
    </w:p>
    <w:p>
      <w:pPr>
        <w:spacing w:after="100" w:before="260"/>
      </w:pPr>
      <w:r>
        <w:rPr>
          <w:rFonts w:ascii="Georgia" w:cs="Georgia" w:eastAsia="Georgia" w:hAnsi="Georgia"/>
          <w:b/>
          <w:bCs/>
          <w:color w:val="2E75B6"/>
          <w:sz w:val="24"/>
          <w:szCs w:val="24"/>
        </w:rPr>
        <w:t xml:space="preserve">6.2 Volatility of Incoherence</w:t>
      </w:r>
    </w:p>
    <w:p>
      <w:pPr>
        <w:spacing w:after="160" w:line="312"/>
        <w:jc w:val="both"/>
      </w:pPr>
      <w:r>
        <w:rPr>
          <w:rFonts w:ascii="Georgia" w:cs="Georgia" w:eastAsia="Georgia" w:hAnsi="Georgia"/>
          <w:b w:val="false"/>
          <w:bCs w:val="false"/>
          <w:i w:val="false"/>
          <w:iCs w:val="false"/>
          <w:color w:val="333333"/>
          <w:sz w:val="22"/>
          <w:szCs w:val="22"/>
        </w:rPr>
        <w:t xml:space="preserve">Beyond the level of the inconsistency score, its volatility is informative. High volatility means the market is flickering between coherent and incoherent states—possibly because arbitrageurs are active but cannot fully close the gap. Low volatility means the market is stably incoherent (no one is arbitraging) or stably coherent (well-functioning). Rolling volatility of the inconsistency score is a second-order statistic that captures the intensity of price discovery activity and could be reported as a market health dashboard metric.</w:t>
      </w:r>
    </w:p>
    <w:p>
      <w:pPr>
        <w:spacing w:after="100" w:before="260"/>
      </w:pPr>
      <w:r>
        <w:rPr>
          <w:rFonts w:ascii="Georgia" w:cs="Georgia" w:eastAsia="Georgia" w:hAnsi="Georgia"/>
          <w:b/>
          <w:bCs/>
          <w:color w:val="2E75B6"/>
          <w:sz w:val="24"/>
          <w:szCs w:val="24"/>
        </w:rPr>
        <w:t xml:space="preserve">6.3 Market Maturity Lifecycle</w:t>
      </w:r>
    </w:p>
    <w:p>
      <w:pPr>
        <w:spacing w:after="160" w:line="312"/>
        <w:jc w:val="both"/>
      </w:pPr>
      <w:r>
        <w:rPr>
          <w:rFonts w:ascii="Georgia" w:cs="Georgia" w:eastAsia="Georgia" w:hAnsi="Georgia"/>
          <w:b w:val="false"/>
          <w:bCs w:val="false"/>
          <w:i w:val="false"/>
          <w:iCs w:val="false"/>
          <w:color w:val="333333"/>
          <w:sz w:val="22"/>
          <w:szCs w:val="22"/>
        </w:rPr>
        <w:t xml:space="preserve">Tracking how incoherence evolves from contract creation through resolution tests a natural hypothesis: markets are most incoherent early (thin liquidity, uncertain pricing) and near resolution (discontinuous payoffs, convexity effects). Documenting this lifecycle across many families would be a novel descriptive contribution with implications for market design—for instance, whether platforms should subsidize liquidity provision at specific points in a contract’s life.</w:t>
      </w:r>
    </w:p>
    <w:p>
      <w:pPr>
        <w:spacing w:after="160" w:before="360"/>
      </w:pPr>
      <w:r>
        <w:rPr>
          <w:rFonts w:ascii="Georgia" w:cs="Georgia" w:eastAsia="Georgia" w:hAnsi="Georgia"/>
          <w:b/>
          <w:bCs/>
          <w:color w:val="1B2A4A"/>
          <w:sz w:val="28"/>
          <w:szCs w:val="28"/>
        </w:rPr>
        <w:t xml:space="preserve">7. Portfolio Construction and Risk Decomposition</w:t>
      </w:r>
    </w:p>
    <w:p>
      <w:pPr>
        <w:spacing w:after="100" w:before="260"/>
      </w:pPr>
      <w:r>
        <w:rPr>
          <w:rFonts w:ascii="Georgia" w:cs="Georgia" w:eastAsia="Georgia" w:hAnsi="Georgia"/>
          <w:b/>
          <w:bCs/>
          <w:color w:val="2E75B6"/>
          <w:sz w:val="24"/>
          <w:szCs w:val="24"/>
        </w:rPr>
        <w:t xml:space="preserve">7.1 Coherence-Based Portfolio Construction</w:t>
      </w:r>
    </w:p>
    <w:p>
      <w:pPr>
        <w:spacing w:after="160" w:line="312"/>
        <w:jc w:val="both"/>
      </w:pPr>
      <w:r>
        <w:rPr>
          <w:rFonts w:ascii="Georgia" w:cs="Georgia" w:eastAsia="Georgia" w:hAnsi="Georgia"/>
          <w:b w:val="false"/>
          <w:bCs w:val="false"/>
          <w:i w:val="false"/>
          <w:iCs w:val="false"/>
          <w:color w:val="333333"/>
          <w:sz w:val="22"/>
          <w:szCs w:val="22"/>
        </w:rPr>
        <w:t xml:space="preserve">If the coherent projection is treated as a better estimate of true probabilities than the observed prices, a natural portfolio emerges. The difference between observed and projected prices defines the expected edge per contract. Kelly criterion (or fractional Kelly) sizing, constrained by observed liquidity, produces an optimal portfolio that trades toward coherence. Even as a simulation exercise on historical data, this demonstrates the practical value of the LOGOS framework in a language that quantitative practitioners understand.</w:t>
      </w:r>
    </w:p>
    <w:p>
      <w:pPr>
        <w:spacing w:after="100" w:before="260"/>
      </w:pPr>
      <w:r>
        <w:rPr>
          <w:rFonts w:ascii="Georgia" w:cs="Georgia" w:eastAsia="Georgia" w:hAnsi="Georgia"/>
          <w:b/>
          <w:bCs/>
          <w:color w:val="2E75B6"/>
          <w:sz w:val="24"/>
          <w:szCs w:val="24"/>
        </w:rPr>
        <w:t xml:space="preserve">7.2 Risk Decomposition</w:t>
      </w:r>
    </w:p>
    <w:p>
      <w:pPr>
        <w:spacing w:after="160" w:line="312"/>
        <w:jc w:val="both"/>
      </w:pPr>
      <w:r>
        <w:rPr>
          <w:rFonts w:ascii="Georgia" w:cs="Georgia" w:eastAsia="Georgia" w:hAnsi="Georgia"/>
          <w:b w:val="false"/>
          <w:bCs w:val="false"/>
          <w:i w:val="false"/>
          <w:iCs w:val="false"/>
          <w:color w:val="333333"/>
          <w:sz w:val="22"/>
          <w:szCs w:val="22"/>
        </w:rPr>
        <w:t xml:space="preserve">The variance of a prediction market position can be decomposed into three components: fundamental risk (the event outcome is genuinely uncertain), pricing risk (prices are incoherent given the true probabilities), and liquidity risk (observed prices cannot be traded at without impact). This three-way decomposition parallels APT-style factor models in equities and provides a structured framework for thinking about portfolio risk in prediction markets—a topic that is almost entirely unaddressed in the existing literature.</w:t>
      </w:r>
    </w:p>
    <w:p>
      <w:pPr>
        <w:spacing w:after="160" w:before="360"/>
      </w:pPr>
      <w:r>
        <w:rPr>
          <w:rFonts w:ascii="Georgia" w:cs="Georgia" w:eastAsia="Georgia" w:hAnsi="Georgia"/>
          <w:b/>
          <w:bCs/>
          <w:color w:val="1B2A4A"/>
          <w:sz w:val="28"/>
          <w:szCs w:val="28"/>
        </w:rPr>
        <w:t xml:space="preserve">8. Technical Architecture for V2</w:t>
      </w:r>
    </w:p>
    <w:p>
      <w:pPr>
        <w:spacing w:after="160" w:line="312"/>
        <w:jc w:val="both"/>
      </w:pPr>
      <w:r>
        <w:rPr>
          <w:rFonts w:ascii="Georgia" w:cs="Georgia" w:eastAsia="Georgia" w:hAnsi="Georgia"/>
          <w:b w:val="false"/>
          <w:bCs w:val="false"/>
          <w:i w:val="false"/>
          <w:iCs w:val="false"/>
          <w:color w:val="333333"/>
          <w:sz w:val="22"/>
          <w:szCs w:val="22"/>
        </w:rPr>
        <w:t xml:space="preserve">The engineering upgrades for V2 serve two purposes: they enable the research analyses described above, and they signal to a quantitative audience that LOGOS is a production-grade platform, not a one-off script.</w:t>
      </w:r>
    </w:p>
    <w:p>
      <w:pPr>
        <w:spacing w:after="100" w:before="260"/>
      </w:pPr>
      <w:r>
        <w:rPr>
          <w:rFonts w:ascii="Georgia" w:cs="Georgia" w:eastAsia="Georgia" w:hAnsi="Georgia"/>
          <w:b/>
          <w:bCs/>
          <w:color w:val="2E75B6"/>
          <w:sz w:val="24"/>
          <w:szCs w:val="24"/>
        </w:rPr>
        <w:t xml:space="preserve">8.1 Real-Time Streaming Pipeline</w:t>
      </w:r>
    </w:p>
    <w:p>
      <w:pPr>
        <w:spacing w:after="160" w:line="312"/>
        <w:jc w:val="both"/>
      </w:pPr>
      <w:r>
        <w:rPr>
          <w:rFonts w:ascii="Georgia" w:cs="Georgia" w:eastAsia="Georgia" w:hAnsi="Georgia"/>
          <w:b w:val="false"/>
          <w:bCs w:val="false"/>
          <w:i w:val="false"/>
          <w:iCs w:val="false"/>
          <w:color w:val="333333"/>
          <w:sz w:val="22"/>
          <w:szCs w:val="22"/>
        </w:rPr>
        <w:t xml:space="preserve">V1 operates on batch JSON snapshots at roughly seven-minute intervals. V2 should move to a websocket-based ingestion pipeline that captures tick-level or near-tick-level data. Even a lightweight architecture—a local Redis instance buffering incoming prices, a Python consumer computing coherence metrics in real time, a Streamlit or lightweight React dashboard displaying current violations—demonstrates the system’s suitability for live deployment.</w:t>
      </w:r>
    </w:p>
    <w:p>
      <w:pPr>
        <w:spacing w:after="100" w:before="260"/>
      </w:pPr>
      <w:r>
        <w:rPr>
          <w:rFonts w:ascii="Georgia" w:cs="Georgia" w:eastAsia="Georgia" w:hAnsi="Georgia"/>
          <w:b/>
          <w:bCs/>
          <w:color w:val="2E75B6"/>
          <w:sz w:val="24"/>
          <w:szCs w:val="24"/>
        </w:rPr>
        <w:t xml:space="preserve">8.2 Backtesting Framework</w:t>
      </w:r>
    </w:p>
    <w:p>
      <w:pPr>
        <w:spacing w:after="160" w:line="312"/>
        <w:jc w:val="both"/>
      </w:pPr>
      <w:r>
        <w:rPr>
          <w:rFonts w:ascii="Georgia" w:cs="Georgia" w:eastAsia="Georgia" w:hAnsi="Georgia"/>
          <w:b w:val="false"/>
          <w:bCs w:val="false"/>
          <w:i w:val="false"/>
          <w:iCs w:val="false"/>
          <w:color w:val="333333"/>
          <w:sz w:val="22"/>
          <w:szCs w:val="22"/>
        </w:rPr>
        <w:t xml:space="preserve">A formal backtester that replays historical data, generates signals from inconsistency scores, simulates trades with realistic execution assumptions (fees, slippage, partial fills), and reports standard performance metrics (Sharpe ratio, Sortino ratio, maximum drawdown, turnover) is essential for the signal-extraction claims to be credible. The backtester should support configurable strategy parameters so that robustness checks and parameter sensitivity analyses are straightforward.</w:t>
      </w:r>
    </w:p>
    <w:p>
      <w:pPr>
        <w:spacing w:after="100" w:before="260"/>
      </w:pPr>
      <w:r>
        <w:rPr>
          <w:rFonts w:ascii="Georgia" w:cs="Georgia" w:eastAsia="Georgia" w:hAnsi="Georgia"/>
          <w:b/>
          <w:bCs/>
          <w:color w:val="2E75B6"/>
          <w:sz w:val="24"/>
          <w:szCs w:val="24"/>
        </w:rPr>
        <w:t xml:space="preserve">8.3 Reproducibility and Packaging</w:t>
      </w:r>
    </w:p>
    <w:p>
      <w:pPr>
        <w:spacing w:after="160" w:line="312"/>
        <w:jc w:val="both"/>
      </w:pPr>
      <w:r>
        <w:rPr>
          <w:rFonts w:ascii="Georgia" w:cs="Georgia" w:eastAsia="Georgia" w:hAnsi="Georgia"/>
          <w:b w:val="false"/>
          <w:bCs w:val="false"/>
          <w:i w:val="false"/>
          <w:iCs w:val="false"/>
          <w:color w:val="333333"/>
          <w:sz w:val="22"/>
          <w:szCs w:val="22"/>
        </w:rPr>
        <w:t xml:space="preserve">A well-structured repository with modular architecture, type hints, unit tests (especially on the optimizer), example notebooks, and pip-installable packaging. The mathematical framework should be documented in a companion LaTeX file that lives in the repository. This is the baseline expectation for quantitative research code in 2026, and meeting it communicates professionalism.</w:t>
      </w:r>
    </w:p>
    <w:p>
      <w:pPr>
        <w:spacing w:after="160" w:before="360"/>
      </w:pPr>
      <w:r>
        <w:rPr>
          <w:rFonts w:ascii="Georgia" w:cs="Georgia" w:eastAsia="Georgia" w:hAnsi="Georgia"/>
          <w:b/>
          <w:bCs/>
          <w:color w:val="1B2A4A"/>
          <w:sz w:val="28"/>
          <w:szCs w:val="28"/>
        </w:rPr>
        <w:t xml:space="preserve">9. Narrative Positioning for the Research Paper</w:t>
      </w:r>
    </w:p>
    <w:p>
      <w:pPr>
        <w:spacing w:after="160" w:line="312"/>
        <w:jc w:val="both"/>
      </w:pPr>
      <w:r>
        <w:rPr>
          <w:rFonts w:ascii="Georgia" w:cs="Georgia" w:eastAsia="Georgia" w:hAnsi="Georgia"/>
          <w:b w:val="false"/>
          <w:bCs w:val="false"/>
          <w:i w:val="false"/>
          <w:iCs w:val="false"/>
          <w:color w:val="333333"/>
          <w:sz w:val="22"/>
          <w:szCs w:val="22"/>
        </w:rPr>
        <w:t xml:space="preserve">How the paper is framed determines which audience it reaches. The V1 memo positions LOGOS as coherence analysis, which is technically accurate but reads as descriptive. V2 should adopt one of the following sharper angles, each of which connects to an established body of literature and positions the contribution as addressing an open question rather than merely reporting an observation.</w:t>
      </w:r>
    </w:p>
    <w:p>
      <w:pPr>
        <w:spacing w:after="100" w:before="260"/>
      </w:pPr>
      <w:r>
        <w:rPr>
          <w:rFonts w:ascii="Georgia" w:cs="Georgia" w:eastAsia="Georgia" w:hAnsi="Georgia"/>
          <w:b/>
          <w:bCs/>
          <w:color w:val="2E75B6"/>
          <w:sz w:val="24"/>
          <w:szCs w:val="24"/>
        </w:rPr>
        <w:t xml:space="preserve">Angle A: Limits to Arbitrage in Decentralized Markets</w:t>
      </w:r>
    </w:p>
    <w:p>
      <w:pPr>
        <w:spacing w:after="160" w:line="312"/>
        <w:jc w:val="both"/>
      </w:pPr>
      <w:r>
        <w:rPr>
          <w:rFonts w:ascii="Georgia" w:cs="Georgia" w:eastAsia="Georgia" w:hAnsi="Georgia"/>
          <w:b w:val="false"/>
          <w:bCs w:val="false"/>
          <w:i w:val="false"/>
          <w:iCs w:val="false"/>
          <w:color w:val="333333"/>
          <w:sz w:val="22"/>
          <w:szCs w:val="22"/>
        </w:rPr>
        <w:t xml:space="preserve">The persistence of violations is the strongest empirical finding. Framing the paper through the limits-to-arbitrage literature (Shleifer and Vishny 1997; Gromb and Vayanos 2010) asks: why don’t arbitrageurs correct these prices? Capital constraints, transaction costs, model uncertainty, and behavioral biases all offer partial explanations. LOGOS provides the first systematic, real-time measurement of arbitrage persistence in prediction markets. This framing targets finance journals and positions the contribution as extending a canonical literature to a new asset class.</w:t>
      </w:r>
    </w:p>
    <w:p>
      <w:pPr>
        <w:spacing w:after="100" w:before="260"/>
      </w:pPr>
      <w:r>
        <w:rPr>
          <w:rFonts w:ascii="Georgia" w:cs="Georgia" w:eastAsia="Georgia" w:hAnsi="Georgia"/>
          <w:b/>
          <w:bCs/>
          <w:color w:val="2E75B6"/>
          <w:sz w:val="24"/>
          <w:szCs w:val="24"/>
        </w:rPr>
        <w:t xml:space="preserve">Angle B: A Structural Measure of Market Efficiency</w:t>
      </w:r>
    </w:p>
    <w:p>
      <w:pPr>
        <w:spacing w:after="160" w:line="312"/>
        <w:jc w:val="both"/>
      </w:pPr>
      <w:r>
        <w:rPr>
          <w:rFonts w:ascii="Georgia" w:cs="Georgia" w:eastAsia="Georgia" w:hAnsi="Georgia"/>
          <w:b w:val="false"/>
          <w:bCs w:val="false"/>
          <w:i w:val="false"/>
          <w:iCs w:val="false"/>
          <w:color w:val="333333"/>
          <w:sz w:val="22"/>
          <w:szCs w:val="22"/>
        </w:rPr>
        <w:t xml:space="preserve">The inconsistency score is, in effect, an efficiency metric for prediction markets—analogous to variance ratios or autocorrelation coefficients in equities. Position LOGOS as proposing a new, structural measure of efficiency specific to the prediction market setting: one that exploits the logical relationships between contracts rather than relying on time-series properties of individual prices. This is a clean, citable contribution that future researchers can build on.</w:t>
      </w:r>
    </w:p>
    <w:p>
      <w:pPr>
        <w:spacing w:after="100" w:before="260"/>
      </w:pPr>
      <w:r>
        <w:rPr>
          <w:rFonts w:ascii="Georgia" w:cs="Georgia" w:eastAsia="Georgia" w:hAnsi="Georgia"/>
          <w:b/>
          <w:bCs/>
          <w:color w:val="2E75B6"/>
          <w:sz w:val="24"/>
          <w:szCs w:val="24"/>
        </w:rPr>
        <w:t xml:space="preserve">Angle C: Prediction Markets as Incomplete Markets</w:t>
      </w:r>
    </w:p>
    <w:p>
      <w:pPr>
        <w:spacing w:after="160" w:line="312"/>
        <w:jc w:val="both"/>
      </w:pPr>
      <w:r>
        <w:rPr>
          <w:rFonts w:ascii="Georgia" w:cs="Georgia" w:eastAsia="Georgia" w:hAnsi="Georgia"/>
          <w:b w:val="false"/>
          <w:bCs w:val="false"/>
          <w:i w:val="false"/>
          <w:iCs w:val="false"/>
          <w:color w:val="333333"/>
          <w:sz w:val="22"/>
          <w:szCs w:val="22"/>
        </w:rPr>
        <w:t xml:space="preserve">Connect to the financial economics literature on incomplete markets—markets where not all states of the world have traded securities. Prediction markets are structurally incomplete because related contracts trade independently without a centralized mechanism ensuring cross-contract consistency. LOGOS measures the degree and dynamics of this incompleteness. This connects the work to Arrow-Debreu theory and market design, giving it theoretical weight beyond the empirical findings.</w:t>
      </w:r>
    </w:p>
    <w:p>
      <w:pPr>
        <w:spacing w:after="160" w:line="312"/>
        <w:jc w:val="both"/>
      </w:pPr>
      <w:r>
        <w:rPr>
          <w:rFonts w:ascii="Georgia" w:cs="Georgia" w:eastAsia="Georgia" w:hAnsi="Georgia"/>
          <w:b w:val="false"/>
          <w:bCs w:val="false"/>
          <w:i w:val="false"/>
          <w:iCs w:val="false"/>
          <w:color w:val="333333"/>
          <w:sz w:val="22"/>
          <w:szCs w:val="22"/>
        </w:rPr>
        <w:t xml:space="preserve">Our recommendation is to lead with Angle A (limits to arbitrage) as the primary framing, with Angle B (efficiency measure) as the methodological contribution and Angle C (incomplete markets) as theoretical context. This layered positioning makes the paper legible to multiple audiences without diluting the central claim.</w:t>
      </w:r>
    </w:p>
    <w:p>
      <w:pPr>
        <w:spacing w:after="160" w:before="360"/>
      </w:pPr>
      <w:r>
        <w:rPr>
          <w:rFonts w:ascii="Georgia" w:cs="Georgia" w:eastAsia="Georgia" w:hAnsi="Georgia"/>
          <w:b/>
          <w:bCs/>
          <w:color w:val="1B2A4A"/>
          <w:sz w:val="28"/>
          <w:szCs w:val="28"/>
        </w:rPr>
        <w:t xml:space="preserve">10. Data Expansion Strategy</w:t>
      </w:r>
    </w:p>
    <w:p>
      <w:pPr>
        <w:spacing w:after="160" w:line="312"/>
        <w:jc w:val="both"/>
      </w:pPr>
      <w:r>
        <w:rPr>
          <w:rFonts w:ascii="Georgia" w:cs="Georgia" w:eastAsia="Georgia" w:hAnsi="Georgia"/>
          <w:b w:val="false"/>
          <w:bCs w:val="false"/>
          <w:i w:val="false"/>
          <w:iCs w:val="false"/>
          <w:color w:val="333333"/>
          <w:sz w:val="22"/>
          <w:szCs w:val="22"/>
        </w:rPr>
        <w:t xml:space="preserve">For any of the analyses above to be credible, the dataset must grow substantially in three dimensions.</w:t>
      </w:r>
    </w:p>
    <w:p>
      <w:pPr>
        <w:spacing w:after="160" w:line="312"/>
        <w:jc w:val="both"/>
      </w:pPr>
      <w:r>
        <w:rPr>
          <w:rFonts w:ascii="Georgia" w:cs="Georgia" w:eastAsia="Georgia" w:hAnsi="Georgia"/>
          <w:b/>
          <w:bCs/>
          <w:i w:val="false"/>
          <w:iCs w:val="false"/>
          <w:color w:val="333333"/>
          <w:sz w:val="22"/>
          <w:szCs w:val="22"/>
        </w:rPr>
        <w:t xml:space="preserve">Breadth. </w:t>
      </w:r>
      <w:r>
        <w:rPr>
          <w:rFonts w:ascii="Georgia" w:cs="Georgia" w:eastAsia="Georgia" w:hAnsi="Georgia"/>
          <w:b w:val="false"/>
          <w:bCs w:val="false"/>
          <w:i w:val="false"/>
          <w:iCs w:val="false"/>
          <w:color w:val="333333"/>
          <w:sz w:val="22"/>
          <w:szCs w:val="22"/>
        </w:rPr>
        <w:t xml:space="preserve">V1 covers five families across three constraint types. V2 should target a minimum of 30–50 families spanning elections, sports, macroeconomic policy (Fed, ECB, BOJ), cryptocurrency, entertainment, and geopolitical events. Different event categories may exhibit structurally different incoherence profiles—for instance, sports markets (frequent resolution, high liquidity) versus geopolitical markets (rare resolution, thin liquidity)—and documenting this variation is itself a contribution.</w:t>
      </w:r>
    </w:p>
    <w:p>
      <w:pPr>
        <w:spacing w:after="160" w:line="312"/>
        <w:jc w:val="both"/>
      </w:pPr>
      <w:r>
        <w:rPr>
          <w:rFonts w:ascii="Georgia" w:cs="Georgia" w:eastAsia="Georgia" w:hAnsi="Georgia"/>
          <w:b/>
          <w:bCs/>
          <w:i w:val="false"/>
          <w:iCs w:val="false"/>
          <w:color w:val="333333"/>
          <w:sz w:val="22"/>
          <w:szCs w:val="22"/>
        </w:rPr>
        <w:t xml:space="preserve">Frequency. </w:t>
      </w:r>
      <w:r>
        <w:rPr>
          <w:rFonts w:ascii="Georgia" w:cs="Georgia" w:eastAsia="Georgia" w:hAnsi="Georgia"/>
          <w:b w:val="false"/>
          <w:bCs w:val="false"/>
          <w:i w:val="false"/>
          <w:iCs w:val="false"/>
          <w:color w:val="333333"/>
          <w:sz w:val="22"/>
          <w:szCs w:val="22"/>
        </w:rPr>
        <w:t xml:space="preserve">Moving from seven-minute intervals to sub-minute or tick-level resolution is necessary for the microstructure analyses. High-frequency dynamics—how quickly incoherence appears after a trade, how fast it is arbitraged away—are invisible at the current resolution.</w:t>
      </w:r>
    </w:p>
    <w:p>
      <w:pPr>
        <w:spacing w:after="160" w:line="312"/>
        <w:jc w:val="both"/>
      </w:pPr>
      <w:r>
        <w:rPr>
          <w:rFonts w:ascii="Georgia" w:cs="Georgia" w:eastAsia="Georgia" w:hAnsi="Georgia"/>
          <w:b/>
          <w:bCs/>
          <w:i w:val="false"/>
          <w:iCs w:val="false"/>
          <w:color w:val="333333"/>
          <w:sz w:val="22"/>
          <w:szCs w:val="22"/>
        </w:rPr>
        <w:t xml:space="preserve">Duration. </w:t>
      </w:r>
      <w:r>
        <w:rPr>
          <w:rFonts w:ascii="Georgia" w:cs="Georgia" w:eastAsia="Georgia" w:hAnsi="Georgia"/>
          <w:b w:val="false"/>
          <w:bCs w:val="false"/>
          <w:i w:val="false"/>
          <w:iCs w:val="false"/>
          <w:color w:val="333333"/>
          <w:sz w:val="22"/>
          <w:szCs w:val="22"/>
        </w:rPr>
        <w:t xml:space="preserve">Eleven hours is sufficient for a feasibility demonstration but not for regime analysis, lifecycle studies, or robust statistical testing. Continuous collection over weeks to months is the target for the summer period.</w:t>
      </w:r>
    </w:p>
    <w:p>
      <w:pPr>
        <w:spacing w:after="160" w:line="312"/>
        <w:jc w:val="both"/>
      </w:pPr>
      <w:r>
        <w:rPr>
          <w:rFonts w:ascii="Georgia" w:cs="Georgia" w:eastAsia="Georgia" w:hAnsi="Georgia"/>
          <w:b/>
          <w:bCs/>
          <w:i w:val="false"/>
          <w:iCs w:val="false"/>
          <w:color w:val="333333"/>
          <w:sz w:val="22"/>
          <w:szCs w:val="22"/>
        </w:rPr>
        <w:t xml:space="preserve">Platforms. </w:t>
      </w:r>
      <w:r>
        <w:rPr>
          <w:rFonts w:ascii="Georgia" w:cs="Georgia" w:eastAsia="Georgia" w:hAnsi="Georgia"/>
          <w:b w:val="false"/>
          <w:bCs w:val="false"/>
          <w:i w:val="false"/>
          <w:iCs w:val="false"/>
          <w:color w:val="333333"/>
          <w:sz w:val="22"/>
          <w:szCs w:val="22"/>
        </w:rPr>
        <w:t xml:space="preserve">Cross-platform data (Polymarket, Kalshi, and any other accessible venues) enables the cross-platform coherence analysis described in Section 5.3 and substantially strengthens external validity.</w:t>
      </w:r>
    </w:p>
    <w:p>
      <w:pPr>
        <w:spacing w:after="160" w:before="360"/>
      </w:pPr>
      <w:r>
        <w:rPr>
          <w:rFonts w:ascii="Georgia" w:cs="Georgia" w:eastAsia="Georgia" w:hAnsi="Georgia"/>
          <w:b/>
          <w:bCs/>
          <w:color w:val="1B2A4A"/>
          <w:sz w:val="28"/>
          <w:szCs w:val="28"/>
        </w:rPr>
        <w:t xml:space="preserve">11. Proposed Phasing</w:t>
      </w:r>
    </w:p>
    <w:p>
      <w:pPr>
        <w:spacing w:after="160" w:line="312"/>
        <w:jc w:val="both"/>
      </w:pPr>
      <w:r>
        <w:rPr>
          <w:rFonts w:ascii="Georgia" w:cs="Georgia" w:eastAsia="Georgia" w:hAnsi="Georgia"/>
          <w:b w:val="false"/>
          <w:bCs w:val="false"/>
          <w:i w:val="false"/>
          <w:iCs w:val="false"/>
          <w:color w:val="333333"/>
          <w:sz w:val="22"/>
          <w:szCs w:val="22"/>
        </w:rPr>
        <w:t xml:space="preserve">Not everything in this memo needs to be completed this summer. The following phasing balances ambition with feasibility, front-loading the work that produces publishable results while laying the groundwork for longer-term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Phase 1
Weeks 1–4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Data infrastructure: streaming pipeline, expanded family coverage (30+ families), continuous collection. Codebase modularization and unit testing. Formal null hypothesis derivation and implementation.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Working pipeline, growing dataset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B2A4A"/>
                <w:sz w:val="19"/>
                <w:szCs w:val="19"/>
              </w:rPr>
              <w:t xml:space="preserve">Phase 2
Weeks 5–8</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Core analytics: inconsistency score dynamics (mean reversion, ADF/Hurst), liquidity-adjusted coherence decomposition, transaction cost model, persistence testing with bootstrap.</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Draft empirical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19"/>
                <w:szCs w:val="19"/>
              </w:rPr>
              <w:t xml:space="preserve">Phase 3
Weeks 9–11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Signal layer: conditional predictive regressions, backtesting framework, cross-family lead-lag analysis. Alternative optimization norms (L1, L-infinity).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Signal analysis, backtester</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color w:val="1B2A4A"/>
                <w:sz w:val="19"/>
                <w:szCs w:val="19"/>
              </w:rPr>
              <w:t xml:space="preserve">Phase 4
Week 12</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Paper writing: integrate findings into limits-to-arbitrage framing. Dashboard polish for presentation.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80"/>
            </w:pPr>
            <w:r>
              <w:rPr>
                <w:rFonts w:ascii="Georgia" w:cs="Georgia" w:eastAsia="Georgia" w:hAnsi="Georgia"/>
                <w:color w:val="333333"/>
                <w:sz w:val="19"/>
                <w:szCs w:val="19"/>
              </w:rPr>
              <w:t xml:space="preserve">Draft paper, live dashboard</w:t>
            </w:r>
          </w:p>
        </w:tc>
      </w:tr>
    </w:tbl>
    <w:p>
      <w:pPr>
        <w:spacing w:after="80" w:before="80"/>
      </w:pPr>
    </w:p>
    <w:p>
      <w:pPr>
        <w:spacing w:after="160" w:before="360"/>
      </w:pPr>
      <w:r>
        <w:rPr>
          <w:rFonts w:ascii="Georgia" w:cs="Georgia" w:eastAsia="Georgia" w:hAnsi="Georgia"/>
          <w:b/>
          <w:bCs/>
          <w:color w:val="1B2A4A"/>
          <w:sz w:val="28"/>
          <w:szCs w:val="28"/>
        </w:rPr>
        <w:t xml:space="preserve">12. Closing Perspective</w:t>
      </w:r>
    </w:p>
    <w:p>
      <w:pPr>
        <w:spacing w:after="160" w:line="312"/>
        <w:jc w:val="both"/>
      </w:pPr>
      <w:r>
        <w:rPr>
          <w:rFonts w:ascii="Georgia" w:cs="Georgia" w:eastAsia="Georgia" w:hAnsi="Georgia"/>
          <w:b w:val="false"/>
          <w:bCs w:val="false"/>
          <w:i w:val="false"/>
          <w:iCs w:val="false"/>
          <w:color w:val="333333"/>
          <w:sz w:val="22"/>
          <w:szCs w:val="22"/>
        </w:rPr>
        <w:t xml:space="preserve">LOGOS V1 proved that the mathematical framework works and that the research questions are empirically tractable. V2 is not a rebuild—it is a scaling and deepening of a system that already runs. The core optimizer, the constraint taxonomy, and the diagnostic pipeline all carry forward. What changes is the ambition: from can we detect incoherence? to what does incoherence tell us about how these markets work?</w:t>
      </w:r>
    </w:p>
    <w:p>
      <w:pPr>
        <w:spacing w:after="160" w:line="312"/>
        <w:jc w:val="both"/>
      </w:pPr>
      <w:r>
        <w:rPr>
          <w:rFonts w:ascii="Georgia" w:cs="Georgia" w:eastAsia="Georgia" w:hAnsi="Georgia"/>
          <w:b w:val="false"/>
          <w:bCs w:val="false"/>
          <w:i w:val="false"/>
          <w:iCs w:val="false"/>
          <w:color w:val="333333"/>
          <w:sz w:val="22"/>
          <w:szCs w:val="22"/>
        </w:rPr>
        <w:t xml:space="preserve">The quantitative finance community has spent decades studying efficiency, arbitrage limits, and price discovery in traditional asset classes. Prediction markets are a new and rapidly growing venue where these same questions apply but almost no systematic measurement infrastructure exists. LOGOS V2 is designed to be that infrastructure—both for our own research and, eventually, for others who want to study prediction market microstructure with the same rigor that equity and derivatives markets receive.</w:t>
      </w:r>
    </w:p>
    <w:p>
      <w:pPr>
        <w:spacing w:after="160" w:line="312"/>
        <w:jc w:val="both"/>
      </w:pPr>
      <w:r>
        <w:rPr>
          <w:rFonts w:ascii="Georgia" w:cs="Georgia" w:eastAsia="Georgia" w:hAnsi="Georgia"/>
          <w:b w:val="false"/>
          <w:bCs w:val="false"/>
          <w:i w:val="false"/>
          <w:iCs w:val="false"/>
          <w:color w:val="333333"/>
          <w:sz w:val="22"/>
          <w:szCs w:val="22"/>
        </w:rPr>
        <w:t xml:space="preserve">The pieces are in place. The summer is about execution.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rFonts w:ascii="Arial" w:cs="Arial" w:eastAsia="Arial" w:hAnsi="Arial"/>
        <w:color w:val="666666"/>
        <w:sz w:val="16"/>
        <w:szCs w:val="16"/>
      </w:rPr>
      <w:t xml:space="preserve">Mukasa &amp; Alazzeh  ·  Lake Forest College</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b/>
        <w:bCs/>
        <w:color w:val="1B2A4A"/>
        <w:sz w:val="18"/>
        <w:szCs w:val="18"/>
      </w:rPr>
      <w:t xml:space="preserve">LOGOS</w:t>
    </w:r>
    <w:r>
      <w:rPr>
        <w:rFonts w:ascii="Arial" w:cs="Arial" w:eastAsia="Arial" w:hAnsi="Arial"/>
        <w:color w:val="666666"/>
        <w:sz w:val="18"/>
        <w:szCs w:val="18"/>
      </w:rPr>
      <w:t xml:space="preserve">  |  V2 Expansion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2026-04-10T17:21:51.810Z</dcterms:created>
  <dcterms:modified xsi:type="dcterms:W3CDTF">2026-04-10T17:21:51.811Z</dcterms:modified>
</cp:coreProperties>
</file>

<file path=docProps/custom.xml><?xml version="1.0" encoding="utf-8"?>
<Properties xmlns="http://schemas.openxmlformats.org/officeDocument/2006/custom-properties" xmlns:vt="http://schemas.openxmlformats.org/officeDocument/2006/docPropsVTypes"/>
</file>