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Teknoloji 2025 ticari değerlendirme</w:t>
      </w:r>
    </w:p>
    <w:p>
      <w:pPr>
        <w:pStyle w:val="Subtitle"/>
      </w:pPr>
      <w:r>
        <w:t>Yönetim ekibi için karar ve takip dosyası</w:t>
      </w:r>
    </w:p>
    <w:p>
      <w:r>
        <w:t>2025 yılında 3.434.937.368,10 TL net satış üreten Atlas Teknoloji için öncelik, gelir kompozisyonunu katkı ve hizmet kalitesiyle birlikte yönetmektir. Bu değerlendirme dört bölge, üç kanal ve sekiz hizmet alanıye ait aylık toplamları aynı çerçevede birleştirir.</w:t>
      </w:r>
    </w:p>
    <w:p>
      <w:pPr>
        <w:pStyle w:val="Heading2"/>
      </w:pPr>
      <w:r>
        <w:t>Kapsam ve kullanım</w:t>
      </w:r>
    </w:p>
    <w:p>
      <w:r>
        <w:t>Bu belge sayısal performans raporunun ticari yorumlama çerçevesini tanımlar. Satış kayıtları, aylık bütçe ve hizmet operasyon dosyası veri dayanağıdır. Sayısal bulgular gözlem; aşağıdaki karar başlıkları ise yönetimin ek veriyle değerlendireceği önerilerdir.</w:t>
      </w:r>
    </w:p>
    <w:tbl>
      <w:tblPr>
        <w:tblW w:type="auto" w:w="0"/>
        <w:tblLayout w:type="fixed"/>
        <w:tblLook w:firstColumn="1" w:firstRow="1" w:lastColumn="0" w:lastRow="0" w:noHBand="0" w:noVBand="1" w:val="04A0"/>
      </w:tblPr>
      <w:tblGrid>
        <w:gridCol w:w="4929"/>
        <w:gridCol w:w="4929"/>
      </w:tblGrid>
      <w:tr>
        <w:trPr>
          <w:tblHeader/>
        </w:trPr>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Gösterge</w:t>
            </w:r>
          </w:p>
        </w:tc>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2025</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Net satış</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3.434.937.368,10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Hizmet işi</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279.257</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Brüt marj</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%41,82</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Zamanında tamamlanma</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%94,11</w:t>
            </w:r>
          </w:p>
        </w:tc>
      </w:tr>
    </w:tbl>
    <w:p/>
    <w:p>
      <w:pPr>
        <w:pStyle w:val="Heading2"/>
      </w:pPr>
      <w:r>
        <w:t>Okuma sırası</w:t>
      </w:r>
    </w:p>
    <w:p>
      <w:r>
        <w:t>Önce aylık bütçe ve gerçekleşme tablosunu, sonra kanal ekonomisini inceleyin. Hizmet alanı ve bölge kırılımlarıyla gelir bileşimini okuyun. Hizmet düzeyi ve mali kapsam sınırlamaları, kararın uygulanabilirliğini değerlendirirken birlikte kullanılmalıdır.</w:t>
      </w:r>
    </w:p>
    <w:p>
      <w:r>
        <w:br w:type="page"/>
      </w:r>
    </w:p>
    <w:p>
      <w:pPr>
        <w:pStyle w:val="Subtitle"/>
      </w:pPr>
      <w:r>
        <w:t>02  /  2025 YÖNETİM DEĞERLENDİRMESİ</w:t>
      </w:r>
    </w:p>
    <w:p>
      <w:pPr>
        <w:pStyle w:val="Heading1"/>
      </w:pPr>
      <w:r>
        <w:t>Kanal ekonomisi</w:t>
      </w:r>
    </w:p>
    <w:p>
      <w:r>
        <w:t>Kanal performansının değerlendirilmesinde aynı döneme ait net satış, marj ve hizmet işi hacmi birlikte ele alınır. Kanal cirosu müşteri değeri veya kârlılık sıralaması yerine geçmez.</w:t>
      </w:r>
    </w:p>
    <w:p>
      <w:pPr>
        <w:pStyle w:val="Heading2"/>
      </w:pPr>
      <w:r>
        <w:t>Doğrudan satış</w:t>
      </w:r>
    </w:p>
    <w:p>
      <w:r>
        <w:t>Net satış 1.335.291.026,40 TL, brüt marj %41,83 ve hizmet işi başına katkı 4.294,45 TL olarak hesaplanmıştır. Kanalın büyümesi değerlendirilirken hizmet kredisi ve indirim tutarlarıyla kapasite ihtiyacı aynı dönem içinde incelenmelidir.</w:t>
      </w:r>
    </w:p>
    <w:p>
      <w:pPr>
        <w:pStyle w:val="Heading2"/>
      </w:pPr>
      <w:r>
        <w:t>İş ortakları</w:t>
      </w:r>
    </w:p>
    <w:p>
      <w:r>
        <w:t>Net satış 1.129.634.962,20 TL, brüt marj %41,81 ve hizmet işi başına katkı 3.800,88 TL olarak hesaplanmıştır. Kanalın büyümesi değerlendirilirken hizmet kredisi ve indirim tutarlarıyla kapasite ihtiyacı aynı dönem içinde incelenmelidir.</w:t>
      </w:r>
    </w:p>
    <w:p>
      <w:pPr>
        <w:pStyle w:val="Heading2"/>
      </w:pPr>
      <w:r>
        <w:t>Dijital kanal</w:t>
      </w:r>
    </w:p>
    <w:p>
      <w:r>
        <w:t>Net satış 970.011.379,50 TL, brüt marj %41,80 ve hizmet işi başına katkı 4.770,22 TL olarak hesaplanmıştır. Kanalın büyümesi değerlendirilirken hizmet kredisi ve indirim tutarlarıyla kapasite ihtiyacı aynı dönem içinde incelenmelidir.</w:t>
      </w:r>
    </w:p>
    <w:p>
      <w:pPr>
        <w:pStyle w:val="Heading2"/>
      </w:pPr>
      <w:r>
        <w:t>Karar için ek kanıt</w:t>
      </w:r>
    </w:p>
    <w:p>
      <w:r>
        <w:t>Müşteri edinme maliyeti, sözleşme yenileme, iş ortağı payı ve müşteri yaşam boyu değeri bu dosyada ayrı ölçülmemiştir. Bu nedenle kanallar arasında bütçe aktarımı otomatik sonuç olarak sunulmaz. Birim katkı genel gider ve finansman maliyetlerini içermez.</w:t>
      </w:r>
    </w:p>
    <w:p>
      <w:r>
        <w:br w:type="page"/>
      </w:r>
    </w:p>
    <w:p>
      <w:pPr>
        <w:pStyle w:val="Subtitle"/>
      </w:pPr>
      <w:r>
        <w:t>03  /  2025 YÖNETİM DEĞERLENDİRMESİ</w:t>
      </w:r>
    </w:p>
    <w:p>
      <w:pPr>
        <w:pStyle w:val="Heading1"/>
      </w:pPr>
      <w:r>
        <w:t>Portföy ve bölgesel odak</w:t>
      </w:r>
    </w:p>
    <w:p>
      <w:r>
        <w:t>Gelir kırılımları birbirini tamamlar. Aynı satış bir kez hizmet alanı, bir kez bölge toplamına girer; farklı boyutların toplamlarını toplamak çift sayım üretir.</w:t>
      </w:r>
    </w:p>
    <w:tbl>
      <w:tblPr>
        <w:tblW w:type="auto" w:w="0"/>
        <w:tblLayout w:type="fixed"/>
        <w:tblLook w:firstColumn="1" w:firstRow="1" w:lastColumn="0" w:lastRow="0" w:noHBand="0" w:noVBand="1" w:val="04A0"/>
      </w:tblPr>
      <w:tblGrid>
        <w:gridCol w:w="4929"/>
        <w:gridCol w:w="4929"/>
      </w:tblGrid>
      <w:tr>
        <w:trPr>
          <w:tblHeader/>
        </w:trPr>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Hizmet alanı</w:t>
            </w:r>
          </w:p>
        </w:tc>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Yıllık net satış</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Bulut hizmetleri</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999.170.779,20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Yönetilen hizmetler</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651.651.177,60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Kurumsal yazılım</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538.798.395,00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Sistem entegrasyonu</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372.374.301,00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Veri analitiği</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280.390.960,20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Siber güvenlik</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246.362.040,00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Teknik danışmanlık</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213.069.549,60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Eğitim hizmetleri</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133.120.165,50 TL</w:t>
            </w:r>
          </w:p>
        </w:tc>
      </w:tr>
    </w:tbl>
    <w:p/>
    <w:p>
      <w:pPr>
        <w:pStyle w:val="Heading2"/>
      </w:pPr>
      <w:r>
        <w:t>Bölgesel değerlendirme</w:t>
      </w:r>
    </w:p>
    <w:p>
      <w:r>
        <w:t>Marmara, Ege, İç Anadolu ve Akdeniz için satış ve hizmet kayıtları aynı ay ve kanal anahtarlarıyla ilişkilendirilir. Bölge büyüklüğü tek başına verimlilik göstergesi değildir; uzman ekip büyüklüğü, hizmet saati ve sözleşme kapsamıyla normalize edilmeden bölge performansı sıralanmaz.</w:t>
      </w:r>
    </w:p>
    <w:p>
      <w:r>
        <w:br w:type="page"/>
      </w:r>
    </w:p>
    <w:p>
      <w:pPr>
        <w:pStyle w:val="Subtitle"/>
      </w:pPr>
      <w:r>
        <w:t>04  /  2025 YÖNETİM DEĞERLENDİRMESİ</w:t>
      </w:r>
    </w:p>
    <w:p>
      <w:pPr>
        <w:pStyle w:val="Heading1"/>
      </w:pPr>
      <w:r>
        <w:t>Riskler ve kontrol noktaları</w:t>
      </w:r>
    </w:p>
    <w:p>
      <w:r>
        <w:t>Aşağıdaki kontroller, yönetim değerlendirmesinin sayıların kapsamını koruması için uygulanır. Bunlar ticari riskin gerçekleştiğine dair bulgu değildir.</w:t>
      </w:r>
    </w:p>
    <w:p>
      <w:pPr>
        <w:pStyle w:val="Heading2"/>
      </w:pPr>
      <w:r>
        <w:t>Kapsam tutarlılığı</w:t>
      </w:r>
    </w:p>
    <w:p>
      <w:r>
        <w:t>Satış dosyası aylık hizmet alanı ve segment toplamıdır. Hizmet işleri bu kırılımlarda ayrık kabul edilir. Tekil müşteri veya işlem sayısı olarak raporlanmaz. Tüm tutarlar TRY ve KDV hariçtir.</w:t>
      </w:r>
    </w:p>
    <w:p>
      <w:pPr>
        <w:pStyle w:val="Heading2"/>
      </w:pPr>
      <w:r>
        <w:t>Dönem ve bütçe</w:t>
      </w:r>
    </w:p>
    <w:p>
      <w:r>
        <w:t>Bütçe aynı ayın net satış hedefidir. Gerçekleşme oranında aylık oranların ortalaması kullanılmaz. Dönem filtresi satış ve bütçe kaynaklarına birlikte uygulanır.</w:t>
      </w:r>
    </w:p>
    <w:p>
      <w:pPr>
        <w:pStyle w:val="Heading2"/>
      </w:pPr>
      <w:r>
        <w:t>Hizmet kalitesi</w:t>
      </w:r>
    </w:p>
    <w:p>
      <w:r>
        <w:t>Zamanında ve gecikmeli hizmet işleri toplamı tamamlanan hizmet işine eşittir. Satış ve operasyon hizmet işleri aylık bölge ve kanal anahtarında uzlaştırılır.</w:t>
      </w:r>
    </w:p>
    <w:p>
      <w:pPr>
        <w:pStyle w:val="Heading2"/>
      </w:pPr>
      <w:r>
        <w:t>Yorum sınırı</w:t>
      </w:r>
    </w:p>
    <w:p>
      <w:r>
        <w:t>Kampanya, fiyatlama veya kanal değişiminin nedensel etkisi bu tablolardan kanıtlanamaz. Karar önerisi gözlemden ayrı sunulur; dayanakları eksik karar için ek kayıt istenir.</w:t>
      </w:r>
    </w:p>
    <w:p>
      <w:r>
        <w:br w:type="page"/>
      </w:r>
    </w:p>
    <w:p>
      <w:pPr>
        <w:pStyle w:val="Subtitle"/>
      </w:pPr>
      <w:r>
        <w:t>05  /  2025 YÖNETİM DEĞERLENDİRMESİ</w:t>
      </w:r>
    </w:p>
    <w:p>
      <w:pPr>
        <w:pStyle w:val="Heading1"/>
      </w:pPr>
      <w:r>
        <w:t>Karar planı ve takip</w:t>
      </w:r>
    </w:p>
    <w:p>
      <w:r>
        <w:t>Önerilen iş sırası, önce sayısal kapsamı doğrulamayı, ardından karar için eksik bağlamı tamamlamayı hedefler. Bu iş sırası bir taahhüt değil, çalışma planı önerisidir.</w:t>
      </w:r>
    </w:p>
    <w:tbl>
      <w:tblPr>
        <w:tblW w:type="auto" w:w="0"/>
        <w:tblLayout w:type="fixed"/>
        <w:tblLook w:firstColumn="1" w:firstRow="1" w:lastColumn="0" w:lastRow="0" w:noHBand="0" w:noVBand="1" w:val="04A0"/>
      </w:tblPr>
      <w:tblGrid>
        <w:gridCol w:w="3286"/>
        <w:gridCol w:w="3286"/>
        <w:gridCol w:w="3286"/>
      </w:tblGrid>
      <w:tr>
        <w:trPr>
          <w:tblHeader/>
        </w:trPr>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Çalışma</w:t>
            </w:r>
          </w:p>
        </w:tc>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Sorumlu rol</w:t>
            </w:r>
          </w:p>
        </w:tc>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Çıktı</w:t>
            </w:r>
          </w:p>
        </w:tc>
      </w:tr>
      <w:tr>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Kanal katkı incelemesi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Ticari finans</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Birim katkı ve komisyon mutabakatı</w:t>
            </w:r>
          </w:p>
        </w:tc>
      </w:tr>
      <w:tr>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Hizmet gecikmeleri</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Hizmet operasyonu</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Ekip ve olay bazında neden kodları</w:t>
            </w:r>
          </w:p>
        </w:tc>
      </w:tr>
      <w:tr>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Portföy kapasitesi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Hizmet yönetimi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Ekip kapasitesi ve yenileme takvimi</w:t>
            </w:r>
          </w:p>
        </w:tc>
      </w:tr>
      <w:tr>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Yatırım kararı</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Yönetim ekibi</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Varsayımları açık karar notu</w:t>
            </w:r>
          </w:p>
        </w:tc>
      </w:tr>
    </w:tbl>
    <w:p/>
    <w:p>
      <w:pPr>
        <w:pStyle w:val="Heading2"/>
      </w:pPr>
      <w:r>
        <w:t>İlk değerlendirme</w:t>
      </w:r>
    </w:p>
    <w:p>
      <w:r>
        <w:t>Mali kapsamı doğrulayın ve kanal bazında gider eşleştirmesini gözden geçirin. Toplamı açıklanamayan alanlarda gelir karşılaştırmasını durdurmak yerine alanı eksik olarak işaretleyin; doğrulanmış göstergeleri koruyun.</w:t>
      </w:r>
    </w:p>
    <w:p>
      <w:pPr>
        <w:pStyle w:val="Heading2"/>
      </w:pPr>
      <w:r>
        <w:t>Takip değerlendirmesi</w:t>
      </w:r>
    </w:p>
    <w:p>
      <w:r>
        <w:t>Hizmet kredisi nedenleri, ekip kapasitesi ve yenileme göstergeleri tamamlandığında karar notunu güncelleyin. Önceki dönemle karşılaştırmada aynı hizmet ve kanal kapsamı kullanıldığını doğrulayın. Yeni veri olmadan belirsizliği sayısal güven puanına çevirmeyin.</w:t>
      </w:r>
    </w:p>
    <w:p>
      <w:pPr>
        <w:pStyle w:val="Heading2"/>
      </w:pPr>
      <w:r>
        <w:t>Kaynak eşleştirmesi</w:t>
      </w:r>
    </w:p>
    <w:p>
      <w:r>
        <w:t>atlas-satis-2025.csv satış ve mali kırılımları; atlas-butce-2025.xlsx aylık hedefleri; atlas-operasyon-2025.csv hizmet oranlarını taşır. atlas-performans-2025.pdf bu kayıtların yıllık yönetim görünümüdür. Bu belge yorumlama ve kontrol çerçevesini tamamlar.</w:t>
      </w:r>
    </w:p>
    <w:sectPr w:rsidR="00FC693F" w:rsidRPr="0006063C" w:rsidSect="00034616">
      <w:headerReference w:type="default" r:id="rId9"/>
      <w:footerReference w:type="default" r:id="rId10"/>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Yönetim çalışma dosyası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ATLAS TEKNOLOJİ     /     TİCARİ DEĞERLENDİRME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Teknoloji 2025 Ticari Değerlendirme</dc:title>
  <dc:subject/>
  <dc:creator>Atlas Teknoloji</dc:creator>
  <cp:keywords/>
  <dc:description>generated by python-docx</dc:description>
  <cp:lastModifiedBy/>
  <cp:revision>1</cp:revision>
  <dcterms:created xsi:type="dcterms:W3CDTF">2025-12-31T12:00:00Z</dcterms:created>
  <dcterms:modified xsi:type="dcterms:W3CDTF">2025-12-31T12:00:00Z</dcterms:modified>
  <cp:category/>
</cp:coreProperties>
</file>