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1F3864"/>
          <w:sz w:val="40"/>
          <w:szCs w:val="40"/>
        </w:rPr>
        <w:t xml:space="preserve">Design Review and Recommendations</w:t>
      </w:r>
    </w:p>
    <w:p>
      <w:pPr>
        <w:spacing w:after="60"/>
        <w:jc w:val="center"/>
      </w:pPr>
      <w:r>
        <w:rPr>
          <w:rFonts w:ascii="Calibri" w:cs="Calibri" w:eastAsia="Calibri" w:hAnsi="Calibri"/>
          <w:color w:val="2E74B5"/>
          <w:sz w:val="24"/>
          <w:szCs w:val="24"/>
        </w:rPr>
        <w:t xml:space="preserve">Radiation Safety Competency and Occupational Radiation Exposure among Cardiac Catheterization Laboratory Personnel</w:t>
      </w:r>
    </w:p>
    <w:p>
      <w:pPr>
        <w:spacing w:after="240"/>
        <w:jc w:val="center"/>
      </w:pPr>
      <w:r>
        <w:rPr>
          <w:rFonts w:ascii="Calibri" w:cs="Calibri" w:eastAsia="Calibri" w:hAnsi="Calibri"/>
          <w:i/>
          <w:iCs/>
          <w:color w:val="595959"/>
          <w:sz w:val="22"/>
          <w:szCs w:val="22"/>
        </w:rPr>
        <w:t xml:space="preserve">A Multicenter KAP Assessment and Prospective Educational Study — Independent methodological review</w:t>
      </w:r>
    </w:p>
    <w:p>
      <w:pPr>
        <w:pStyle w:val="Heading1"/>
        <w:spacing w:after="160" w:before="320"/>
      </w:pPr>
      <w:r>
        <w:rPr>
          <w:rFonts w:ascii="Calibri" w:cs="Calibri" w:eastAsia="Calibri" w:hAnsi="Calibri"/>
          <w:b/>
          <w:bCs/>
          <w:color w:val="1F3864"/>
          <w:sz w:val="28"/>
          <w:szCs w:val="28"/>
        </w:rPr>
        <w:t xml:space="preserve">1. The Confirmed Study Design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426"/>
      </w:tblGrid>
      <w:tr>
        <w:trPr>
          <w:tblHeader/>
        </w:trPr>
        <w:tc>
          <w:tcPr>
            <w:tcW w:type="dxa" w:w="2600"/>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Component</w:t>
            </w:r>
          </w:p>
        </w:tc>
        <w:tc>
          <w:tcPr>
            <w:tcW w:type="dxa" w:w="6426"/>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Confirmed design</w:t>
            </w:r>
          </w:p>
        </w:tc>
      </w:tr>
      <w:tr>
        <w:tc>
          <w:tcPr>
            <w:tcW w:type="dxa" w:w="2600"/>
            <w:shd w:fill="FFFFFF" w:val="clear"/>
            <w:tcMar>
              <w:top w:type="dxa" w:w="80"/>
              <w:left w:type="dxa" w:w="120"/>
              <w:bottom w:type="dxa" w:w="80"/>
              <w:right w:type="dxa" w:w="120"/>
            </w:tcMar>
          </w:tcPr>
          <w:p>
            <w:pPr>
              <w:spacing w:after="0" w:line="276"/>
            </w:pPr>
            <w:r>
              <w:rPr>
                <w:rFonts w:ascii="Calibri" w:cs="Calibri" w:eastAsia="Calibri" w:hAnsi="Calibri"/>
                <w:b/>
                <w:bCs/>
                <w:sz w:val="20"/>
                <w:szCs w:val="20"/>
              </w:rPr>
              <w:t xml:space="preserve">Phase I — Questionnaire</w:t>
            </w:r>
          </w:p>
        </w:tc>
        <w:tc>
          <w:tcPr>
            <w:tcW w:type="dxa" w:w="6426"/>
            <w:shd w:fill="FFFFFF" w:val="clear"/>
            <w:tcMar>
              <w:top w:type="dxa" w:w="80"/>
              <w:left w:type="dxa" w:w="120"/>
              <w:bottom w:type="dxa" w:w="80"/>
              <w:right w:type="dxa" w:w="120"/>
            </w:tcMar>
          </w:tcPr>
          <w:p>
            <w:pPr>
              <w:spacing w:after="0" w:line="276"/>
            </w:pPr>
            <w:r>
              <w:rPr>
                <w:rFonts w:ascii="Calibri" w:cs="Calibri" w:eastAsia="Calibri" w:hAnsi="Calibri"/>
                <w:b w:val="false"/>
                <w:bCs w:val="false"/>
                <w:sz w:val="20"/>
                <w:szCs w:val="20"/>
              </w:rPr>
              <w:t xml:space="preserve">All cath lab healthcare professionals across six cardiac centers in Riyadh; anticipated sample exceeding 150 participants. Structured KAP instrument (65 items) across knowledge, attitude, practice, and training domains, feeding the Radiation Safety Competency Index (RSCI).</w:t>
            </w:r>
          </w:p>
        </w:tc>
      </w:tr>
      <w:tr>
        <w:tc>
          <w:tcPr>
            <w:tcW w:type="dxa" w:w="2600"/>
            <w:shd w:fill="F2F2F2" w:val="clear"/>
            <w:tcMar>
              <w:top w:type="dxa" w:w="80"/>
              <w:left w:type="dxa" w:w="120"/>
              <w:bottom w:type="dxa" w:w="80"/>
              <w:right w:type="dxa" w:w="120"/>
            </w:tcMar>
          </w:tcPr>
          <w:p>
            <w:pPr>
              <w:spacing w:after="0" w:line="276"/>
            </w:pPr>
            <w:r>
              <w:rPr>
                <w:rFonts w:ascii="Calibri" w:cs="Calibri" w:eastAsia="Calibri" w:hAnsi="Calibri"/>
                <w:b/>
                <w:bCs/>
                <w:sz w:val="20"/>
                <w:szCs w:val="20"/>
              </w:rPr>
              <w:t xml:space="preserve">Phase II — TLD dosimetry</w:t>
            </w:r>
          </w:p>
        </w:tc>
        <w:tc>
          <w:tcPr>
            <w:tcW w:type="dxa" w:w="6426"/>
            <w:shd w:fill="F2F2F2" w:val="clear"/>
            <w:tcMar>
              <w:top w:type="dxa" w:w="80"/>
              <w:left w:type="dxa" w:w="120"/>
              <w:bottom w:type="dxa" w:w="80"/>
              <w:right w:type="dxa" w:w="120"/>
            </w:tcMar>
          </w:tcPr>
          <w:p>
            <w:pPr>
              <w:spacing w:after="0" w:line="276"/>
            </w:pPr>
            <w:r>
              <w:rPr>
                <w:rFonts w:ascii="Calibri" w:cs="Calibri" w:eastAsia="Calibri" w:hAnsi="Calibri"/>
                <w:b w:val="false"/>
                <w:bCs w:val="false"/>
                <w:sz w:val="20"/>
                <w:szCs w:val="20"/>
              </w:rPr>
              <w:t xml:space="preserve">One center, 15 healthcare practitioners, unaware that their exposure and behavior are under study observation. Two months of TLD measurement before the course and two months after, with a new badge for the second period.</w:t>
            </w:r>
          </w:p>
        </w:tc>
      </w:tr>
      <w:tr>
        <w:tc>
          <w:tcPr>
            <w:tcW w:type="dxa" w:w="2600"/>
            <w:shd w:fill="FFFFFF" w:val="clear"/>
            <w:tcMar>
              <w:top w:type="dxa" w:w="80"/>
              <w:left w:type="dxa" w:w="120"/>
              <w:bottom w:type="dxa" w:w="80"/>
              <w:right w:type="dxa" w:w="120"/>
            </w:tcMar>
          </w:tcPr>
          <w:p>
            <w:pPr>
              <w:spacing w:after="0" w:line="276"/>
            </w:pPr>
            <w:r>
              <w:rPr>
                <w:rFonts w:ascii="Calibri" w:cs="Calibri" w:eastAsia="Calibri" w:hAnsi="Calibri"/>
                <w:b/>
                <w:bCs/>
                <w:sz w:val="20"/>
                <w:szCs w:val="20"/>
              </w:rPr>
              <w:t xml:space="preserve">Educational intervention</w:t>
            </w:r>
          </w:p>
        </w:tc>
        <w:tc>
          <w:tcPr>
            <w:tcW w:type="dxa" w:w="6426"/>
            <w:shd w:fill="FFFFFF" w:val="clear"/>
            <w:tcMar>
              <w:top w:type="dxa" w:w="80"/>
              <w:left w:type="dxa" w:w="120"/>
              <w:bottom w:type="dxa" w:w="80"/>
              <w:right w:type="dxa" w:w="120"/>
            </w:tcMar>
          </w:tcPr>
          <w:p>
            <w:pPr>
              <w:spacing w:after="0" w:line="276"/>
            </w:pPr>
            <w:r>
              <w:rPr>
                <w:rFonts w:ascii="Calibri" w:cs="Calibri" w:eastAsia="Calibri" w:hAnsi="Calibri"/>
                <w:b w:val="false"/>
                <w:bCs w:val="false"/>
                <w:sz w:val="20"/>
                <w:szCs w:val="20"/>
              </w:rPr>
              <w:t xml:space="preserve">Focused one-day radiation-safety course, followed by an immediate post-course written MCQ assessment.</w:t>
            </w:r>
          </w:p>
        </w:tc>
      </w:tr>
      <w:tr>
        <w:tc>
          <w:tcPr>
            <w:tcW w:type="dxa" w:w="2600"/>
            <w:shd w:fill="F2F2F2" w:val="clear"/>
            <w:tcMar>
              <w:top w:type="dxa" w:w="80"/>
              <w:left w:type="dxa" w:w="120"/>
              <w:bottom w:type="dxa" w:w="80"/>
              <w:right w:type="dxa" w:w="120"/>
            </w:tcMar>
          </w:tcPr>
          <w:p>
            <w:pPr>
              <w:spacing w:after="0" w:line="276"/>
            </w:pPr>
            <w:r>
              <w:rPr>
                <w:rFonts w:ascii="Calibri" w:cs="Calibri" w:eastAsia="Calibri" w:hAnsi="Calibri"/>
                <w:b/>
                <w:bCs/>
                <w:sz w:val="20"/>
                <w:szCs w:val="20"/>
              </w:rPr>
              <w:t xml:space="preserve">Primary comparison</w:t>
            </w:r>
          </w:p>
        </w:tc>
        <w:tc>
          <w:tcPr>
            <w:tcW w:type="dxa" w:w="6426"/>
            <w:shd w:fill="F2F2F2" w:val="clear"/>
            <w:tcMar>
              <w:top w:type="dxa" w:w="80"/>
              <w:left w:type="dxa" w:w="120"/>
              <w:bottom w:type="dxa" w:w="80"/>
              <w:right w:type="dxa" w:w="120"/>
            </w:tcMar>
          </w:tcPr>
          <w:p>
            <w:pPr>
              <w:spacing w:after="0" w:line="276"/>
            </w:pPr>
            <w:r>
              <w:rPr>
                <w:rFonts w:ascii="Calibri" w:cs="Calibri" w:eastAsia="Calibri" w:hAnsi="Calibri"/>
                <w:b w:val="false"/>
                <w:bCs w:val="false"/>
                <w:sz w:val="20"/>
                <w:szCs w:val="20"/>
              </w:rPr>
              <w:t xml:space="preserve">Two months of occupational radiation exposure before the course versus two months after, paired within each participant, with workload and procedural data collected in both periods.</w:t>
            </w:r>
          </w:p>
        </w:tc>
      </w:tr>
    </w:tbl>
    <w:p>
      <w:pPr>
        <w:pStyle w:val="Heading1"/>
        <w:spacing w:after="160" w:before="320"/>
      </w:pPr>
      <w:r>
        <w:rPr>
          <w:rFonts w:ascii="Calibri" w:cs="Calibri" w:eastAsia="Calibri" w:hAnsi="Calibri"/>
          <w:b/>
          <w:bCs/>
          <w:color w:val="1F3864"/>
          <w:sz w:val="28"/>
          <w:szCs w:val="28"/>
        </w:rPr>
        <w:t xml:space="preserve">2. Overall Assessment</w:t>
      </w:r>
    </w:p>
    <w:p>
      <w:pPr>
        <w:spacing w:after="140" w:line="276"/>
      </w:pPr>
      <w:r>
        <w:rPr>
          <w:rFonts w:ascii="Calibri" w:cs="Calibri" w:eastAsia="Calibri" w:hAnsi="Calibri"/>
          <w:sz w:val="22"/>
          <w:szCs w:val="22"/>
        </w:rPr>
        <w:t xml:space="preserve">The core framing is the strongest part of the study. Conventional KAP surveys of radiation safety are common; what distinguishes this project is treating competency — not knowledge — as the construct, building a validated index (RSCI), and anchoring it to an objective physical measurement. Very few educational studies close the loop from course to behavior to measured exposure. If the study demonstrates that link, it is a strong contribution with real policy weight.</w:t>
      </w:r>
    </w:p>
    <w:p>
      <w:pPr>
        <w:spacing w:after="140" w:line="276"/>
      </w:pPr>
      <w:r>
        <w:rPr>
          <w:rFonts w:ascii="Calibri" w:cs="Calibri" w:eastAsia="Calibri" w:hAnsi="Calibri"/>
          <w:sz w:val="22"/>
          <w:szCs w:val="22"/>
        </w:rPr>
        <w:t xml:space="preserve">The problem is real and well-chosen. Occupational harm in cath lab staff is documented — cataracts, orthopedic injury from lead, and reported malignancy clusters among interventional cardiologists are why ICRP Publication 120 exists. A Saudi multicenter signal study fills a genuine regional gap, and the certification argument (Goal 3) is well constructed: the BLS/PALS analogy is intuitive, and OSHA 29 CFR 1910.1096’s mandatory personnel-instruction requirement provides regulatory precedent.</w:t>
      </w:r>
    </w:p>
    <w:tbl>
      <w:tblPr>
        <w:tblW w:type="dxa" w:w="9026"/>
        <w:tblBorders>
          <w:top w:val="single" w:color="70AD47" w:sz="4"/>
          <w:left w:val="single" w:color="70AD47" w:sz="4"/>
          <w:bottom w:val="single" w:color="70AD47" w:sz="4"/>
          <w:right w:val="single" w:color="70AD47" w:sz="4"/>
          <w:insideH w:val="single" w:color="70AD47" w:sz="4"/>
          <w:insideV w:val="single" w:color="70AD47" w:sz="4"/>
        </w:tblBorders>
      </w:tblPr>
      <w:tblGrid>
        <w:gridCol w:w="9026"/>
      </w:tblGrid>
      <w:tr>
        <w:tc>
          <w:tcPr>
            <w:tcW w:type="dxa" w:w="9026"/>
            <w:shd w:fill="E2EFDA" w:val="clear"/>
            <w:tcMar>
              <w:top w:type="dxa" w:w="80"/>
              <w:left w:type="dxa" w:w="120"/>
              <w:bottom w:type="dxa" w:w="80"/>
              <w:right w:type="dxa" w:w="120"/>
            </w:tcMar>
          </w:tcPr>
          <w:p>
            <w:pPr>
              <w:spacing w:after="0" w:line="276"/>
            </w:pPr>
            <w:r>
              <w:rPr>
                <w:rFonts w:ascii="Calibri" w:cs="Calibri" w:eastAsia="Calibri" w:hAnsi="Calibri"/>
                <w:b/>
                <w:bCs/>
                <w:sz w:val="22"/>
                <w:szCs w:val="22"/>
              </w:rPr>
              <w:t xml:space="preserve">Strengths of the confirmed design.  </w:t>
            </w:r>
            <w:r>
              <w:rPr>
                <w:rFonts w:ascii="Calibri" w:cs="Calibri" w:eastAsia="Calibri" w:hAnsi="Calibri"/>
                <w:sz w:val="22"/>
                <w:szCs w:val="22"/>
              </w:rPr>
              <w:t xml:space="preserve">The two-month measurement windows double the accumulated dose relative to a one-month design, substantially reducing the risk of TLD readings falling below the minimum reportable dose for lower-exposure roles. Keeping participants unaware that their exposure is under study observation is the strongest practical answer to the Hawthorne problem: the post-course period captures habitual behavior rather than performance for an audience. The sample split is honest — the TLD arm is framed as signal-generating, while the 150+ questionnaire sample carries the confirmatory competency assessment.</w:t>
            </w:r>
          </w:p>
        </w:tc>
      </w:tr>
    </w:tbl>
    <w:p>
      <w:pPr>
        <w:pStyle w:val="Heading1"/>
        <w:spacing w:after="160" w:before="320"/>
      </w:pPr>
      <w:r>
        <w:rPr>
          <w:rFonts w:ascii="Calibri" w:cs="Calibri" w:eastAsia="Calibri" w:hAnsi="Calibri"/>
          <w:b/>
          <w:bCs/>
          <w:color w:val="1F3864"/>
          <w:sz w:val="28"/>
          <w:szCs w:val="28"/>
        </w:rPr>
        <w:t xml:space="preserve">3. Recommended Refinements (Within the Fixed Design)</w:t>
      </w:r>
    </w:p>
    <w:p>
      <w:pPr>
        <w:spacing w:after="140" w:line="276"/>
      </w:pPr>
      <w:r>
        <w:rPr>
          <w:rFonts w:ascii="Calibri" w:cs="Calibri" w:eastAsia="Calibri" w:hAnsi="Calibri"/>
          <w:b/>
          <w:bCs/>
          <w:sz w:val="22"/>
          <w:szCs w:val="22"/>
        </w:rPr>
        <w:t xml:space="preserve">Recommendation 1 — Composition of the TLD group matters more than its size.  </w:t>
      </w:r>
      <w:r>
        <w:rPr>
          <w:rFonts w:ascii="Calibri" w:cs="Calibri" w:eastAsia="Calibri" w:hAnsi="Calibri"/>
          <w:sz w:val="22"/>
          <w:szCs w:val="22"/>
        </w:rPr>
        <w:t xml:space="preserve">A paired pre/post comparison with 15 participants can detect a moderate-to-large effect, but only if doses are measurable. Weight the 15 deliberately toward higher-exposure roles (primary operators and scrub staff). Analyze with paired non-parametric tests (Wilcoxon signed-rank) and report each participant’s individual trajectory, not only the group mean — with n = 15, the individual-level plot is the result, and it is persuasive.</w:t>
      </w:r>
    </w:p>
    <w:p>
      <w:pPr>
        <w:spacing w:after="140" w:line="276"/>
      </w:pPr>
      <w:r>
        <w:rPr>
          <w:rFonts w:ascii="Calibri" w:cs="Calibri" w:eastAsia="Calibri" w:hAnsi="Calibri"/>
          <w:b/>
          <w:bCs/>
          <w:sz w:val="22"/>
          <w:szCs w:val="22"/>
        </w:rPr>
        <w:t xml:space="preserve">Recommendation 2 — Make dose normalized to DAP the primary exposure metric.  </w:t>
      </w:r>
      <w:r>
        <w:rPr>
          <w:rFonts w:ascii="Calibri" w:cs="Calibri" w:eastAsia="Calibri" w:hAnsi="Calibri"/>
          <w:sz w:val="22"/>
          <w:szCs w:val="22"/>
        </w:rPr>
        <w:t xml:space="preserve">Dose per unit of dose–area product separates how a person works from how busy the measurement period was. Without it, a quiet post-course period could masquerade as an educational effect; with it, the comparison directly reflects behavior. The raw TLD dose remains a secondary outcome.</w:t>
      </w:r>
    </w:p>
    <w:p>
      <w:pPr>
        <w:spacing w:after="140" w:line="276"/>
      </w:pPr>
      <w:r>
        <w:rPr>
          <w:rFonts w:ascii="Calibri" w:cs="Calibri" w:eastAsia="Calibri" w:hAnsi="Calibri"/>
          <w:b/>
          <w:bCs/>
          <w:sz w:val="22"/>
          <w:szCs w:val="22"/>
        </w:rPr>
        <w:t xml:space="preserve">Recommendation 3 — Repeat the MCQ at badge collection (retention test).  </w:t>
      </w:r>
      <w:r>
        <w:rPr>
          <w:rFonts w:ascii="Calibri" w:cs="Calibri" w:eastAsia="Calibri" w:hAnsi="Calibri"/>
          <w:sz w:val="22"/>
          <w:szCs w:val="22"/>
        </w:rPr>
        <w:t xml:space="preserve">The badges are already collected at the end of the two-month post-course period; administering the knowledge assessment again at that visit costs nothing logistically and tests retention. If scores hold, the course works durably. If they decay, the decay itself is the strongest possible evidence for Goal 3’s periodic-recertification argument. Either result advances the study’s thesis.</w:t>
      </w:r>
    </w:p>
    <w:p>
      <w:pPr>
        <w:spacing w:after="140" w:line="276"/>
      </w:pPr>
      <w:r>
        <w:rPr>
          <w:rFonts w:ascii="Calibri" w:cs="Calibri" w:eastAsia="Calibri" w:hAnsi="Calibri"/>
          <w:b/>
          <w:bCs/>
          <w:sz w:val="22"/>
          <w:szCs w:val="22"/>
        </w:rPr>
        <w:t xml:space="preserve">Recommendation 4 — Validate the RSCI per domain at this sample size.  </w:t>
      </w:r>
      <w:r>
        <w:rPr>
          <w:rFonts w:ascii="Calibri" w:cs="Calibri" w:eastAsia="Calibri" w:hAnsi="Calibri"/>
          <w:sz w:val="22"/>
          <w:szCs w:val="22"/>
        </w:rPr>
        <w:t xml:space="preserve">Factor analysis of all 58 scored items in one pooled model conventionally requires 300+ respondents. With ~150+, analyzing the knowledge (20 items), attitude (13), and practice (12) scales separately keeps the respondent-to-item ratio sound. A pooled confirmatory model is future work if a larger sample accrues.</w:t>
      </w:r>
    </w:p>
    <w:p>
      <w:pPr>
        <w:spacing w:after="140" w:line="276"/>
      </w:pPr>
      <w:r>
        <w:rPr>
          <w:rFonts w:ascii="Calibri" w:cs="Calibri" w:eastAsia="Calibri" w:hAnsi="Calibri"/>
          <w:b/>
          <w:bCs/>
          <w:sz w:val="22"/>
          <w:szCs w:val="22"/>
        </w:rPr>
        <w:t xml:space="preserve">Recommendation 5 — Strengthen the observation arm.  </w:t>
      </w:r>
      <w:r>
        <w:rPr>
          <w:rFonts w:ascii="Calibri" w:cs="Calibri" w:eastAsia="Calibri" w:hAnsi="Calibri"/>
          <w:sz w:val="22"/>
          <w:szCs w:val="22"/>
        </w:rPr>
        <w:t xml:space="preserve">Two trained observers, a standardized checklist derived from practice items D1–D7 and D11, and reported inter-rater reliability (kappa). The discordance between self-reported and observed practice is itself one of the most interesting publishable findings — it is the empirical proof of the study’s own thesis that knowledge does not equal practice.</w:t>
      </w:r>
    </w:p>
    <w:p>
      <w:pPr>
        <w:pStyle w:val="Heading1"/>
        <w:spacing w:after="160" w:before="320"/>
      </w:pPr>
      <w:r>
        <w:rPr>
          <w:rFonts w:ascii="Calibri" w:cs="Calibri" w:eastAsia="Calibri" w:hAnsi="Calibri"/>
          <w:b/>
          <w:bCs/>
          <w:color w:val="1F3864"/>
          <w:sz w:val="28"/>
          <w:szCs w:val="28"/>
        </w:rPr>
        <w:t xml:space="preserve">4. The Ethics Pathway Needs Early Attention</w:t>
      </w:r>
    </w:p>
    <w:p>
      <w:pPr>
        <w:spacing w:after="140" w:line="276"/>
      </w:pPr>
      <w:r>
        <w:rPr>
          <w:rFonts w:ascii="Calibri" w:cs="Calibri" w:eastAsia="Calibri" w:hAnsi="Calibri"/>
          <w:sz w:val="22"/>
          <w:szCs w:val="22"/>
        </w:rPr>
        <w:t xml:space="preserve">The undisclosed-observation design is defensible — partial disclosure is accepted when full disclosure would invalidate the outcome — but it must be pre-negotiated with the ethics committee, not assumed. The submission should specify:</w:t>
      </w:r>
    </w:p>
    <w:p>
      <w:pPr>
        <w:spacing w:after="60" w:line="276"/>
      </w:pPr>
      <w:r>
        <w:rPr>
          <w:rFonts w:ascii="Calibri" w:cs="Calibri" w:eastAsia="Calibri" w:hAnsi="Calibri"/>
          <w:sz w:val="22"/>
          <w:szCs w:val="22"/>
        </w:rPr>
        <w:t xml:space="preserve">–  What participants consent to (e.g., “participation in a radiation-safety research program including dosimetry”);</w:t>
      </w:r>
    </w:p>
    <w:p>
      <w:pPr>
        <w:spacing w:after="60" w:line="276"/>
      </w:pPr>
      <w:r>
        <w:rPr>
          <w:rFonts w:ascii="Calibri" w:cs="Calibri" w:eastAsia="Calibri" w:hAnsi="Calibri"/>
          <w:sz w:val="22"/>
          <w:szCs w:val="22"/>
        </w:rPr>
        <w:t xml:space="preserve">–  What is withheld (the specific pre/post comparison hypothesis);</w:t>
      </w:r>
    </w:p>
    <w:p>
      <w:pPr>
        <w:spacing w:after="60" w:line="276"/>
      </w:pPr>
      <w:r>
        <w:rPr>
          <w:rFonts w:ascii="Calibri" w:cs="Calibri" w:eastAsia="Calibri" w:hAnsi="Calibri"/>
          <w:sz w:val="22"/>
          <w:szCs w:val="22"/>
        </w:rPr>
        <w:t xml:space="preserve">–  A written deferred-debriefing plan executed after badge collection;</w:t>
      </w:r>
    </w:p>
    <w:p>
      <w:pPr>
        <w:spacing w:after="140" w:line="276"/>
      </w:pPr>
      <w:r>
        <w:rPr>
          <w:rFonts w:ascii="Calibri" w:cs="Calibri" w:eastAsia="Calibri" w:hAnsi="Calibri"/>
          <w:sz w:val="22"/>
          <w:szCs w:val="22"/>
        </w:rPr>
        <w:t xml:space="preserve">–  That any reading of clinical or regulatory concern goes to the radiation safety officer immediately, overriding study blinding.</w:t>
      </w:r>
    </w:p>
    <w:tbl>
      <w:tblPr>
        <w:tblW w:type="dxa" w:w="9026"/>
        <w:tblBorders>
          <w:top w:val="single" w:color="BF9000" w:sz="4"/>
          <w:left w:val="single" w:color="BF9000" w:sz="4"/>
          <w:bottom w:val="single" w:color="BF9000" w:sz="4"/>
          <w:right w:val="single" w:color="BF9000" w:sz="4"/>
          <w:insideH w:val="single" w:color="BF9000" w:sz="4"/>
          <w:insideV w:val="single" w:color="BF9000" w:sz="4"/>
        </w:tblBorders>
      </w:tblPr>
      <w:tblGrid>
        <w:gridCol w:w="9026"/>
      </w:tblGrid>
      <w:tr>
        <w:tc>
          <w:tcPr>
            <w:tcW w:type="dxa" w:w="9026"/>
            <w:shd w:fill="FFF2CC" w:val="clear"/>
            <w:tcMar>
              <w:top w:type="dxa" w:w="80"/>
              <w:left w:type="dxa" w:w="120"/>
              <w:bottom w:type="dxa" w:w="80"/>
              <w:right w:type="dxa" w:w="120"/>
            </w:tcMar>
          </w:tcPr>
          <w:p>
            <w:pPr>
              <w:spacing w:after="0" w:line="276"/>
            </w:pPr>
            <w:r>
              <w:rPr>
                <w:rFonts w:ascii="Calibri" w:cs="Calibri" w:eastAsia="Calibri" w:hAnsi="Calibri"/>
                <w:b/>
                <w:bCs/>
                <w:sz w:val="22"/>
                <w:szCs w:val="22"/>
              </w:rPr>
              <w:t xml:space="preserve">Priority.  </w:t>
            </w:r>
            <w:r>
              <w:rPr>
                <w:rFonts w:ascii="Calibri" w:cs="Calibri" w:eastAsia="Calibri" w:hAnsi="Calibri"/>
                <w:sz w:val="22"/>
                <w:szCs w:val="22"/>
              </w:rPr>
              <w:t xml:space="preserve">Getting this language right in the ethics application is the single most important near-term task: it protects the study’s most methodologically valuable feature — the undisclosed observation.</w:t>
            </w:r>
          </w:p>
        </w:tc>
      </w:tr>
    </w:tbl>
    <w:p>
      <w:pPr>
        <w:pStyle w:val="Heading1"/>
        <w:spacing w:after="160" w:before="320"/>
      </w:pPr>
      <w:r>
        <w:rPr>
          <w:rFonts w:ascii="Calibri" w:cs="Calibri" w:eastAsia="Calibri" w:hAnsi="Calibri"/>
          <w:b/>
          <w:bCs/>
          <w:color w:val="1F3864"/>
          <w:sz w:val="28"/>
          <w:szCs w:val="28"/>
        </w:rPr>
        <w:t xml:space="preserve">5. The Honest Limitation, and Why It Is Acceptable</w:t>
      </w:r>
    </w:p>
    <w:p>
      <w:pPr>
        <w:spacing w:after="140" w:line="276"/>
      </w:pPr>
      <w:r>
        <w:rPr>
          <w:rFonts w:ascii="Calibri" w:cs="Calibri" w:eastAsia="Calibri" w:hAnsi="Calibri"/>
          <w:sz w:val="22"/>
          <w:szCs w:val="22"/>
        </w:rPr>
        <w:t xml:space="preserve">The TLD arm has no concurrent control group, which is not feasible with 15 participants at one center — and does not need to be, provided the manuscript frames the exposure finding as hypothesis-generating and lets the workload-adjusted, per-DAP analysis carry the causal weight. The multicenter competency data and the validated RSCI form the confirmatory backbone; the TLD arm is the signal that justifies the larger national study the protocol already envisions.</w:t>
      </w:r>
    </w:p>
    <w:p>
      <w:pPr>
        <w:pStyle w:val="Heading1"/>
        <w:spacing w:after="160" w:before="320"/>
      </w:pPr>
      <w:r>
        <w:rPr>
          <w:rFonts w:ascii="Calibri" w:cs="Calibri" w:eastAsia="Calibri" w:hAnsi="Calibri"/>
          <w:b/>
          <w:bCs/>
          <w:color w:val="1F3864"/>
          <w:sz w:val="28"/>
          <w:szCs w:val="28"/>
        </w:rPr>
        <w:t xml:space="preserve">6. Bottom Line</w:t>
      </w:r>
    </w:p>
    <w:p>
      <w:pPr>
        <w:spacing w:after="140" w:line="276"/>
      </w:pPr>
      <w:r>
        <w:rPr>
          <w:rFonts w:ascii="Calibri" w:cs="Calibri" w:eastAsia="Calibri" w:hAnsi="Calibri"/>
          <w:sz w:val="22"/>
          <w:szCs w:val="22"/>
        </w:rPr>
        <w:t xml:space="preserve">With the two-month windows, the undisclosed observation, and the honest sample framing, this is a well-conceived signal study. The five refinements above — TLD group composition, per-DAP normalization, the retention MCQ at badge collection, per-domain RSCI validation, and a strengthened observation arm — are all achievable without changing the design’s scope or cost, and together they materially improve how the findings will survive peer review.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Review and Recommendations — Radiation Safety Competency Study</dc:title>
  <dc:creator>Radiation Safety Competency Study Group</dc:creator>
  <cp:lastModifiedBy>Un-named</cp:lastModifiedBy>
  <cp:revision>1</cp:revision>
  <dcterms:created xsi:type="dcterms:W3CDTF">2026-08-13T20:27:11.999Z</dcterms:created>
  <dcterms:modified xsi:type="dcterms:W3CDTF">2026-08-13T20:27:12.014Z</dcterms:modified>
</cp:coreProperties>
</file>

<file path=docProps/custom.xml><?xml version="1.0" encoding="utf-8"?>
<Properties xmlns="http://schemas.openxmlformats.org/officeDocument/2006/custom-properties" xmlns:vt="http://schemas.openxmlformats.org/officeDocument/2006/docPropsVTypes"/>
</file>