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90" w:rsidRDefault="00790EA7"/>
    <w:p w:rsidR="002E1023" w:rsidRDefault="002E1023"/>
    <w:p w:rsidR="002E1023" w:rsidRDefault="002E1023"/>
    <w:p w:rsidR="002E1023" w:rsidRDefault="002E1023"/>
    <w:p w:rsidR="002E1023" w:rsidRDefault="002E1023"/>
    <w:p w:rsidR="002E1023" w:rsidRDefault="002E1023"/>
    <w:p w:rsidR="002E1023" w:rsidRDefault="002E1023"/>
    <w:p w:rsidR="002E1023" w:rsidRDefault="002E1023"/>
    <w:p w:rsidR="002E1023" w:rsidRDefault="002E1023"/>
    <w:p w:rsidR="002E1023" w:rsidRDefault="002E10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4476998" cy="1876301"/>
                <wp:effectExtent l="0" t="0" r="1905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998" cy="1876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023" w:rsidRPr="002E1023" w:rsidRDefault="002E1023" w:rsidP="002E10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2E1023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Why Cassava is a Fraud</w:t>
                            </w:r>
                          </w:p>
                          <w:p w:rsidR="002E1023" w:rsidRPr="002E1023" w:rsidRDefault="002E1023" w:rsidP="002E10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2E102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A financial and clinical analysis of Cassava Sciences, </w:t>
                            </w:r>
                            <w:proofErr w:type="spellStart"/>
                            <w:r w:rsidRPr="002E1023">
                              <w:rPr>
                                <w:rFonts w:ascii="Times New Roman" w:hAnsi="Times New Roman" w:cs="Times New Roman"/>
                                <w:i/>
                              </w:rPr>
                              <w:t>Inc</w:t>
                            </w:r>
                            <w:proofErr w:type="spellEnd"/>
                            <w:r w:rsidRPr="002E102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assessing the potential outcome of fraudulent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7.2pt;width:352.5pt;height:14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dVSQIAAKIEAAAOAAAAZHJzL2Uyb0RvYy54bWysVE1vGjEQvVfqf7B8bxYSQgLKElGiVJWi&#10;JBJEORuvF1byelzbsJv++j6b5SNpTlUvZjwz+zzz5g03t22t2VY5X5HJef+sx5kykorKrHL+srj/&#10;ds2ZD8IUQpNROX9Tnt9Ovn65aexYndOadKEcA4jx48bmfB2CHWeZl2tVC39GVhkES3K1CLi6VVY4&#10;0QC91tl5rzfMGnKFdSSV9/De7YJ8kvDLUsnwVJZeBaZzjtpCOl06l/HMJjdivHLCrivZlSH+oYpa&#10;VAaPHqDuRBBs46q/oOpKOvJUhjNJdUZlWUmVekA3/d6HbuZrYVXqBeR4e6DJ/z9Y+bh9dqwqMDvO&#10;jKgxooVqA/tOLetHdhrrx0iaW6SFFu6Y2fk9nLHptnR1/EU7DHHw/HbgNoJJOAeDq+FoBDVIxPrX&#10;V8OLXsLJjp9b58MPRTWLRs4dhpc4FdsHH/AkUvcp8TVPuiruK63TJQpGzbRjW4FR67AHf5elDWty&#10;Pry47CXgd7EkuSPCcvUJAirQBoVEUnbNRyu0y7ZjZEnFG4hytBOat/K+QjMPwodn4aAscINtCU84&#10;Sk0ohjqLszW535/5Yz4GjihnDZSac/9rI5ziTP80kMKoPxhEaafL4PLqHBd3GlmeRsymnhEYwrhR&#10;XTJjftB7s3RUv2KppvFVhISReDvnYW/Owm5/sJRSTacpCWK2IjyYuZUROk4kjmrRvgpnu3kGSOGR&#10;9poW4w9j3eXGLw1NN4HKKs08ErxjteMdi5Ck0C1t3LTTe8o6/rVM/gAAAP//AwBQSwMEFAAGAAgA&#10;AAAhAKPF5N7dAAAABwEAAA8AAABkcnMvZG93bnJldi54bWxMj0FLw0AQhe+C/2EZwZvdaKMmMZMS&#10;FBGsIFYv3rbZMQlmZ0N22qb/3vWkx3nv8d435Wp2g9rTFHrPCJeLBBRx423PLcLH++NFBiqIYWsG&#10;z4RwpACr6vSkNIX1B36j/UZaFUs4FAahExkLrUPTkTNh4Ufi6H35yRmJ59RqO5lDLHeDvkqSG+1M&#10;z3GhMyPdd9R8b3YO4Tn9NA9LWdNReH6t66dsTMML4vnZXN+BEprlLwy/+BEdqsi09Tu2QQ0I8RFB&#10;yNMUVHRvk+sobBGWWZ6Drkr9n7/6AQAA//8DAFBLAQItABQABgAIAAAAIQC2gziS/gAAAOEBAAAT&#10;AAAAAAAAAAAAAAAAAAAAAABbQ29udGVudF9UeXBlc10ueG1sUEsBAi0AFAAGAAgAAAAhADj9If/W&#10;AAAAlAEAAAsAAAAAAAAAAAAAAAAALwEAAF9yZWxzLy5yZWxzUEsBAi0AFAAGAAgAAAAhABczd1VJ&#10;AgAAogQAAA4AAAAAAAAAAAAAAAAALgIAAGRycy9lMm9Eb2MueG1sUEsBAi0AFAAGAAgAAAAhAKPF&#10;5N7dAAAABwEAAA8AAAAAAAAAAAAAAAAAowQAAGRycy9kb3ducmV2LnhtbFBLBQYAAAAABAAEAPMA&#10;AACtBQAAAAA=&#10;" fillcolor="white [3201]" strokecolor="white [3212]" strokeweight=".5pt">
                <v:textbox>
                  <w:txbxContent>
                    <w:p w:rsidR="002E1023" w:rsidRPr="002E1023" w:rsidRDefault="002E1023" w:rsidP="002E10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2E1023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Why Cassava is a Fraud</w:t>
                      </w:r>
                    </w:p>
                    <w:p w:rsidR="002E1023" w:rsidRPr="002E1023" w:rsidRDefault="002E1023" w:rsidP="002E10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2E1023">
                        <w:rPr>
                          <w:rFonts w:ascii="Times New Roman" w:hAnsi="Times New Roman" w:cs="Times New Roman"/>
                          <w:i/>
                        </w:rPr>
                        <w:t xml:space="preserve">A financial and clinical analysis of Cassava Sciences, </w:t>
                      </w:r>
                      <w:proofErr w:type="spellStart"/>
                      <w:r w:rsidRPr="002E1023">
                        <w:rPr>
                          <w:rFonts w:ascii="Times New Roman" w:hAnsi="Times New Roman" w:cs="Times New Roman"/>
                          <w:i/>
                        </w:rPr>
                        <w:t>Inc</w:t>
                      </w:r>
                      <w:proofErr w:type="spellEnd"/>
                      <w:r w:rsidRPr="002E1023">
                        <w:rPr>
                          <w:rFonts w:ascii="Times New Roman" w:hAnsi="Times New Roman" w:cs="Times New Roman"/>
                          <w:i/>
                        </w:rPr>
                        <w:t xml:space="preserve"> assessing the potential outcome of fraudulent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1023" w:rsidRPr="002E1023" w:rsidRDefault="002E1023" w:rsidP="002E1023"/>
    <w:p w:rsidR="002E1023" w:rsidRPr="002E1023" w:rsidRDefault="002E1023" w:rsidP="002E1023"/>
    <w:p w:rsidR="002E1023" w:rsidRPr="002E1023" w:rsidRDefault="002E1023" w:rsidP="002E1023"/>
    <w:p w:rsidR="002E1023" w:rsidRPr="002E1023" w:rsidRDefault="002E1023" w:rsidP="002E1023"/>
    <w:p w:rsidR="002E1023" w:rsidRPr="002E1023" w:rsidRDefault="002E1023" w:rsidP="002E1023"/>
    <w:p w:rsidR="002E1023" w:rsidRPr="002E1023" w:rsidRDefault="002E1023" w:rsidP="002E1023"/>
    <w:p w:rsidR="002E1023" w:rsidRPr="002E1023" w:rsidRDefault="002E1023" w:rsidP="002E1023"/>
    <w:p w:rsidR="002E1023" w:rsidRPr="002E1023" w:rsidRDefault="002E1023" w:rsidP="002E1023"/>
    <w:p w:rsidR="002E1023" w:rsidRPr="002E1023" w:rsidRDefault="002E1023" w:rsidP="002E1023"/>
    <w:p w:rsidR="002E1023" w:rsidRPr="002E1023" w:rsidRDefault="002E1023" w:rsidP="002E1023"/>
    <w:p w:rsidR="002E1023" w:rsidRDefault="002E1023" w:rsidP="002E1023"/>
    <w:p w:rsidR="002E1023" w:rsidRDefault="002E1023" w:rsidP="002E1023">
      <w:pPr>
        <w:tabs>
          <w:tab w:val="left" w:pos="1384"/>
        </w:tabs>
      </w:pPr>
      <w:r>
        <w:tab/>
      </w:r>
    </w:p>
    <w:p w:rsidR="002E1023" w:rsidRDefault="002E1023">
      <w:r>
        <w:br w:type="page"/>
      </w:r>
    </w:p>
    <w:p w:rsidR="00E7683B" w:rsidRDefault="00E7683B" w:rsidP="002E1023">
      <w:pPr>
        <w:tabs>
          <w:tab w:val="left" w:pos="1384"/>
        </w:tabs>
      </w:pPr>
      <w:r>
        <w:lastRenderedPageBreak/>
        <w:t xml:space="preserve">Introduction </w:t>
      </w:r>
    </w:p>
    <w:p w:rsidR="002E1023" w:rsidRDefault="002E1023" w:rsidP="002E1023">
      <w:pPr>
        <w:tabs>
          <w:tab w:val="left" w:pos="1384"/>
        </w:tabs>
      </w:pPr>
      <w:r>
        <w:t xml:space="preserve">Status Quo Analysis </w:t>
      </w:r>
    </w:p>
    <w:p w:rsidR="002E1023" w:rsidRDefault="002E1023" w:rsidP="002E1023">
      <w:pPr>
        <w:tabs>
          <w:tab w:val="left" w:pos="1384"/>
        </w:tabs>
      </w:pPr>
      <w:proofErr w:type="spellStart"/>
      <w:r>
        <w:t>Alzheimers</w:t>
      </w:r>
      <w:proofErr w:type="spellEnd"/>
      <w:r>
        <w:t xml:space="preserve"> Disease </w:t>
      </w:r>
    </w:p>
    <w:p w:rsidR="002E1023" w:rsidRDefault="002E1023" w:rsidP="002E1023">
      <w:pPr>
        <w:tabs>
          <w:tab w:val="left" w:pos="1384"/>
        </w:tabs>
      </w:pPr>
      <w:r>
        <w:t xml:space="preserve">Market consensus regarding Cassavas future </w:t>
      </w:r>
    </w:p>
    <w:p w:rsidR="002E1023" w:rsidRDefault="002E1023" w:rsidP="002E1023">
      <w:pPr>
        <w:tabs>
          <w:tab w:val="left" w:pos="1384"/>
        </w:tabs>
      </w:pPr>
      <w:r>
        <w:t xml:space="preserve">The whistleblower </w:t>
      </w: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</w:p>
    <w:p w:rsidR="002E1023" w:rsidRDefault="00E7683B" w:rsidP="002E1023">
      <w:pPr>
        <w:tabs>
          <w:tab w:val="left" w:pos="1384"/>
        </w:tabs>
      </w:pPr>
      <w:r>
        <w:lastRenderedPageBreak/>
        <w:t>Introduction</w:t>
      </w:r>
    </w:p>
    <w:p w:rsidR="00E7683B" w:rsidRDefault="00E7683B" w:rsidP="002E1023">
      <w:pPr>
        <w:tabs>
          <w:tab w:val="left" w:pos="1384"/>
        </w:tabs>
      </w:pPr>
      <w:r>
        <w:t>Before the start of the paper I want to excurse on the notion of uncertainty.</w:t>
      </w:r>
    </w:p>
    <w:p w:rsidR="00E7683B" w:rsidRDefault="00E7683B" w:rsidP="002E1023">
      <w:pPr>
        <w:tabs>
          <w:tab w:val="left" w:pos="1384"/>
        </w:tabs>
      </w:pPr>
      <w:r>
        <w:t xml:space="preserve">Firstly, there is no such thing as a perfect measurement as there is always an </w:t>
      </w:r>
      <w:proofErr w:type="spellStart"/>
      <w:r>
        <w:t>inexcludable</w:t>
      </w:r>
      <w:proofErr w:type="spellEnd"/>
      <w:r>
        <w:t xml:space="preserve"> amount of error. The aim instead should be to </w:t>
      </w:r>
      <w:r w:rsidR="008F2B8F">
        <w:t xml:space="preserve">understand and </w:t>
      </w:r>
      <w:r>
        <w:t>minimize those errors</w:t>
      </w:r>
      <w:r w:rsidR="008F2B8F">
        <w:t xml:space="preserve">. Thus, the strength of the conclusion solely relies on our strength to assess those uncertainties. Thereby I will focus on </w:t>
      </w:r>
      <w:proofErr w:type="gramStart"/>
      <w:r w:rsidR="008F2B8F">
        <w:t xml:space="preserve">minimizing </w:t>
      </w:r>
      <w:r w:rsidR="008F2B8F">
        <w:t>”</w:t>
      </w:r>
      <w:proofErr w:type="gramEnd"/>
      <w:r w:rsidR="008F2B8F">
        <w:t>Random Uncertainties</w:t>
      </w:r>
      <w:r w:rsidR="008F2B8F">
        <w:t>”</w:t>
      </w:r>
      <w:r w:rsidR="008F2B8F">
        <w:t xml:space="preserve"> which oppose an unavoidable outcome independent of how well designed the underlying model is.(</w:t>
      </w:r>
      <w:hyperlink r:id="rId5" w:history="1">
        <w:r w:rsidR="008F2B8F">
          <w:rPr>
            <w:rStyle w:val="Hyperlink"/>
          </w:rPr>
          <w:t>Lab Guide 1_ Introduction to Error and Uncertainty.pdf (columbia.edu)</w:t>
        </w:r>
      </w:hyperlink>
      <w:r w:rsidR="008F2B8F">
        <w:t xml:space="preserve">) </w:t>
      </w:r>
    </w:p>
    <w:p w:rsidR="008F2B8F" w:rsidRDefault="008F2B8F" w:rsidP="008F2B8F">
      <w:pPr>
        <w:tabs>
          <w:tab w:val="left" w:pos="1384"/>
        </w:tabs>
        <w:spacing w:after="0"/>
      </w:pPr>
      <w:r>
        <w:t>Precisely, I</w:t>
      </w:r>
      <w:r w:rsidR="00E7683B">
        <w:t xml:space="preserve"> will assess the future potential of Cassava Sciences, </w:t>
      </w:r>
      <w:proofErr w:type="spellStart"/>
      <w:r w:rsidR="00E7683B">
        <w:t>Inc</w:t>
      </w:r>
      <w:proofErr w:type="spellEnd"/>
      <w:r w:rsidR="00E7683B">
        <w:t xml:space="preserve"> with </w:t>
      </w:r>
      <w:r>
        <w:t xml:space="preserve">a </w:t>
      </w:r>
      <w:r w:rsidR="00E7683B">
        <w:t>special focus on their potential drug candidate (</w:t>
      </w:r>
      <w:proofErr w:type="spellStart"/>
      <w:r w:rsidR="00E7683B">
        <w:t>Simufilam</w:t>
      </w:r>
      <w:proofErr w:type="spellEnd"/>
      <w:r w:rsidR="00E7683B">
        <w:t>) for the treatment of neurod</w:t>
      </w:r>
      <w:r>
        <w:t xml:space="preserve">egenerative diseases. </w:t>
      </w:r>
    </w:p>
    <w:p w:rsidR="00E7683B" w:rsidRDefault="00E7683B" w:rsidP="008F2B8F">
      <w:pPr>
        <w:tabs>
          <w:tab w:val="left" w:pos="1384"/>
        </w:tabs>
        <w:spacing w:after="0"/>
      </w:pPr>
      <w:r>
        <w:t>The underlying principle of valuation will differ from typical valuation models such as the DCF. Instead I will offer a</w:t>
      </w:r>
      <w:r w:rsidR="008F2B8F">
        <w:t xml:space="preserve"> clinical and</w:t>
      </w:r>
      <w:r>
        <w:t xml:space="preserve"> </w:t>
      </w:r>
      <w:r w:rsidR="008F2B8F">
        <w:t xml:space="preserve">quantitative approach </w:t>
      </w:r>
      <w:proofErr w:type="gramStart"/>
      <w:r w:rsidR="008F2B8F">
        <w:t xml:space="preserve">using </w:t>
      </w:r>
      <w:r>
        <w:t>”</w:t>
      </w:r>
      <w:proofErr w:type="gramEnd"/>
      <w:r>
        <w:t xml:space="preserve">conjunct probabilities”. </w:t>
      </w:r>
    </w:p>
    <w:p w:rsidR="00582BA4" w:rsidRDefault="00582BA4" w:rsidP="008F2B8F">
      <w:pPr>
        <w:tabs>
          <w:tab w:val="left" w:pos="1384"/>
        </w:tabs>
        <w:spacing w:after="0"/>
      </w:pPr>
    </w:p>
    <w:p w:rsidR="00582BA4" w:rsidRDefault="00582BA4" w:rsidP="008F2B8F">
      <w:pPr>
        <w:tabs>
          <w:tab w:val="left" w:pos="1384"/>
        </w:tabs>
        <w:spacing w:after="0"/>
      </w:pPr>
      <w:proofErr w:type="spellStart"/>
      <w:r>
        <w:t>World wide</w:t>
      </w:r>
      <w:proofErr w:type="spellEnd"/>
      <w:r>
        <w:t xml:space="preserve"> there are over 55 million people living with dementia (</w:t>
      </w:r>
      <w:hyperlink r:id="rId6" w:anchor=":~:text=There%20are%20over%2050%20million%20people%20worldwide%20living,but%20by%202050%20this%20will%20rise%20to%2071%25." w:history="1">
        <w:r>
          <w:rPr>
            <w:rStyle w:val="Hyperlink"/>
          </w:rPr>
          <w:t xml:space="preserve">Numbers of people with dementia worldwide | Alzheimer's </w:t>
        </w:r>
        <w:proofErr w:type="gramStart"/>
        <w:r>
          <w:rPr>
            <w:rStyle w:val="Hyperlink"/>
          </w:rPr>
          <w:t>Disease</w:t>
        </w:r>
        <w:proofErr w:type="gramEnd"/>
        <w:r>
          <w:rPr>
            <w:rStyle w:val="Hyperlink"/>
          </w:rPr>
          <w:t xml:space="preserve"> International (ADI) (alzint.org)</w:t>
        </w:r>
      </w:hyperlink>
      <w:r>
        <w:t xml:space="preserve">). Provided by the </w:t>
      </w:r>
      <w:proofErr w:type="spellStart"/>
      <w:r>
        <w:t>Alzheimers</w:t>
      </w:r>
      <w:proofErr w:type="spellEnd"/>
      <w:r>
        <w:t xml:space="preserve"> Association we know that there are nearly 6.9 million people age 65 and older affected by </w:t>
      </w:r>
      <w:proofErr w:type="spellStart"/>
      <w:r>
        <w:t>Alzheimers</w:t>
      </w:r>
      <w:proofErr w:type="spellEnd"/>
      <w:r>
        <w:t xml:space="preserve"> living in the </w:t>
      </w:r>
      <w:proofErr w:type="gramStart"/>
      <w:r>
        <w:t>US.</w:t>
      </w:r>
      <w:proofErr w:type="gramEnd"/>
      <w:r>
        <w:t xml:space="preserve"> </w:t>
      </w:r>
    </w:p>
    <w:p w:rsidR="00E7683B" w:rsidRDefault="00E7683B" w:rsidP="002E1023">
      <w:pPr>
        <w:tabs>
          <w:tab w:val="left" w:pos="1384"/>
        </w:tabs>
      </w:pPr>
    </w:p>
    <w:p w:rsidR="00790EA7" w:rsidRDefault="00790EA7" w:rsidP="002E1023">
      <w:pPr>
        <w:tabs>
          <w:tab w:val="left" w:pos="1384"/>
        </w:tabs>
      </w:pPr>
    </w:p>
    <w:p w:rsidR="00790EA7" w:rsidRDefault="00790EA7" w:rsidP="002E1023">
      <w:pPr>
        <w:tabs>
          <w:tab w:val="left" w:pos="1384"/>
        </w:tabs>
      </w:pPr>
      <w:r>
        <w:t xml:space="preserve">That paper will prove that the Cassava Sciences PTI-125 clinical trial of the ….. </w:t>
      </w:r>
      <w:proofErr w:type="gramStart"/>
      <w:r>
        <w:t>for</w:t>
      </w:r>
      <w:proofErr w:type="gramEnd"/>
      <w:r>
        <w:t xml:space="preserve"> the treatment of </w:t>
      </w:r>
      <w:proofErr w:type="spellStart"/>
      <w:r>
        <w:t>Alzheimers</w:t>
      </w:r>
      <w:proofErr w:type="spellEnd"/>
      <w:r>
        <w:t xml:space="preserve"> disease will fail to demonstrate a meaningful difference in PRIMARY ENDPOINT between </w:t>
      </w:r>
      <w:proofErr w:type="spellStart"/>
      <w:r>
        <w:t>Simufilam</w:t>
      </w:r>
      <w:proofErr w:type="spellEnd"/>
      <w:r>
        <w:t xml:space="preserve"> and </w:t>
      </w:r>
      <w:proofErr w:type="spellStart"/>
      <w:r>
        <w:t>contril</w:t>
      </w:r>
      <w:proofErr w:type="spellEnd"/>
      <w:r>
        <w:t xml:space="preserve">. </w:t>
      </w:r>
      <w:proofErr w:type="spellStart"/>
      <w:r>
        <w:t>Simufilam</w:t>
      </w:r>
      <w:proofErr w:type="spellEnd"/>
      <w:r>
        <w:t xml:space="preserve"> is Cassavas only asset. Considering Cassava has approximately $ per share in cash and no other assets, the results of the upcoming trial are critical to Cassavas share price.</w:t>
      </w:r>
    </w:p>
    <w:p w:rsidR="00790EA7" w:rsidRDefault="00790EA7" w:rsidP="002E1023">
      <w:pPr>
        <w:tabs>
          <w:tab w:val="left" w:pos="1384"/>
        </w:tabs>
      </w:pPr>
      <w:bookmarkStart w:id="0" w:name="_GoBack"/>
      <w:bookmarkEnd w:id="0"/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E7683B" w:rsidRDefault="00E7683B" w:rsidP="002E1023">
      <w:pPr>
        <w:tabs>
          <w:tab w:val="left" w:pos="1384"/>
        </w:tabs>
      </w:pPr>
    </w:p>
    <w:p w:rsidR="002E1023" w:rsidRDefault="002E1023" w:rsidP="002E1023">
      <w:pPr>
        <w:tabs>
          <w:tab w:val="left" w:pos="1384"/>
        </w:tabs>
      </w:pPr>
      <w:r>
        <w:t xml:space="preserve">Chapter 1 – Status Quo </w:t>
      </w:r>
    </w:p>
    <w:p w:rsidR="002E1023" w:rsidRDefault="002E1023" w:rsidP="002E1023">
      <w:pPr>
        <w:tabs>
          <w:tab w:val="left" w:pos="1384"/>
        </w:tabs>
      </w:pPr>
      <w:r>
        <w:t xml:space="preserve">I start of by proposing a neutral review of Cassavas current state regarding its ongoing operations. </w:t>
      </w:r>
    </w:p>
    <w:p w:rsidR="002E1023" w:rsidRPr="002E1023" w:rsidRDefault="00E7683B" w:rsidP="002E1023">
      <w:pPr>
        <w:tabs>
          <w:tab w:val="left" w:pos="1384"/>
        </w:tabs>
      </w:pPr>
      <w:r>
        <w:rPr>
          <w:color w:val="212529"/>
          <w:sz w:val="20"/>
          <w:szCs w:val="20"/>
          <w:shd w:val="clear" w:color="auto" w:fill="FFFFFF"/>
        </w:rPr>
        <w:t>Cassava Sciences, Inc. is a clinical-stage biotechnology company based in Austin, Texas</w:t>
      </w:r>
      <w:r>
        <w:rPr>
          <w:color w:val="212529"/>
          <w:sz w:val="20"/>
          <w:szCs w:val="20"/>
          <w:shd w:val="clear" w:color="auto" w:fill="FFFFFF"/>
        </w:rPr>
        <w:t xml:space="preserve"> with a market capitalization of nearly 1.5B USD</w:t>
      </w:r>
      <w:r>
        <w:rPr>
          <w:color w:val="212529"/>
          <w:sz w:val="20"/>
          <w:szCs w:val="20"/>
          <w:shd w:val="clear" w:color="auto" w:fill="FFFFFF"/>
        </w:rPr>
        <w:t xml:space="preserve">. Our mission is to detect and treat neurodegenerative diseases, such as Alzheimer’s disease. Our novel science is based on stabilizing – but not removing – a critical protein in the Alzheimer’s brain. Our lead therapeutic drug candidate, </w:t>
      </w:r>
      <w:proofErr w:type="spellStart"/>
      <w:r>
        <w:rPr>
          <w:color w:val="212529"/>
          <w:sz w:val="20"/>
          <w:szCs w:val="20"/>
          <w:shd w:val="clear" w:color="auto" w:fill="FFFFFF"/>
        </w:rPr>
        <w:t>simufilam</w:t>
      </w:r>
      <w:proofErr w:type="spellEnd"/>
      <w:r>
        <w:rPr>
          <w:color w:val="212529"/>
          <w:sz w:val="20"/>
          <w:szCs w:val="20"/>
          <w:shd w:val="clear" w:color="auto" w:fill="FFFFFF"/>
        </w:rPr>
        <w:t>, is under clinical evaluation for the proposed treatment of Alzheimer’s disease dementia in Phase 3 clinical studies.</w:t>
      </w:r>
    </w:p>
    <w:sectPr w:rsidR="002E1023" w:rsidRPr="002E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5E"/>
    <w:rsid w:val="002E1023"/>
    <w:rsid w:val="004B4463"/>
    <w:rsid w:val="00582BA4"/>
    <w:rsid w:val="00790EA7"/>
    <w:rsid w:val="008F2B8F"/>
    <w:rsid w:val="00AB5F01"/>
    <w:rsid w:val="00E7683B"/>
    <w:rsid w:val="00F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9B96"/>
  <w15:chartTrackingRefBased/>
  <w15:docId w15:val="{F4E34389-BD04-471A-A120-BFFC88C9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zint.org/resource/numbers-of-people-with-dementia-worldwide/" TargetMode="External"/><Relationship Id="rId5" Type="http://schemas.openxmlformats.org/officeDocument/2006/relationships/hyperlink" Target="https://www.physics.columbia.edu/sites/default/files/content/Lab%20Resources/Lab%20Guide%201_%20Introduction%20to%20Error%20and%20Uncertaint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C42EA-AA2C-48FE-88ED-F926C6BE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Asaad</dc:creator>
  <cp:keywords/>
  <dc:description/>
  <cp:lastModifiedBy>Tarik Asaad</cp:lastModifiedBy>
  <cp:revision>2</cp:revision>
  <dcterms:created xsi:type="dcterms:W3CDTF">2024-09-24T19:17:00Z</dcterms:created>
  <dcterms:modified xsi:type="dcterms:W3CDTF">2024-09-24T20:55:00Z</dcterms:modified>
</cp:coreProperties>
</file>