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Cox models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bivariate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 LL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Variable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Hazard ratio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lower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higher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(APACHE II score)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-95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004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00046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(APACHE II score)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-96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0033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0029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ARDS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-97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0046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063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ARDS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-97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035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(APACHE II score) + 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066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034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(Gender (male))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0015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(Gender (male))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19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38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Vancomycin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Vancomycin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48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0028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Malignancy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0036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Malignancy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Vancomycin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Vancomycin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Ciprofloxacin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Ciprofloxacin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0014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Age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-98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0014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Age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rtl w:val="0"/>
                <w:lang w:val="en-US"/>
              </w:rPr>
              <w:t>65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