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rPr>
          <w:outline w:val="0"/>
          <w:color w:val="000000"/>
          <w:sz w:val="20"/>
          <w:szCs w:val="2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>Comparisons with Death &lt; 24 days, Wilcoxon rank sums test.</w:t>
      </w:r>
    </w:p>
    <w:tbl>
      <w:tblPr>
        <w:tblW w:w="964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000000" w:sz="8" w:space="0" w:shadow="0" w:frame="0"/>
          <w:insideV w:val="single" w:color="000000" w:sz="8" w:space="0" w:shadow="0" w:frame="0"/>
        </w:tblBorders>
        <w:shd w:val="clear" w:color="auto" w:fill="ced7e7"/>
        <w:tblLayout w:type="fixed"/>
      </w:tblPr>
      <w:tblGrid>
        <w:gridCol w:w="1928"/>
        <w:gridCol w:w="1928"/>
        <w:gridCol w:w="1928"/>
        <w:gridCol w:w="1928"/>
        <w:gridCol w:w="1928"/>
      </w:tblGrid>
      <w:tr>
        <w:tblPrEx>
          <w:shd w:val="clear" w:color="auto" w:fill="ced7e7"/>
        </w:tblPrEx>
        <w:trPr>
          <w:trHeight w:val="399" w:hRule="atLeast"/>
        </w:trPr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sz w:val="16"/>
                <w:szCs w:val="16"/>
                <w:rtl w:val="0"/>
                <w:lang w:val="en-US"/>
              </w:rPr>
              <w:t>Death &lt; 24 days (n=25), Median[IQR]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sz w:val="16"/>
                <w:szCs w:val="16"/>
                <w:rtl w:val="0"/>
                <w:lang w:val="en-US"/>
              </w:rPr>
              <w:t>Death &gt; 24 days (n=27), Median[IQR]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sz w:val="16"/>
                <w:szCs w:val="16"/>
                <w:rtl w:val="0"/>
                <w:lang w:val="en-US"/>
              </w:rPr>
              <w:t>U statistic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sz w:val="16"/>
                <w:szCs w:val="16"/>
                <w:rtl w:val="0"/>
                <w:lang w:val="en-US"/>
              </w:rPr>
              <w:t>P value</w:t>
            </w:r>
          </w:p>
        </w:tc>
      </w:tr>
      <w:tr>
        <w:tblPrEx>
          <w:shd w:val="clear" w:color="auto" w:fill="ced7e7"/>
        </w:tblPrEx>
        <w:trPr>
          <w:trHeight w:val="193" w:hRule="atLeast"/>
        </w:trPr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APACHE II score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31 [ 25- 33]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25 [ 20- 32]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8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064</w:t>
            </w:r>
          </w:p>
        </w:tc>
      </w:tr>
      <w:tr>
        <w:tblPrEx>
          <w:shd w:val="clear" w:color="auto" w:fill="ced7e7"/>
        </w:tblPrEx>
        <w:trPr>
          <w:trHeight w:val="193" w:hRule="atLeast"/>
        </w:trPr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Age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71 [ 64- 78]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62 [ 48- 72]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8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066</w:t>
            </w:r>
          </w:p>
        </w:tc>
      </w:tr>
      <w:tr>
        <w:tblPrEx>
          <w:shd w:val="clear" w:color="auto" w:fill="ced7e7"/>
        </w:tblPrEx>
        <w:trPr>
          <w:trHeight w:val="193" w:hRule="atLeast"/>
        </w:trPr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Simpson (E)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31 [ 0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25- 0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46]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28 [ 0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21- 0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38]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85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4</w:t>
            </w:r>
          </w:p>
        </w:tc>
      </w:tr>
      <w:tr>
        <w:tblPrEx>
          <w:shd w:val="clear" w:color="auto" w:fill="ced7e7"/>
        </w:tblPrEx>
        <w:trPr>
          <w:trHeight w:val="193" w:hRule="atLeast"/>
        </w:trPr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Simpson (D)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34 [ 19- 54]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32 [ 16- 45]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74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46</w:t>
            </w:r>
          </w:p>
        </w:tc>
      </w:tr>
      <w:tr>
        <w:tblPrEx>
          <w:shd w:val="clear" w:color="auto" w:fill="ced7e7"/>
        </w:tblPrEx>
        <w:trPr>
          <w:trHeight w:val="193" w:hRule="atLeast"/>
        </w:trPr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Dominance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03 [ 0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019- 0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052]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032 [ 0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022- 0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064]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-0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74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46</w:t>
            </w:r>
          </w:p>
        </w:tc>
      </w:tr>
      <w:tr>
        <w:tblPrEx>
          <w:shd w:val="clear" w:color="auto" w:fill="ced7e7"/>
        </w:tblPrEx>
        <w:trPr>
          <w:trHeight w:val="193" w:hRule="atLeast"/>
        </w:trPr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Pielou (E)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85 [ 0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79- 0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91]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84 [ 0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77- 0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88]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72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47</w:t>
            </w:r>
          </w:p>
        </w:tc>
      </w:tr>
      <w:tr>
        <w:tblPrEx>
          <w:shd w:val="clear" w:color="auto" w:fill="ced7e7"/>
        </w:tblPrEx>
        <w:trPr>
          <w:trHeight w:val="193" w:hRule="atLeast"/>
        </w:trPr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Shannon (D)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5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8 [ 5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2- 6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3]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5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8 [ 4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6- 6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1]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49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62</w:t>
            </w:r>
          </w:p>
        </w:tc>
      </w:tr>
      <w:tr>
        <w:tblPrEx>
          <w:shd w:val="clear" w:color="auto" w:fill="ced7e7"/>
        </w:tblPrEx>
        <w:trPr>
          <w:trHeight w:val="399" w:hRule="atLeast"/>
        </w:trPr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PF ratio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1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6e+02 [ 1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2e+02- 2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2e+02]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1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50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[ 1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20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- 2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00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]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23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82</w:t>
            </w:r>
          </w:p>
        </w:tc>
      </w:tr>
      <w:tr>
        <w:tblPrEx>
          <w:shd w:val="clear" w:color="auto" w:fill="ced7e7"/>
        </w:tblPrEx>
        <w:trPr>
          <w:trHeight w:val="193" w:hRule="atLeast"/>
        </w:trPr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Chao1 (R)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100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[ 87- 1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30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]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97 [ 70- 1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40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]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028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98</w:t>
            </w:r>
          </w:p>
        </w:tc>
      </w:tr>
      <w:tr>
        <w:tblPrEx>
          <w:shd w:val="clear" w:color="auto" w:fill="ced7e7"/>
        </w:tblPrEx>
        <w:trPr>
          <w:trHeight w:val="193" w:hRule="atLeast"/>
        </w:trPr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Fisher (D)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17 [ 14- 22]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16 [ 10- 24]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019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98</w:t>
            </w:r>
          </w:p>
        </w:tc>
      </w:tr>
      <w:tr>
        <w:tblPrEx>
          <w:shd w:val="clear" w:color="auto" w:fill="ced7e7"/>
        </w:tblPrEx>
        <w:trPr>
          <w:trHeight w:val="193" w:hRule="atLeast"/>
        </w:trPr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ACE (R)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1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1e+02 [ 88- 1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3e+02]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97 [ 70- 1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4e+02]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19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</w:p>
        </w:tc>
      </w:tr>
    </w:tbl>
    <w:p>
      <w:pPr>
        <w:pStyle w:val="Heading"/>
        <w:widowControl w:val="0"/>
        <w:spacing w:line="240" w:lineRule="auto"/>
      </w:pPr>
      <w:r/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16"/>
      <w:szCs w:val="16"/>
      <w:u w:val="none" w:color="365f91"/>
      <w:shd w:val="nil" w:color="auto" w:fill="auto"/>
      <w:vertAlign w:val="baseline"/>
      <w:lang w:val="en-US"/>
      <w14:textOutline>
        <w14:noFill/>
      </w14:textOutline>
      <w14:textFill>
        <w14:solidFill>
          <w14:srgbClr w14:val="365F91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