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ing"/>
        <w:rPr>
          <w:outline w:val="0"/>
          <w:color w:val="000000"/>
          <w:sz w:val="20"/>
          <w:szCs w:val="2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0"/>
          <w:szCs w:val="20"/>
          <w:rtl w:val="0"/>
          <w:lang w:val="en-US"/>
          <w14:textFill>
            <w14:solidFill>
              <w14:srgbClr w14:val="000000"/>
            </w14:solidFill>
          </w14:textFill>
        </w:rPr>
        <w:t>Comparisons with Death-free days, correlation test.</w:t>
      </w:r>
    </w:p>
    <w:tbl>
      <w:tblPr>
        <w:tblW w:w="9639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000000" w:sz="8" w:space="0" w:shadow="0" w:frame="0"/>
          <w:insideV w:val="single" w:color="000000" w:sz="8" w:space="0" w:shadow="0" w:frame="0"/>
        </w:tblBorders>
        <w:shd w:val="clear" w:color="auto" w:fill="ced7e7"/>
        <w:tblLayout w:type="fixed"/>
      </w:tblPr>
      <w:tblGrid>
        <w:gridCol w:w="3213"/>
        <w:gridCol w:w="3213"/>
        <w:gridCol w:w="3213"/>
      </w:tblGrid>
      <w:tr>
        <w:tblPrEx>
          <w:shd w:val="clear" w:color="auto" w:fill="ced7e7"/>
        </w:tblPrEx>
        <w:trPr>
          <w:trHeight w:val="193" w:hRule="atLeast"/>
        </w:trPr>
        <w:tc>
          <w:tcPr>
            <w:tcW w:type="dxa" w:w="321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21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b w:val="1"/>
                <w:bCs w:val="1"/>
                <w:sz w:val="16"/>
                <w:szCs w:val="16"/>
                <w:rtl w:val="0"/>
                <w:lang w:val="en-US"/>
              </w:rPr>
              <w:t>Spearman corr. (Death-free days)</w:t>
            </w:r>
          </w:p>
        </w:tc>
        <w:tc>
          <w:tcPr>
            <w:tcW w:type="dxa" w:w="321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b w:val="1"/>
                <w:bCs w:val="1"/>
                <w:sz w:val="16"/>
                <w:szCs w:val="16"/>
                <w:rtl w:val="0"/>
                <w:lang w:val="en-US"/>
              </w:rPr>
              <w:t>P value</w:t>
            </w:r>
          </w:p>
        </w:tc>
      </w:tr>
      <w:tr>
        <w:tblPrEx>
          <w:shd w:val="clear" w:color="auto" w:fill="ced7e7"/>
        </w:tblPrEx>
        <w:trPr>
          <w:trHeight w:val="193" w:hRule="atLeast"/>
        </w:trPr>
        <w:tc>
          <w:tcPr>
            <w:tcW w:type="dxa" w:w="321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MMI</w:t>
            </w:r>
          </w:p>
        </w:tc>
        <w:tc>
          <w:tcPr>
            <w:tcW w:type="dxa" w:w="321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-0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43</w:t>
            </w:r>
          </w:p>
        </w:tc>
        <w:tc>
          <w:tcPr>
            <w:tcW w:type="dxa" w:w="321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0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0013</w:t>
            </w:r>
          </w:p>
        </w:tc>
      </w:tr>
      <w:tr>
        <w:tblPrEx>
          <w:shd w:val="clear" w:color="auto" w:fill="ced7e7"/>
        </w:tblPrEx>
        <w:trPr>
          <w:trHeight w:val="193" w:hRule="atLeast"/>
        </w:trPr>
        <w:tc>
          <w:tcPr>
            <w:tcW w:type="dxa" w:w="321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APACHE II score</w:t>
            </w:r>
          </w:p>
        </w:tc>
        <w:tc>
          <w:tcPr>
            <w:tcW w:type="dxa" w:w="321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-0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25</w:t>
            </w:r>
          </w:p>
        </w:tc>
        <w:tc>
          <w:tcPr>
            <w:tcW w:type="dxa" w:w="321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0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074</w:t>
            </w:r>
          </w:p>
        </w:tc>
      </w:tr>
      <w:tr>
        <w:tblPrEx>
          <w:shd w:val="clear" w:color="auto" w:fill="ced7e7"/>
        </w:tblPrEx>
        <w:trPr>
          <w:trHeight w:val="193" w:hRule="atLeast"/>
        </w:trPr>
        <w:tc>
          <w:tcPr>
            <w:tcW w:type="dxa" w:w="321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Age</w:t>
            </w:r>
          </w:p>
        </w:tc>
        <w:tc>
          <w:tcPr>
            <w:tcW w:type="dxa" w:w="321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-0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24</w:t>
            </w:r>
          </w:p>
        </w:tc>
        <w:tc>
          <w:tcPr>
            <w:tcW w:type="dxa" w:w="321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0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082</w:t>
            </w:r>
          </w:p>
        </w:tc>
      </w:tr>
      <w:tr>
        <w:tblPrEx>
          <w:shd w:val="clear" w:color="auto" w:fill="ced7e7"/>
        </w:tblPrEx>
        <w:trPr>
          <w:trHeight w:val="193" w:hRule="atLeast"/>
        </w:trPr>
        <w:tc>
          <w:tcPr>
            <w:tcW w:type="dxa" w:w="321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Simpson (E)</w:t>
            </w:r>
          </w:p>
        </w:tc>
        <w:tc>
          <w:tcPr>
            <w:tcW w:type="dxa" w:w="321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-0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11</w:t>
            </w:r>
          </w:p>
        </w:tc>
        <w:tc>
          <w:tcPr>
            <w:tcW w:type="dxa" w:w="321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0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44</w:t>
            </w:r>
          </w:p>
        </w:tc>
      </w:tr>
      <w:tr>
        <w:tblPrEx>
          <w:shd w:val="clear" w:color="auto" w:fill="ced7e7"/>
        </w:tblPrEx>
        <w:trPr>
          <w:trHeight w:val="193" w:hRule="atLeast"/>
        </w:trPr>
        <w:tc>
          <w:tcPr>
            <w:tcW w:type="dxa" w:w="321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Pielou (E)</w:t>
            </w:r>
          </w:p>
        </w:tc>
        <w:tc>
          <w:tcPr>
            <w:tcW w:type="dxa" w:w="321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-0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07</w:t>
            </w:r>
          </w:p>
        </w:tc>
        <w:tc>
          <w:tcPr>
            <w:tcW w:type="dxa" w:w="321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0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6</w:t>
            </w:r>
          </w:p>
        </w:tc>
      </w:tr>
      <w:tr>
        <w:tblPrEx>
          <w:shd w:val="clear" w:color="auto" w:fill="ced7e7"/>
        </w:tblPrEx>
        <w:trPr>
          <w:trHeight w:val="193" w:hRule="atLeast"/>
        </w:trPr>
        <w:tc>
          <w:tcPr>
            <w:tcW w:type="dxa" w:w="321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Dominance</w:t>
            </w:r>
          </w:p>
        </w:tc>
        <w:tc>
          <w:tcPr>
            <w:tcW w:type="dxa" w:w="321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0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07</w:t>
            </w:r>
          </w:p>
        </w:tc>
        <w:tc>
          <w:tcPr>
            <w:tcW w:type="dxa" w:w="321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0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63</w:t>
            </w:r>
          </w:p>
        </w:tc>
      </w:tr>
      <w:tr>
        <w:tblPrEx>
          <w:shd w:val="clear" w:color="auto" w:fill="ced7e7"/>
        </w:tblPrEx>
        <w:trPr>
          <w:trHeight w:val="193" w:hRule="atLeast"/>
        </w:trPr>
        <w:tc>
          <w:tcPr>
            <w:tcW w:type="dxa" w:w="321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Simpson (D)</w:t>
            </w:r>
          </w:p>
        </w:tc>
        <w:tc>
          <w:tcPr>
            <w:tcW w:type="dxa" w:w="321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-0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07</w:t>
            </w:r>
          </w:p>
        </w:tc>
        <w:tc>
          <w:tcPr>
            <w:tcW w:type="dxa" w:w="321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0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63</w:t>
            </w:r>
          </w:p>
        </w:tc>
      </w:tr>
      <w:tr>
        <w:tblPrEx>
          <w:shd w:val="clear" w:color="auto" w:fill="ced7e7"/>
        </w:tblPrEx>
        <w:trPr>
          <w:trHeight w:val="193" w:hRule="atLeast"/>
        </w:trPr>
        <w:tc>
          <w:tcPr>
            <w:tcW w:type="dxa" w:w="321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Shannon (D)</w:t>
            </w:r>
          </w:p>
        </w:tc>
        <w:tc>
          <w:tcPr>
            <w:tcW w:type="dxa" w:w="321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-0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04</w:t>
            </w:r>
          </w:p>
        </w:tc>
        <w:tc>
          <w:tcPr>
            <w:tcW w:type="dxa" w:w="321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0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78</w:t>
            </w:r>
          </w:p>
        </w:tc>
      </w:tr>
      <w:tr>
        <w:tblPrEx>
          <w:shd w:val="clear" w:color="auto" w:fill="ced7e7"/>
        </w:tblPrEx>
        <w:trPr>
          <w:trHeight w:val="193" w:hRule="atLeast"/>
        </w:trPr>
        <w:tc>
          <w:tcPr>
            <w:tcW w:type="dxa" w:w="321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PF ratio</w:t>
            </w:r>
          </w:p>
        </w:tc>
        <w:tc>
          <w:tcPr>
            <w:tcW w:type="dxa" w:w="321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0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03</w:t>
            </w:r>
          </w:p>
        </w:tc>
        <w:tc>
          <w:tcPr>
            <w:tcW w:type="dxa" w:w="321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0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86</w:t>
            </w:r>
          </w:p>
        </w:tc>
      </w:tr>
      <w:tr>
        <w:tblPrEx>
          <w:shd w:val="clear" w:color="auto" w:fill="ced7e7"/>
        </w:tblPrEx>
        <w:trPr>
          <w:trHeight w:val="193" w:hRule="atLeast"/>
        </w:trPr>
        <w:tc>
          <w:tcPr>
            <w:tcW w:type="dxa" w:w="321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Chao1 (R)</w:t>
            </w:r>
          </w:p>
        </w:tc>
        <w:tc>
          <w:tcPr>
            <w:tcW w:type="dxa" w:w="321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0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02</w:t>
            </w:r>
          </w:p>
        </w:tc>
        <w:tc>
          <w:tcPr>
            <w:tcW w:type="dxa" w:w="321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0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9</w:t>
            </w:r>
          </w:p>
        </w:tc>
      </w:tr>
    </w:tbl>
    <w:p>
      <w:pPr>
        <w:pStyle w:val="Heading"/>
        <w:widowControl w:val="0"/>
        <w:spacing w:line="240" w:lineRule="auto"/>
      </w:pPr>
      <w:r/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480" w:after="0" w:line="276" w:lineRule="auto"/>
      <w:ind w:left="0" w:right="0" w:firstLine="0"/>
      <w:jc w:val="left"/>
      <w:outlineLvl w:val="0"/>
    </w:pPr>
    <w:rPr>
      <w:rFonts w:ascii="Times New Roman" w:cs="Arial Unicode MS" w:hAnsi="Times New Roman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365f91"/>
      <w:spacing w:val="0"/>
      <w:kern w:val="0"/>
      <w:position w:val="0"/>
      <w:sz w:val="16"/>
      <w:szCs w:val="16"/>
      <w:u w:val="none" w:color="365f91"/>
      <w:shd w:val="nil" w:color="auto" w:fill="auto"/>
      <w:vertAlign w:val="baseline"/>
      <w:lang w:val="en-US"/>
      <w14:textOutline>
        <w14:noFill/>
      </w14:textOutline>
      <w14:textFill>
        <w14:solidFill>
          <w14:srgbClr w14:val="365F91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mbria" w:cs="Arial Unicode MS" w:hAnsi="Cambri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