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Cox models</w:t>
      </w:r>
      <w:r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  <w:t>, trivariate</w:t>
      </w:r>
    </w:p>
    <w:tbl>
      <w:tblPr>
        <w:tblW w:w="96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blPrEx>
          <w:shd w:val="clear" w:color="auto" w:fill="ced7e7"/>
        </w:tblPrEx>
        <w:trPr>
          <w:trHeight w:val="379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Model LL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Variable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Hazard ratio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HR 95% CI, lower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HR 95% CI, higher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16"/>
                <w:szCs w:val="16"/>
                <w:rtl w:val="0"/>
                <w:lang w:val="en-US"/>
              </w:rPr>
              <w:t>P value</w:t>
            </w:r>
          </w:p>
        </w:tc>
      </w:tr>
      <w:tr>
        <w:tblPrEx>
          <w:shd w:val="clear" w:color="auto" w:fill="ced7e7"/>
        </w:tblPrEx>
        <w:trPr>
          <w:trHeight w:val="585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(APACHE II score) + ARDS + 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-94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ARDS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·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075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00059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0046</w:t>
            </w:r>
          </w:p>
        </w:tc>
      </w:tr>
      <w:tr>
        <w:tblPrEx>
          <w:shd w:val="clear" w:color="auto" w:fill="ced7e7"/>
        </w:tblPrEx>
        <w:trPr>
          <w:trHeight w:val="585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(Gender (male)) + (APACHE II score) + 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-94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0017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Gender (male)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082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MMI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00012</w:t>
            </w:r>
          </w:p>
        </w:tc>
      </w:tr>
      <w:tr>
        <w:tblPrEx>
          <w:shd w:val="clear" w:color="auto" w:fill="ced7e7"/>
        </w:tblPrEx>
        <w:trPr>
          <w:trHeight w:val="585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(APACHE II score) + ARDS + (MMI &gt; 0)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-95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0094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ARDS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062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MMI &gt; 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0026</w:t>
            </w:r>
          </w:p>
        </w:tc>
      </w:tr>
      <w:tr>
        <w:tblPrEx>
          <w:shd w:val="clear" w:color="auto" w:fill="ced7e7"/>
        </w:tblPrEx>
        <w:trPr>
          <w:trHeight w:val="791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(Gender (male)) + (APACHE II score) + (MMI &gt; 0)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-95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MMI &gt; 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00074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APACHE II score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0013</w:t>
            </w:r>
          </w:p>
        </w:tc>
      </w:tr>
      <w:tr>
        <w:tblPrEx>
          <w:shd w:val="clear" w:color="auto" w:fill="ced7e7"/>
        </w:tblPrEx>
        <w:trPr>
          <w:trHeight w:val="180" w:hRule="atLeast"/>
        </w:trPr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··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Gender (male)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  <w:r>
              <w:rPr>
                <w:rFonts w:ascii="Times New Roman" w:hAnsi="Times New Roman" w:hint="default"/>
                <w:sz w:val="16"/>
                <w:szCs w:val="16"/>
                <w:shd w:val="nil" w:color="auto" w:fill="auto"/>
                <w:rtl w:val="0"/>
                <w:lang w:val="en-US"/>
              </w:rPr>
              <w:t>·</w:t>
            </w:r>
            <w:r>
              <w:rPr>
                <w:rFonts w:ascii="Times New Roman" w:hAnsi="Times New Roman"/>
                <w:sz w:val="16"/>
                <w:szCs w:val="16"/>
                <w:shd w:val="nil" w:color="auto" w:fill="auto"/>
                <w:rtl w:val="0"/>
                <w:lang w:val="en-US"/>
              </w:rPr>
              <w:t>082</w:t>
            </w:r>
          </w:p>
        </w:tc>
      </w:tr>
    </w:tbl>
    <w:p>
      <w:pPr>
        <w:pStyle w:val="Heading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16"/>
      <w:szCs w:val="16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