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Q3 Financial Report — Meridian Capital Partners</w:t>
      </w:r>
    </w:p>
    <w:p>
      <w:pPr>
        <w:jc w:val="center"/>
      </w:pPr>
      <w:r>
        <w:t>Confidential | For Internal Distribution Only | Fiscal Year 2024</w:t>
      </w:r>
    </w:p>
    <w:p/>
    <w:p>
      <w:pPr>
        <w:pStyle w:val="Heading1"/>
      </w:pPr>
      <w:r>
        <w:t>Executive Summary</w:t>
      </w:r>
    </w:p>
    <w:p>
      <w:r>
        <w:t>Meridian Capital Partners delivered a resilient performance in Q3 2024, recording total revenues of $142.6 million against operating costs of $98.3 million, yielding an operating margin of 31.0%. Despite macroeconomic headwinds, the firm maintained strong client retention and expanded its institutional portfolio by 12% quarter-over-quarter. The board of directors has approved a supplemental dividend of $0.45 per share, reflecting confidence in the firm's sustained cash generation.</w:t>
      </w:r>
    </w:p>
    <w:p>
      <w:pPr>
        <w:pStyle w:val="Heading1"/>
      </w:pPr>
      <w:r>
        <w:t>Revenue Analysis</w:t>
      </w:r>
    </w:p>
    <w:p>
      <w:r>
        <w:t>Total revenues increased by 8.4% compared to Q3 2023, driven primarily by growth in advisory fees and managed-account performance income. The asset management segment remained the largest revenue contributor, accounting for 58% of total revenues.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Segment</w:t>
            </w:r>
          </w:p>
        </w:tc>
        <w:tc>
          <w:tcPr>
            <w:tcW w:type="dxa" w:w="2160"/>
          </w:tcPr>
          <w:p>
            <w:r>
              <w:t>Q3 2024 ($M)</w:t>
            </w:r>
          </w:p>
        </w:tc>
        <w:tc>
          <w:tcPr>
            <w:tcW w:type="dxa" w:w="2160"/>
          </w:tcPr>
          <w:p>
            <w:r>
              <w:t>Q3 2023 ($M)</w:t>
            </w:r>
          </w:p>
        </w:tc>
        <w:tc>
          <w:tcPr>
            <w:tcW w:type="dxa" w:w="2160"/>
          </w:tcPr>
          <w:p>
            <w:r>
              <w:t>YoY Change</w:t>
            </w:r>
          </w:p>
        </w:tc>
      </w:tr>
      <w:tr>
        <w:tc>
          <w:tcPr>
            <w:tcW w:type="dxa" w:w="2160"/>
          </w:tcPr>
          <w:p>
            <w:r>
              <w:t>Asset Management</w:t>
            </w:r>
          </w:p>
        </w:tc>
        <w:tc>
          <w:tcPr>
            <w:tcW w:type="dxa" w:w="2160"/>
          </w:tcPr>
          <w:p>
            <w:r>
              <w:t>82.7</w:t>
            </w:r>
          </w:p>
        </w:tc>
        <w:tc>
          <w:tcPr>
            <w:tcW w:type="dxa" w:w="2160"/>
          </w:tcPr>
          <w:p>
            <w:r>
              <w:t>74.1</w:t>
            </w:r>
          </w:p>
        </w:tc>
        <w:tc>
          <w:tcPr>
            <w:tcW w:type="dxa" w:w="2160"/>
          </w:tcPr>
          <w:p>
            <w:r>
              <w:t>+11.6%</w:t>
            </w:r>
          </w:p>
        </w:tc>
      </w:tr>
      <w:tr>
        <w:tc>
          <w:tcPr>
            <w:tcW w:type="dxa" w:w="2160"/>
          </w:tcPr>
          <w:p>
            <w:r>
              <w:t>Advisory Services</w:t>
            </w:r>
          </w:p>
        </w:tc>
        <w:tc>
          <w:tcPr>
            <w:tcW w:type="dxa" w:w="2160"/>
          </w:tcPr>
          <w:p>
            <w:r>
              <w:t>31.4</w:t>
            </w:r>
          </w:p>
        </w:tc>
        <w:tc>
          <w:tcPr>
            <w:tcW w:type="dxa" w:w="2160"/>
          </w:tcPr>
          <w:p>
            <w:r>
              <w:t>30.8</w:t>
            </w:r>
          </w:p>
        </w:tc>
        <w:tc>
          <w:tcPr>
            <w:tcW w:type="dxa" w:w="2160"/>
          </w:tcPr>
          <w:p>
            <w:r>
              <w:t>+1.9%</w:t>
            </w:r>
          </w:p>
        </w:tc>
      </w:tr>
      <w:tr>
        <w:tc>
          <w:tcPr>
            <w:tcW w:type="dxa" w:w="2160"/>
          </w:tcPr>
          <w:p>
            <w:r>
              <w:t>Trading &amp; Markets</w:t>
            </w:r>
          </w:p>
        </w:tc>
        <w:tc>
          <w:tcPr>
            <w:tcW w:type="dxa" w:w="2160"/>
          </w:tcPr>
          <w:p>
            <w:r>
              <w:t>18.3</w:t>
            </w:r>
          </w:p>
        </w:tc>
        <w:tc>
          <w:tcPr>
            <w:tcW w:type="dxa" w:w="2160"/>
          </w:tcPr>
          <w:p>
            <w:r>
              <w:t>16.5</w:t>
            </w:r>
          </w:p>
        </w:tc>
        <w:tc>
          <w:tcPr>
            <w:tcW w:type="dxa" w:w="2160"/>
          </w:tcPr>
          <w:p>
            <w:r>
              <w:t>+10.9%</w:t>
            </w:r>
          </w:p>
        </w:tc>
      </w:tr>
      <w:tr>
        <w:tc>
          <w:tcPr>
            <w:tcW w:type="dxa" w:w="2160"/>
          </w:tcPr>
          <w:p>
            <w:r>
              <w:t>Other Income</w:t>
            </w:r>
          </w:p>
        </w:tc>
        <w:tc>
          <w:tcPr>
            <w:tcW w:type="dxa" w:w="2160"/>
          </w:tcPr>
          <w:p>
            <w:r>
              <w:t>10.2</w:t>
            </w:r>
          </w:p>
        </w:tc>
        <w:tc>
          <w:tcPr>
            <w:tcW w:type="dxa" w:w="2160"/>
          </w:tcPr>
          <w:p>
            <w:r>
              <w:t>10.0</w:t>
            </w:r>
          </w:p>
        </w:tc>
        <w:tc>
          <w:tcPr>
            <w:tcW w:type="dxa" w:w="2160"/>
          </w:tcPr>
          <w:p>
            <w:r>
              <w:t>+2.0%</w:t>
            </w:r>
          </w:p>
        </w:tc>
      </w:tr>
    </w:tbl>
    <w:p/>
    <w:p>
      <w:pPr>
        <w:pStyle w:val="Heading1"/>
      </w:pPr>
      <w:r>
        <w:t>Cost Structure</w:t>
      </w:r>
    </w:p>
    <w:p>
      <w:r>
        <w:t>Operating costs were well-controlled at $98.3 million, representing a 3.1% increase year-over-year, significantly below the revenue growth rate.</w:t>
      </w:r>
    </w:p>
    <w:tbl>
      <w:tblPr>
        <w:tblStyle w:val="TableGrid"/>
        <w:tblW w:type="auto" w:w="0"/>
        <w:tblLook w:firstColumn="1" w:firstRow="1" w:lastColumn="0" w:lastRow="0" w:noHBand="0" w:noVBand="1" w:val="04A0"/>
      </w:tblPr>
      <w:tblGrid>
        <w:gridCol w:w="4320"/>
        <w:gridCol w:w="4320"/>
      </w:tblGrid>
      <w:tr>
        <w:tc>
          <w:tcPr>
            <w:tcW w:type="dxa" w:w="4320"/>
          </w:tcPr>
          <w:p>
            <w:r>
              <w:t>Cost Category</w:t>
            </w:r>
          </w:p>
        </w:tc>
        <w:tc>
          <w:tcPr>
            <w:tcW w:type="dxa" w:w="4320"/>
          </w:tcPr>
          <w:p>
            <w:r>
              <w:t>Q3 2024 ($M)</w:t>
            </w:r>
          </w:p>
        </w:tc>
      </w:tr>
      <w:tr>
        <w:tc>
          <w:tcPr>
            <w:tcW w:type="dxa" w:w="4320"/>
          </w:tcPr>
          <w:p>
            <w:r>
              <w:t>Compensation &amp; Benefits</w:t>
            </w:r>
          </w:p>
        </w:tc>
        <w:tc>
          <w:tcPr>
            <w:tcW w:type="dxa" w:w="4320"/>
          </w:tcPr>
          <w:p>
            <w:r>
              <w:t>54.2</w:t>
            </w:r>
          </w:p>
        </w:tc>
      </w:tr>
      <w:tr>
        <w:tc>
          <w:tcPr>
            <w:tcW w:type="dxa" w:w="4320"/>
          </w:tcPr>
          <w:p>
            <w:r>
              <w:t>Technology &amp; Infrastructure</w:t>
            </w:r>
          </w:p>
        </w:tc>
        <w:tc>
          <w:tcPr>
            <w:tcW w:type="dxa" w:w="4320"/>
          </w:tcPr>
          <w:p>
            <w:r>
              <w:t>18.7</w:t>
            </w:r>
          </w:p>
        </w:tc>
      </w:tr>
      <w:tr>
        <w:tc>
          <w:tcPr>
            <w:tcW w:type="dxa" w:w="4320"/>
          </w:tcPr>
          <w:p>
            <w:r>
              <w:t>Regulatory &amp; Compliance</w:t>
            </w:r>
          </w:p>
        </w:tc>
        <w:tc>
          <w:tcPr>
            <w:tcW w:type="dxa" w:w="4320"/>
          </w:tcPr>
          <w:p>
            <w:r>
              <w:t>11.4</w:t>
            </w:r>
          </w:p>
        </w:tc>
      </w:tr>
      <w:tr>
        <w:tc>
          <w:tcPr>
            <w:tcW w:type="dxa" w:w="4320"/>
          </w:tcPr>
          <w:p>
            <w:r>
              <w:t>General &amp; Administrative</w:t>
            </w:r>
          </w:p>
        </w:tc>
        <w:tc>
          <w:tcPr>
            <w:tcW w:type="dxa" w:w="4320"/>
          </w:tcPr>
          <w:p>
            <w:r>
              <w:t>14.0</w:t>
            </w:r>
          </w:p>
        </w:tc>
      </w:tr>
    </w:tbl>
    <w:p/>
    <w:p>
      <w:pPr>
        <w:pStyle w:val="Heading1"/>
      </w:pPr>
      <w:r>
        <w:t>Risk Assessment</w:t>
      </w:r>
    </w:p>
    <w:p>
      <w:r>
        <w:t>The firm operates in a complex regulatory and market environment. The following section outlines the key risks identified by the Risk Management Committee and the mitigation strategies in place. Risk exposure is assessed quarterly and reported to the board.</w:t>
      </w:r>
    </w:p>
    <w:p>
      <w:pPr>
        <w:pStyle w:val="Heading2"/>
      </w:pPr>
      <w:r>
        <w:t>Market Risks</w:t>
      </w:r>
    </w:p>
    <w:p>
      <w:pPr>
        <w:pStyle w:val="ListBullet"/>
      </w:pPr>
      <w:r>
        <w:t>Interest rate risk: Rising benchmark rates have compressed fixed-income spreads. The firm has increased duration hedging to mitigate sensitivity to rate movements.</w:t>
      </w:r>
    </w:p>
    <w:p>
      <w:pPr>
        <w:pStyle w:val="ListBullet"/>
      </w:pPr>
      <w:r>
        <w:t>Foreign exchange risk: Approximately 22% of AUM is denominated in non-USD currencies. Currency forward contracts are used to hedge material FX exposures.</w:t>
      </w:r>
    </w:p>
    <w:p>
      <w:pPr>
        <w:pStyle w:val="ListBullet"/>
      </w:pPr>
      <w:r>
        <w:t>Equity market volatility: Elevated VIX readings in September presented short-term mark-to-market pressures on the long-equity book. Stop-loss thresholds remain in place.</w:t>
      </w:r>
    </w:p>
    <w:p>
      <w:pPr>
        <w:pStyle w:val="Heading2"/>
      </w:pPr>
      <w:r>
        <w:t>Operational Risks</w:t>
      </w:r>
    </w:p>
    <w:p>
      <w:pPr>
        <w:pStyle w:val="ListBullet"/>
      </w:pPr>
      <w:r>
        <w:t>System downtime risk: A 4-hour trading platform outage in August was contained with no client impact. Disaster-recovery protocols have been reviewed and updated.</w:t>
      </w:r>
    </w:p>
    <w:p>
      <w:pPr>
        <w:pStyle w:val="ListBullet"/>
      </w:pPr>
      <w:r>
        <w:t>Regulatory compliance risk: Evolving SEC reporting requirements for private funds require ongoing investment in compliance infrastructure. External counsel has been retained.</w:t>
      </w:r>
    </w:p>
    <w:p>
      <w:pPr>
        <w:pStyle w:val="ListBullet"/>
      </w:pPr>
      <w:r>
        <w:t>Key-person dependency: Three senior portfolio managers account for 41% of AUM. Succession planning and retention packages have been approved.</w:t>
      </w:r>
    </w:p>
    <w:p>
      <w:pPr>
        <w:pStyle w:val="Heading2"/>
      </w:pPr>
      <w:r>
        <w:t>Financial Risks</w:t>
      </w:r>
    </w:p>
    <w:p>
      <w:pPr>
        <w:pStyle w:val="ListBullet"/>
      </w:pPr>
      <w:r>
        <w:t>Credit exposure: Counterparty credit limits are reviewed monthly. No material credit events occurred in Q3; overall credit quality of the portfolio remains investment-grade.</w:t>
      </w:r>
    </w:p>
    <w:p>
      <w:pPr>
        <w:pStyle w:val="ListBullet"/>
      </w:pPr>
      <w:r>
        <w:t>Liquidity risk: The firm maintains a $35 million liquidity reserve, sufficient to cover 90 days of operating expenses. Stress-test scenarios confirmed adequate buffer.</w:t>
      </w:r>
    </w:p>
    <w:p/>
    <w:p>
      <w:pPr>
        <w:pStyle w:val="Heading1"/>
      </w:pPr>
      <w:r>
        <w:t>Outlook and Guidance</w:t>
      </w:r>
    </w:p>
    <w:p>
      <w:r>
        <w:t>Management maintains a cautiously optimistic outlook for Q4 2024. Macroeconomic uncertainty persists, but pipeline activity in advisory mandates is strong. The firm expects full-year revenues to land in the range of $560–575 million, representing 7–9% growth over 2023.</w:t>
      </w:r>
    </w:p>
    <w:p>
      <w:pPr>
        <w:pStyle w:val="ListBullet"/>
      </w:pPr>
      <w:r>
        <w:t>Q4 2024 revenue guidance: $138–142 million.</w:t>
      </w:r>
    </w:p>
    <w:p>
      <w:pPr>
        <w:pStyle w:val="ListBullet"/>
      </w:pPr>
      <w:r>
        <w:t>Operating margin target: 29–31% for the full year.</w:t>
      </w:r>
    </w:p>
    <w:p>
      <w:pPr>
        <w:pStyle w:val="ListBullet"/>
      </w:pPr>
      <w:r>
        <w:t>New client onboardings expected in Q4: 8–12 institutional mandates.</w:t>
      </w:r>
    </w:p>
    <w:p>
      <w:pPr>
        <w:pStyle w:val="Heading1"/>
      </w:pPr>
      <w:r>
        <w:t>Conclusion</w:t>
      </w:r>
    </w:p>
    <w:p>
      <w:r>
        <w:t>Q3 2024 demonstrated the firm's ability to generate consistent returns and manage risk effectively in a challenging environment. Revenue growth, disciplined cost management, and a strong risk framework position Meridian Capital Partners well for the remainder of fiscal year 2024. The management team remains committed to delivering long-term value to clients and shareholders. Key risks — including market, operational, and financial risks — are actively monitored and mitigated in line with the firm's risk appetite framework.</w:t>
      </w:r>
    </w:p>
    <w:p>
      <w:pPr>
        <w:pStyle w:val="Heading1"/>
      </w:pPr>
      <w:r>
        <w:t>Appendix: Key Metrics</w:t>
      </w:r>
    </w:p>
    <w:tbl>
      <w:tblPr>
        <w:tblStyle w:val="TableGrid"/>
        <w:tblW w:type="auto" w:w="0"/>
        <w:tblLook w:firstColumn="1" w:firstRow="1" w:lastColumn="0" w:lastRow="0" w:noHBand="0" w:noVBand="1" w:val="04A0"/>
      </w:tblPr>
      <w:tblGrid>
        <w:gridCol w:w="4320"/>
        <w:gridCol w:w="4320"/>
      </w:tblGrid>
      <w:tr>
        <w:tc>
          <w:tcPr>
            <w:tcW w:type="dxa" w:w="4320"/>
          </w:tcPr>
          <w:p>
            <w:r>
              <w:t>Metric</w:t>
            </w:r>
          </w:p>
        </w:tc>
        <w:tc>
          <w:tcPr>
            <w:tcW w:type="dxa" w:w="4320"/>
          </w:tcPr>
          <w:p>
            <w:r>
              <w:t>Q3 2024</w:t>
            </w:r>
          </w:p>
        </w:tc>
      </w:tr>
      <w:tr>
        <w:tc>
          <w:tcPr>
            <w:tcW w:type="dxa" w:w="4320"/>
          </w:tcPr>
          <w:p>
            <w:r>
              <w:t>Total Revenue</w:t>
            </w:r>
          </w:p>
        </w:tc>
        <w:tc>
          <w:tcPr>
            <w:tcW w:type="dxa" w:w="4320"/>
          </w:tcPr>
          <w:p>
            <w:r>
              <w:t>$142.6M</w:t>
            </w:r>
          </w:p>
        </w:tc>
      </w:tr>
      <w:tr>
        <w:tc>
          <w:tcPr>
            <w:tcW w:type="dxa" w:w="4320"/>
          </w:tcPr>
          <w:p>
            <w:r>
              <w:t>Operating Margin</w:t>
            </w:r>
          </w:p>
        </w:tc>
        <w:tc>
          <w:tcPr>
            <w:tcW w:type="dxa" w:w="4320"/>
          </w:tcPr>
          <w:p>
            <w:r>
              <w:t>31.0%</w:t>
            </w:r>
          </w:p>
        </w:tc>
      </w:tr>
      <w:tr>
        <w:tc>
          <w:tcPr>
            <w:tcW w:type="dxa" w:w="4320"/>
          </w:tcPr>
          <w:p>
            <w:r>
              <w:t>Assets Under Management</w:t>
            </w:r>
          </w:p>
        </w:tc>
        <w:tc>
          <w:tcPr>
            <w:tcW w:type="dxa" w:w="4320"/>
          </w:tcPr>
          <w:p>
            <w:r>
              <w:t>$6.8B</w:t>
            </w:r>
          </w:p>
        </w:tc>
      </w:tr>
      <w:tr>
        <w:tc>
          <w:tcPr>
            <w:tcW w:type="dxa" w:w="4320"/>
          </w:tcPr>
          <w:p>
            <w:r>
              <w:t>Client Retention Rate</w:t>
            </w:r>
          </w:p>
        </w:tc>
        <w:tc>
          <w:tcPr>
            <w:tcW w:type="dxa" w:w="4320"/>
          </w:tcPr>
          <w:p>
            <w:r>
              <w:t>96.4%</w:t>
            </w:r>
          </w:p>
        </w:tc>
      </w:tr>
      <w:tr>
        <w:tc>
          <w:tcPr>
            <w:tcW w:type="dxa" w:w="4320"/>
          </w:tcPr>
          <w:p>
            <w:r>
              <w:t>Headcount</w:t>
            </w:r>
          </w:p>
        </w:tc>
        <w:tc>
          <w:tcPr>
            <w:tcW w:type="dxa" w:w="4320"/>
          </w:tcPr>
          <w:p>
            <w:r>
              <w:t>412</w:t>
            </w:r>
          </w:p>
        </w:tc>
      </w:tr>
      <w:tr>
        <w:tc>
          <w:tcPr>
            <w:tcW w:type="dxa" w:w="4320"/>
          </w:tcPr>
          <w:p>
            <w:r>
              <w:t>Dividend per Share</w:t>
            </w:r>
          </w:p>
        </w:tc>
        <w:tc>
          <w:tcPr>
            <w:tcW w:type="dxa" w:w="4320"/>
          </w:tcPr>
          <w:p>
            <w:r>
              <w:t>$0.45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