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/>
        <w:drawing>
          <wp:inline distB="114300" distT="114300" distL="114300" distR="114300">
            <wp:extent cx="1747838" cy="10550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055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| FOR MANAGEMENT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[Project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RFQ ID: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[RFQ ID]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Commodity: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High-Pressure Heat Exchanger (9COM: 450-012547)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Generated: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[Current 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 EXECUTIVE SUMMARY &amp; AI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Devon Automation Engine has completed its analysis of all technically compliant vendors.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 pre-defined 'Commercial Vendor Evaluation Model' (BQ-PROC-MODEL-001), the engine has identified the offer that provides the best overall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RECOMMENDATION: Award to [Recommended Vendor Name] (Best Fit Score: [Score]/100)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While Vendor C Global submitted a lower price, [Recommended Vendor Name]'s offer presents a significantly lower risk profile, a 60-day faster delivery schedule critical to the project timeline, and superior commercial terms (DDP vs. EXW), resulting in the highest Best Fit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 COMPARATIVE COMMERCIAL ANALYSIS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Best Fit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 Price (SAR)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Delivery 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Commercial Terms Score (out of 22)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[Vendor A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[Score 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1,250,000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19/22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[Vendor B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[Score B]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1,180,000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15/22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[Vendor C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[Score 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1,150,000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2/22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 RISK &amp; OPPORTUNITY ANALYSIS (AI-Generated)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[Vendor A Name]: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 Risk. Established history, excellent terms, fastest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[Vendor B Name]: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Medium Risk. Initial technical non-compliance suggests potential QA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[Vendor C Name]: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Risk.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Lowest price is offset by extremely risky EXW terms and the longest delivery schedule, which could create significant project delays and unforeseen logistics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Decision Package has been delivered to the designated decision-maker.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use the "Approve &amp; Generate PO" button on your Decision Cockpit dashboard to execute the final award.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 by the Devon Automation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