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SQL Injection Vulnerability Assessment Report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Executive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report presents the findings of a security assessment conducted on a web application using SQLmap. The objective was to identify SQL Injection vulnerabilities and demonstrate their impact.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Scope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Target Application: DVWA (Damn Vulnerable Web Application)</w:t>
        <w:br/>
        <w:t xml:space="preserve">URL: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http://localhost/DVWA</w:t>
        </w:r>
      </w:hyperlink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Methodology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Identified input fields and parameters.</w:t>
        <w:br/>
        <w:t xml:space="preserve">2. Captured HTTP request using Burp Suite.</w:t>
        <w:br/>
        <w:t xml:space="preserve">3. Used SQLmap to automate SQL Injection testing.</w:t>
        <w:br/>
        <w:t xml:space="preserve">4. Extracted databases, tables, and sensitive data.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Tools Used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Kali Linux</w:t>
        <w:br/>
        <w:t xml:space="preserve">SQLmap</w:t>
        <w:br/>
        <w:t xml:space="preserve">Burp Suite</w:t>
        <w:br/>
        <w:t xml:space="preserve">DVWA</w:t>
        <w:br/>
        <w:t xml:space="preserve">MySQL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Vulnerability Details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Vulnerability Type: SQL Injection</w:t>
        <w:br/>
        <w:t xml:space="preserve">Risk Level: High</w:t>
        <w:br/>
        <w:t xml:space="preserve">Description: The application fails to properly sanitize user input, allowing attackers to manipulate database queries.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Proof of Concept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Step 1: Identify vulnerable URL</w:t>
        <w:br/>
      </w:r>
      <w:r>
        <w:object w:dxaOrig="8640" w:dyaOrig="5419">
          <v:rect xmlns:o="urn:schemas-microsoft-com:office:office" xmlns:v="urn:schemas-microsoft-com:vml" id="rectole0000000000" style="width:432.000000pt;height:270.9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t xml:space="preserve">Step 2: Run SQLmap (--dbs)</w:t>
        <w:br/>
      </w:r>
      <w:r>
        <w:object w:dxaOrig="8640" w:dyaOrig="2700">
          <v:rect xmlns:o="urn:schemas-microsoft-com:office:office" xmlns:v="urn:schemas-microsoft-com:vml" id="rectole0000000001" style="width:432.000000pt;height:135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t xml:space="preserve">Step 3: Extract Tables</w:t>
        <w:br/>
      </w:r>
      <w:r>
        <w:object w:dxaOrig="6870" w:dyaOrig="6790">
          <v:rect xmlns:o="urn:schemas-microsoft-com:office:office" xmlns:v="urn:schemas-microsoft-com:vml" id="rectole0000000002" style="width:343.500000pt;height:339.5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Step 4: Dump Data</w:t>
      </w:r>
      <w:r>
        <w:object w:dxaOrig="8640" w:dyaOrig="4149">
          <v:rect xmlns:o="urn:schemas-microsoft-com:office:office" xmlns:v="urn:schemas-microsoft-com:vml" id="rectole0000000003" style="width:432.000000pt;height:207.4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Impact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Attackers can access sensitive data including usernames and passwords, modify database content, and potentially gain full control over the system.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Recommendations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prepared statements</w:t>
        <w:br/>
        <w:t xml:space="preserve">Validate user input</w:t>
        <w:br/>
        <w:t xml:space="preserve">Implement Web Application Firewall</w:t>
        <w:br/>
        <w:t xml:space="preserve">Apply least privilege principle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Conclusion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application is vulnerable to SQL Injection and requires immediate remediation.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Mode="External" Target="http://localhost/DVWA" Id="docRId0" Type="http://schemas.openxmlformats.org/officeDocument/2006/relationships/hyperlink" /><Relationship Target="styles.xml" Id="docRId10" Type="http://schemas.openxmlformats.org/officeDocument/2006/relationships/styles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media/image3.wmf" Id="docRId8" Type="http://schemas.openxmlformats.org/officeDocument/2006/relationships/image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Relationship Target="numbering.xml" Id="docRId9" Type="http://schemas.openxmlformats.org/officeDocument/2006/relationships/numbering" /></Relationships>
</file>