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3D63"/>
          <w:sz w:val="52"/>
        </w:rPr>
        <w:t>Note méthodologique — Modèle de scoring des contreparties entreprises</w:t>
      </w:r>
    </w:p>
    <w:p>
      <w:pPr>
        <w:jc w:val="center"/>
      </w:pPr>
      <w:r>
        <w:rPr>
          <w:color w:val="5C6470"/>
          <w:sz w:val="28"/>
        </w:rPr>
        <w:t>TPE · PME · GE — Contexte marocain (BAM, Bâle II/III, IFRS 9)</w:t>
      </w:r>
    </w:p>
    <w:p/>
    <w:p>
      <w:pPr>
        <w:spacing w:before="240"/>
        <w:jc w:val="center"/>
      </w:pPr>
      <w:r>
        <w:rPr>
          <w:color w:val="5C6470"/>
          <w:sz w:val="21"/>
        </w:rPr>
        <w:t>Version 2.0 — 19 août 2026</w:t>
        <w:br/>
      </w:r>
      <w:r>
        <w:rPr>
          <w:color w:val="5C6470"/>
          <w:sz w:val="21"/>
        </w:rPr>
        <w:t>Direction des Risques — Modèles de crédit entreprises</w:t>
        <w:br/>
      </w:r>
      <w:r>
        <w:rPr>
          <w:color w:val="5C6470"/>
          <w:sz w:val="21"/>
        </w:rPr>
        <w:t>Usage interne</w:t>
        <w:br/>
      </w:r>
    </w:p>
    <w:p/>
    <w:p/>
    <w:p/>
    <w:p/>
    <w:p/>
    <w:p/>
    <w:p/>
    <w:p/>
    <w:p>
      <w:pPr>
        <w:jc w:val="center"/>
      </w:pPr>
      <w:r>
        <w:rPr>
          <w:i/>
          <w:color w:val="5C6470"/>
          <w:sz w:val="17"/>
        </w:rPr>
        <w:t>Document de travail. Les pondérations, seuils et barèmes présentés ne constituent ni des seuils réglementaires, ni des probabilités de défaut calibrées, ni une validation de modèle.</w:t>
      </w:r>
    </w:p>
    <w:p>
      <w:r>
        <w:br w:type="page"/>
      </w:r>
    </w:p>
    <w:p>
      <w:r>
        <w:rPr>
          <w:b/>
          <w:color w:val="0F3D63"/>
          <w:sz w:val="32"/>
        </w:rPr>
        <w:t>Table des matières</w:t>
      </w:r>
    </w:p>
    <w:p/>
    <w:p>
      <w:r>
        <w:fldChar w:fldCharType="begin"/>
        <w:instrText xml:space="preserve">TOC \o "1-3" \h \z \u</w:instrText>
        <w:fldChar w:fldCharType="separate"/>
        <w:t>Ouvrir dans Word puis actualiser le champ (F9) pour générer la table.</w:t>
        <w:fldChar w:fldCharType="end"/>
      </w:r>
    </w:p>
    <w:p>
      <w:r>
        <w:br w:type="page"/>
      </w:r>
    </w:p>
    <w:p>
      <w:r>
        <w:br w:type="page"/>
      </w:r>
    </w:p>
    <w:p>
      <w:pPr>
        <w:pStyle w:val="Heading1"/>
      </w:pPr>
      <w:r>
        <w:t>Note méthodologique — Modèle et outil de notation interne des entreprises</w:t>
      </w:r>
    </w:p>
    <w:p>
      <w:pPr>
        <w:pStyle w:val="Heading2"/>
      </w:pPr>
      <w:r>
        <w:t>Contreparties TPE, PME et Grandes Entreprises — contexte bancaire marocain</w:t>
      </w:r>
    </w:p>
    <w:p>
      <w:r>
        <w:rPr>
          <w:b/>
        </w:rPr>
        <w:t>Version :</w:t>
      </w:r>
      <w:r>
        <w:t xml:space="preserve"> 2.0 · </w:t>
      </w:r>
      <w:r>
        <w:rPr>
          <w:b/>
        </w:rPr>
        <w:t>Date :</w:t>
      </w:r>
      <w:r>
        <w:t xml:space="preserve"> 19 août 2026 </w:t>
      </w:r>
      <w:r>
        <w:rPr>
          <w:b/>
        </w:rPr>
        <w:t>Destinataires :</w:t>
      </w:r>
      <w:r>
        <w:t xml:space="preserve"> Direction générale, Direction des Risques, Comité modèles, Validation indépendante, Finance et IFRS 9, Conformité et Juridique, Direction des Systèmes d'Information </w:t>
      </w:r>
      <w:r>
        <w:rPr>
          <w:b/>
        </w:rPr>
        <w:t>Classification :</w:t>
      </w:r>
      <w:r>
        <w:t xml:space="preserve"> usage interne</w:t>
      </w:r>
    </w:p>
    <w:p>
      <w:pPr>
        <w:spacing w:before="80" w:after="160"/>
        <w:pBdr>
          <w:bottom w:val="single" w:sz="6" w:color="D6DBE1"/>
        </w:pBdr>
      </w:pPr>
    </w:p>
    <w:p>
      <w:pPr>
        <w:spacing w:before="120" w:after="160"/>
        <w:ind w:left="360"/>
        <w:pBdr>
          <w:left w:val="single" w:sz="18" w:space="8" w:color="0F3D63"/>
        </w:pBdr>
      </w:pPr>
      <w:r>
        <w:rPr>
          <w:b/>
          <w:sz w:val="19"/>
        </w:rPr>
        <w:t>Statut du document.</w:t>
      </w:r>
      <w:r>
        <w:rPr>
          <w:sz w:val="19"/>
        </w:rPr>
        <w:t xml:space="preserve"> Les pondérations, seuils et barèmes présentés constituent une proposition experte complète permettant de démarrer un pilote et de collecter des données homogènes. Ce ne sont </w:t>
      </w:r>
      <w:r>
        <w:rPr>
          <w:b/>
          <w:sz w:val="19"/>
        </w:rPr>
        <w:t>ni des seuils réglementaires de Bank Al-Maghrib, ni des probabilités de défaut calibrées, ni une validation de modèle</w:t>
      </w:r>
      <w:r>
        <w:rPr>
          <w:sz w:val="19"/>
        </w:rPr>
        <w:t>. Avant tout usage de décision automatisée, de tarification, d'application d'IFRS 9 ou de calcul de capital réglementaire, ils doivent être challengés sur l'historique de la banque, calibrés, validés indépendamment et approuvés par les instances compétentes. Ce document ne constitue ni un avis juridique ni une attestation de conformité. Les paramètres réglementaires, dates d'effet, articles, seuils, taux de provision et traitements des garanties doivent être extraits des textes officiels applicables à l'établissement et revus par la Conformité et le Juridique.</w:t>
      </w:r>
    </w:p>
    <w:p>
      <w:pPr>
        <w:spacing w:before="80" w:after="160"/>
        <w:pBdr>
          <w:bottom w:val="single" w:sz="6" w:color="D6DBE1"/>
        </w:pBdr>
      </w:pPr>
    </w:p>
    <w:p>
      <w:r>
        <w:br w:type="page"/>
      </w:r>
    </w:p>
    <w:p>
      <w:pPr>
        <w:pStyle w:val="Heading1"/>
      </w:pPr>
      <w:r>
        <w:t>Partie I — Note à l'attention de la Direction générale</w:t>
      </w:r>
    </w:p>
    <w:p>
      <w:pPr>
        <w:pStyle w:val="Heading2"/>
      </w:pPr>
      <w:r>
        <w:t>1. Message exécutif</w:t>
      </w:r>
    </w:p>
    <w:p>
      <w:r>
        <w:t>La banque dispose aujourd'hui d'outils de notation dédiés au financement de projets et à la promotion immobilière, mais pas d'un dispositif homogène pour ses contreparties entreprises de droit commun — qui constituent l'essentiel du portefeuille corporate. L'appréciation du risque y repose largement sur le jugement de l'analyste, avec trois conséquences : une variabilité d'appréciation entre chargés d'affaires et entre agences, une difficulté à démontrer au régulateur la reproductibilité d'une décision passée, et l'absence de données structurées permettant de construire ultérieurement une probabilité de défaut calibrée.</w:t>
      </w:r>
    </w:p>
    <w:p>
      <w:r>
        <w:t xml:space="preserve">Le dispositif présenté répond à ces trois points. Il propose un </w:t>
      </w:r>
      <w:r>
        <w:rPr>
          <w:b/>
        </w:rPr>
        <w:t>modèle expert transparent</w:t>
      </w:r>
      <w:r>
        <w:t xml:space="preserve"> couvrant 45 critères répartis en sept domaines, pondérés différemment selon le segment TPE, PME ou Grande Entreprise, et un </w:t>
      </w:r>
      <w:r>
        <w:rPr>
          <w:b/>
        </w:rPr>
        <w:t>outil qui exécute ce modèle de façon déterministe</w:t>
      </w:r>
      <w:r>
        <w:t>, conserve la preuve complète de chaque calcul et expose une interface de programmation permettant l'échange dans les deux sens avec le système d'information.</w:t>
      </w:r>
    </w:p>
    <w:p>
      <w:r>
        <w:t>Deux caractéristiques méritent l'attention de la Direction générale.</w:t>
      </w:r>
    </w:p>
    <w:p>
      <w:r>
        <w:rPr>
          <w:b/>
        </w:rPr>
        <w:t>Le modèle ne prétend pas prédire une probabilité de défaut.</w:t>
      </w:r>
      <w:r>
        <w:t xml:space="preserve"> Il produit un classement ordinal fiable et explicable. La calibration actuellement attachée est établie sur des données </w:t>
      </w:r>
      <w:r>
        <w:rPr>
          <w:b/>
        </w:rPr>
        <w:t>simulées</w:t>
      </w:r>
      <w:r>
        <w:t xml:space="preserve"> : elle porte un statut distinct, </w:t>
      </w:r>
      <w:r>
        <w:rPr>
          <w:rFonts w:ascii="Consolas" w:hAnsi="Consolas"/>
          <w:color w:val="8A2B2B"/>
          <w:sz w:val="18"/>
        </w:rPr>
        <w:t>CALIBRATED_SYNTHETIC</w:t>
      </w:r>
      <w:r>
        <w:t>, et l'outil signale son origine partout où la probabilité est restituée. L'usage de ce score pour IFRS 9, la tarification ou le capital réglementaire reste exclu jusqu'à une calibration sur défauts observés, validée indépendamment. C'est une position volontairement prudente : un score expert présenté comme une probabilité de défaut exposerait l'établissement à une critique immédiate de la validation indépendante et du superviseur. La calibration viendra de l'historique que ce dispositif permettra précisément de constituer.</w:t>
      </w:r>
    </w:p>
    <w:p>
      <w:r>
        <w:rPr>
          <w:b/>
        </w:rPr>
        <w:t>Les cinq finalités restent séparées.</w:t>
      </w:r>
      <w:r>
        <w:t xml:space="preserve"> La notation de la contrepartie, la décision de crédit, la classification réglementaire, le staging IFRS 9 et le calcul de capital sont cinq moteurs distincts. Une garantie peut réduire la perte en cas de défaut, sécuriser une décision ou modifier une pondération prudentielle ; elle ne rend jamais l'emprunteur intrinsèquement meilleur. Cette séparation, structurante pour l'architecture, est la principale différence avec des outils de place qui agrègent tout dans un score unique.</w:t>
      </w:r>
    </w:p>
    <w:p>
      <w:r>
        <w:t>À ce stade, la notation interne est opérationnelle et testée. Les quatre autres moteurs sont spécifiés et attendent la validation du corpus réglementaire pour être implémentés — aucune règle réglementaire n'a été codée sans preuve documentaire.</w:t>
      </w:r>
    </w:p>
    <w:p>
      <w:pPr>
        <w:pStyle w:val="Heading2"/>
      </w:pPr>
      <w:r>
        <w:t>2. Décisions sollicitées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386"/>
            <w:shd w:val="clear" w:fill="0F3D63"/>
          </w:tcPr>
          <w:p>
            <w:pPr>
              <w:spacing w:after="40" w:before="40"/>
            </w:pPr>
            <w:r>
              <w:rPr>
                <w:color w:val="FFFFFF"/>
                <w:sz w:val="17"/>
              </w:rPr>
            </w:r>
            <w:r>
              <w:rPr>
                <w:b/>
                <w:color w:val="FFFFFF"/>
                <w:sz w:val="17"/>
              </w:rPr>
              <w:t>#</w:t>
            </w:r>
          </w:p>
        </w:tc>
        <w:tc>
          <w:tcPr>
            <w:tcW w:type="dxa" w:w="3862"/>
            <w:shd w:val="clear" w:fill="0F3D63"/>
          </w:tcPr>
          <w:p>
            <w:pPr>
              <w:spacing w:after="40" w:before="40"/>
            </w:pPr>
            <w:r>
              <w:rPr>
                <w:color w:val="FFFFFF"/>
                <w:sz w:val="17"/>
              </w:rPr>
            </w:r>
            <w:r>
              <w:rPr>
                <w:b/>
                <w:color w:val="FFFFFF"/>
                <w:sz w:val="17"/>
              </w:rPr>
              <w:t>Décision</w:t>
            </w:r>
          </w:p>
        </w:tc>
        <w:tc>
          <w:tcPr>
            <w:tcW w:type="dxa" w:w="1352"/>
            <w:shd w:val="clear" w:fill="0F3D63"/>
          </w:tcPr>
          <w:p>
            <w:pPr>
              <w:spacing w:after="40" w:before="40"/>
            </w:pPr>
            <w:r>
              <w:rPr>
                <w:color w:val="FFFFFF"/>
                <w:sz w:val="17"/>
              </w:rPr>
            </w:r>
            <w:r>
              <w:rPr>
                <w:b/>
                <w:color w:val="FFFFFF"/>
                <w:sz w:val="17"/>
              </w:rPr>
              <w:t>Instance</w:t>
            </w:r>
          </w:p>
        </w:tc>
        <w:tc>
          <w:tcPr>
            <w:tcW w:type="dxa" w:w="3862"/>
            <w:shd w:val="clear" w:fill="0F3D63"/>
          </w:tcPr>
          <w:p>
            <w:pPr>
              <w:spacing w:after="40" w:before="40"/>
            </w:pPr>
            <w:r>
              <w:rPr>
                <w:color w:val="FFFFFF"/>
                <w:sz w:val="17"/>
              </w:rPr>
            </w:r>
            <w:r>
              <w:rPr>
                <w:b/>
                <w:color w:val="FFFFFF"/>
                <w:sz w:val="17"/>
              </w:rPr>
              <w:t>Impact si différée</w:t>
            </w:r>
          </w:p>
        </w:tc>
      </w:tr>
      <w:tr>
        <w:tc>
          <w:tcPr>
            <w:tcW w:type="dxa" w:w="386"/>
          </w:tcPr>
          <w:p>
            <w:pPr>
              <w:spacing w:after="40" w:before="40"/>
            </w:pPr>
            <w:r>
              <w:rPr>
                <w:sz w:val="17"/>
              </w:rPr>
            </w:r>
            <w:r>
              <w:rPr>
                <w:sz w:val="17"/>
              </w:rPr>
              <w:t>1</w:t>
            </w:r>
          </w:p>
        </w:tc>
        <w:tc>
          <w:tcPr>
            <w:tcW w:type="dxa" w:w="3862"/>
          </w:tcPr>
          <w:p>
            <w:pPr>
              <w:spacing w:after="40" w:before="40"/>
            </w:pPr>
            <w:r>
              <w:rPr>
                <w:sz w:val="17"/>
              </w:rPr>
            </w:r>
            <w:r>
              <w:rPr>
                <w:sz w:val="17"/>
              </w:rPr>
              <w:t>Approuver le périmètre : contreparties entreprises non financières, hors financements spécialisés et entités à dynamique de défaut différente</w:t>
            </w:r>
          </w:p>
        </w:tc>
        <w:tc>
          <w:tcPr>
            <w:tcW w:type="dxa" w:w="1352"/>
          </w:tcPr>
          <w:p>
            <w:pPr>
              <w:spacing w:after="40" w:before="40"/>
            </w:pPr>
            <w:r>
              <w:rPr>
                <w:sz w:val="17"/>
              </w:rPr>
            </w:r>
            <w:r>
              <w:rPr>
                <w:sz w:val="17"/>
              </w:rPr>
              <w:t>Comité modèles</w:t>
            </w:r>
          </w:p>
        </w:tc>
        <w:tc>
          <w:tcPr>
            <w:tcW w:type="dxa" w:w="3862"/>
          </w:tcPr>
          <w:p>
            <w:pPr>
              <w:spacing w:after="40" w:before="40"/>
            </w:pPr>
            <w:r>
              <w:rPr>
                <w:sz w:val="17"/>
              </w:rPr>
            </w:r>
            <w:r>
              <w:rPr>
                <w:sz w:val="17"/>
              </w:rPr>
              <w:t>Risque de noter des contreparties avec un modèle inadapté</w:t>
            </w:r>
          </w:p>
        </w:tc>
      </w:tr>
      <w:tr>
        <w:tc>
          <w:tcPr>
            <w:tcW w:type="dxa" w:w="386"/>
            <w:shd w:val="clear" w:fill="F2F5F8"/>
          </w:tcPr>
          <w:p>
            <w:pPr>
              <w:spacing w:after="40" w:before="40"/>
            </w:pPr>
            <w:r>
              <w:rPr>
                <w:sz w:val="17"/>
              </w:rPr>
            </w:r>
            <w:r>
              <w:rPr>
                <w:sz w:val="17"/>
              </w:rPr>
              <w:t>2</w:t>
            </w:r>
          </w:p>
        </w:tc>
        <w:tc>
          <w:tcPr>
            <w:tcW w:type="dxa" w:w="3862"/>
            <w:shd w:val="clear" w:fill="F2F5F8"/>
          </w:tcPr>
          <w:p>
            <w:pPr>
              <w:spacing w:after="40" w:before="40"/>
            </w:pPr>
            <w:r>
              <w:rPr>
                <w:sz w:val="17"/>
              </w:rPr>
            </w:r>
            <w:r>
              <w:rPr>
                <w:sz w:val="17"/>
              </w:rPr>
              <w:t>Confirmer les seuils de segmentation TPE / PME / GE depuis le corpus applicable</w:t>
            </w:r>
          </w:p>
        </w:tc>
        <w:tc>
          <w:tcPr>
            <w:tcW w:type="dxa" w:w="1352"/>
            <w:shd w:val="clear" w:fill="F2F5F8"/>
          </w:tcPr>
          <w:p>
            <w:pPr>
              <w:spacing w:after="40" w:before="40"/>
            </w:pPr>
            <w:r>
              <w:rPr>
                <w:sz w:val="17"/>
              </w:rPr>
            </w:r>
            <w:r>
              <w:rPr>
                <w:sz w:val="17"/>
              </w:rPr>
              <w:t>Risques et Conformité</w:t>
            </w:r>
          </w:p>
        </w:tc>
        <w:tc>
          <w:tcPr>
            <w:tcW w:type="dxa" w:w="3862"/>
            <w:shd w:val="clear" w:fill="F2F5F8"/>
          </w:tcPr>
          <w:p>
            <w:pPr>
              <w:spacing w:after="40" w:before="40"/>
            </w:pPr>
            <w:r>
              <w:rPr>
                <w:sz w:val="17"/>
              </w:rPr>
            </w:r>
            <w:r>
              <w:rPr>
                <w:sz w:val="17"/>
              </w:rPr>
              <w:t>La segmentation reste une hypothèse ; les pondérations par segment ne sont pas opposables</w:t>
            </w:r>
          </w:p>
        </w:tc>
      </w:tr>
      <w:tr>
        <w:tc>
          <w:tcPr>
            <w:tcW w:type="dxa" w:w="386"/>
          </w:tcPr>
          <w:p>
            <w:pPr>
              <w:spacing w:after="40" w:before="40"/>
            </w:pPr>
            <w:r>
              <w:rPr>
                <w:sz w:val="17"/>
              </w:rPr>
            </w:r>
            <w:r>
              <w:rPr>
                <w:sz w:val="17"/>
              </w:rPr>
              <w:t>3</w:t>
            </w:r>
          </w:p>
        </w:tc>
        <w:tc>
          <w:tcPr>
            <w:tcW w:type="dxa" w:w="3862"/>
          </w:tcPr>
          <w:p>
            <w:pPr>
              <w:spacing w:after="40" w:before="40"/>
            </w:pPr>
            <w:r>
              <w:rPr>
                <w:sz w:val="17"/>
              </w:rPr>
            </w:r>
            <w:r>
              <w:rPr>
                <w:sz w:val="17"/>
              </w:rPr>
              <w:t>Approuver la définition du défaut, les règles de guérison et de rechute</w:t>
            </w:r>
          </w:p>
        </w:tc>
        <w:tc>
          <w:tcPr>
            <w:tcW w:type="dxa" w:w="1352"/>
          </w:tcPr>
          <w:p>
            <w:pPr>
              <w:spacing w:after="40" w:before="40"/>
            </w:pPr>
            <w:r>
              <w:rPr>
                <w:sz w:val="17"/>
              </w:rPr>
            </w:r>
            <w:r>
              <w:rPr>
                <w:sz w:val="17"/>
              </w:rPr>
              <w:t>Risques et Finance</w:t>
            </w:r>
          </w:p>
        </w:tc>
        <w:tc>
          <w:tcPr>
            <w:tcW w:type="dxa" w:w="3862"/>
          </w:tcPr>
          <w:p>
            <w:pPr>
              <w:spacing w:after="40" w:before="40"/>
            </w:pPr>
            <w:r>
              <w:rPr>
                <w:sz w:val="17"/>
              </w:rPr>
            </w:r>
            <w:r>
              <w:rPr>
                <w:sz w:val="17"/>
              </w:rPr>
              <w:t>Bloque la calibration et la cohérence avec IFRS 9</w:t>
            </w:r>
          </w:p>
        </w:tc>
      </w:tr>
      <w:tr>
        <w:tc>
          <w:tcPr>
            <w:tcW w:type="dxa" w:w="386"/>
            <w:shd w:val="clear" w:fill="F2F5F8"/>
          </w:tcPr>
          <w:p>
            <w:pPr>
              <w:spacing w:after="40" w:before="40"/>
            </w:pPr>
            <w:r>
              <w:rPr>
                <w:sz w:val="17"/>
              </w:rPr>
            </w:r>
            <w:r>
              <w:rPr>
                <w:sz w:val="17"/>
              </w:rPr>
              <w:t>4</w:t>
            </w:r>
          </w:p>
        </w:tc>
        <w:tc>
          <w:tcPr>
            <w:tcW w:type="dxa" w:w="3862"/>
            <w:shd w:val="clear" w:fill="F2F5F8"/>
          </w:tcPr>
          <w:p>
            <w:pPr>
              <w:spacing w:after="40" w:before="40"/>
            </w:pPr>
            <w:r>
              <w:rPr>
                <w:sz w:val="17"/>
              </w:rPr>
            </w:r>
            <w:r>
              <w:rPr>
                <w:sz w:val="17"/>
              </w:rPr>
              <w:t>Valider les formules financières et les retraitements</w:t>
            </w:r>
          </w:p>
        </w:tc>
        <w:tc>
          <w:tcPr>
            <w:tcW w:type="dxa" w:w="1352"/>
            <w:shd w:val="clear" w:fill="F2F5F8"/>
          </w:tcPr>
          <w:p>
            <w:pPr>
              <w:spacing w:after="40" w:before="40"/>
            </w:pPr>
            <w:r>
              <w:rPr>
                <w:sz w:val="17"/>
              </w:rPr>
            </w:r>
            <w:r>
              <w:rPr>
                <w:sz w:val="17"/>
              </w:rPr>
              <w:t>Risques et Finance</w:t>
            </w:r>
          </w:p>
        </w:tc>
        <w:tc>
          <w:tcPr>
            <w:tcW w:type="dxa" w:w="3862"/>
            <w:shd w:val="clear" w:fill="F2F5F8"/>
          </w:tcPr>
          <w:p>
            <w:pPr>
              <w:spacing w:after="40" w:before="40"/>
            </w:pPr>
            <w:r>
              <w:rPr>
                <w:sz w:val="17"/>
              </w:rPr>
            </w:r>
            <w:r>
              <w:rPr>
                <w:sz w:val="17"/>
              </w:rPr>
              <w:t>Les ratios ne sont pas comparables entre dossiers</w:t>
            </w:r>
          </w:p>
        </w:tc>
      </w:tr>
      <w:tr>
        <w:tc>
          <w:tcPr>
            <w:tcW w:type="dxa" w:w="386"/>
          </w:tcPr>
          <w:p>
            <w:pPr>
              <w:spacing w:after="40" w:before="40"/>
            </w:pPr>
            <w:r>
              <w:rPr>
                <w:sz w:val="17"/>
              </w:rPr>
            </w:r>
            <w:r>
              <w:rPr>
                <w:sz w:val="17"/>
              </w:rPr>
              <w:t>5</w:t>
            </w:r>
          </w:p>
        </w:tc>
        <w:tc>
          <w:tcPr>
            <w:tcW w:type="dxa" w:w="3862"/>
          </w:tcPr>
          <w:p>
            <w:pPr>
              <w:spacing w:after="40" w:before="40"/>
            </w:pPr>
            <w:r>
              <w:rPr>
                <w:sz w:val="17"/>
              </w:rPr>
            </w:r>
            <w:r>
              <w:rPr>
                <w:sz w:val="17"/>
              </w:rPr>
              <w:t>Challenger pondérations et seuils sur le portefeuille existant</w:t>
            </w:r>
          </w:p>
        </w:tc>
        <w:tc>
          <w:tcPr>
            <w:tcW w:type="dxa" w:w="1352"/>
          </w:tcPr>
          <w:p>
            <w:pPr>
              <w:spacing w:after="40" w:before="40"/>
            </w:pPr>
            <w:r>
              <w:rPr>
                <w:sz w:val="17"/>
              </w:rPr>
            </w:r>
            <w:r>
              <w:rPr>
                <w:sz w:val="17"/>
              </w:rPr>
              <w:t>Risques et Validation</w:t>
            </w:r>
          </w:p>
        </w:tc>
        <w:tc>
          <w:tcPr>
            <w:tcW w:type="dxa" w:w="3862"/>
          </w:tcPr>
          <w:p>
            <w:pPr>
              <w:spacing w:after="40" w:before="40"/>
            </w:pPr>
            <w:r>
              <w:rPr>
                <w:sz w:val="17"/>
              </w:rPr>
            </w:r>
            <w:r>
              <w:rPr>
                <w:sz w:val="17"/>
              </w:rPr>
              <w:t>Le modèle reste une opinion experte non testée</w:t>
            </w:r>
          </w:p>
        </w:tc>
      </w:tr>
      <w:tr>
        <w:tc>
          <w:tcPr>
            <w:tcW w:type="dxa" w:w="386"/>
            <w:shd w:val="clear" w:fill="F2F5F8"/>
          </w:tcPr>
          <w:p>
            <w:pPr>
              <w:spacing w:after="40" w:before="40"/>
            </w:pPr>
            <w:r>
              <w:rPr>
                <w:sz w:val="17"/>
              </w:rPr>
            </w:r>
            <w:r>
              <w:rPr>
                <w:sz w:val="17"/>
              </w:rPr>
              <w:t>6</w:t>
            </w:r>
          </w:p>
        </w:tc>
        <w:tc>
          <w:tcPr>
            <w:tcW w:type="dxa" w:w="3862"/>
            <w:shd w:val="clear" w:fill="F2F5F8"/>
          </w:tcPr>
          <w:p>
            <w:pPr>
              <w:spacing w:after="40" w:before="40"/>
            </w:pPr>
            <w:r>
              <w:rPr>
                <w:sz w:val="17"/>
              </w:rPr>
            </w:r>
            <w:r>
              <w:rPr>
                <w:sz w:val="17"/>
              </w:rPr>
              <w:t>Arbitrer entre modèle TPE standard et modèle TPE comportemental</w:t>
            </w:r>
          </w:p>
        </w:tc>
        <w:tc>
          <w:tcPr>
            <w:tcW w:type="dxa" w:w="1352"/>
            <w:shd w:val="clear" w:fill="F2F5F8"/>
          </w:tcPr>
          <w:p>
            <w:pPr>
              <w:spacing w:after="40" w:before="40"/>
            </w:pPr>
            <w:r>
              <w:rPr>
                <w:sz w:val="17"/>
              </w:rPr>
            </w:r>
            <w:r>
              <w:rPr>
                <w:sz w:val="17"/>
              </w:rPr>
              <w:t>Comité modèles</w:t>
            </w:r>
          </w:p>
        </w:tc>
        <w:tc>
          <w:tcPr>
            <w:tcW w:type="dxa" w:w="3862"/>
            <w:shd w:val="clear" w:fill="F2F5F8"/>
          </w:tcPr>
          <w:p>
            <w:pPr>
              <w:spacing w:after="40" w:before="40"/>
            </w:pPr>
            <w:r>
              <w:rPr>
                <w:sz w:val="17"/>
              </w:rPr>
            </w:r>
            <w:r>
              <w:rPr>
                <w:sz w:val="17"/>
              </w:rPr>
              <w:t>Les TPE mal documentées reçoivent un traitement inadapté</w:t>
            </w:r>
          </w:p>
        </w:tc>
      </w:tr>
      <w:tr>
        <w:tc>
          <w:tcPr>
            <w:tcW w:type="dxa" w:w="386"/>
          </w:tcPr>
          <w:p>
            <w:pPr>
              <w:spacing w:after="40" w:before="40"/>
            </w:pPr>
            <w:r>
              <w:rPr>
                <w:sz w:val="17"/>
              </w:rPr>
            </w:r>
            <w:r>
              <w:rPr>
                <w:sz w:val="17"/>
              </w:rPr>
              <w:t>7</w:t>
            </w:r>
          </w:p>
        </w:tc>
        <w:tc>
          <w:tcPr>
            <w:tcW w:type="dxa" w:w="3862"/>
          </w:tcPr>
          <w:p>
            <w:pPr>
              <w:spacing w:after="40" w:before="40"/>
            </w:pPr>
            <w:r>
              <w:rPr>
                <w:sz w:val="17"/>
              </w:rPr>
            </w:r>
            <w:r>
              <w:rPr>
                <w:sz w:val="17"/>
              </w:rPr>
              <w:t>Approuver caps, red flags et politique de données manquantes</w:t>
            </w:r>
          </w:p>
        </w:tc>
        <w:tc>
          <w:tcPr>
            <w:tcW w:type="dxa" w:w="1352"/>
          </w:tcPr>
          <w:p>
            <w:pPr>
              <w:spacing w:after="40" w:before="40"/>
            </w:pPr>
            <w:r>
              <w:rPr>
                <w:sz w:val="17"/>
              </w:rPr>
            </w:r>
            <w:r>
              <w:rPr>
                <w:sz w:val="17"/>
              </w:rPr>
              <w:t>Risques</w:t>
            </w:r>
          </w:p>
        </w:tc>
        <w:tc>
          <w:tcPr>
            <w:tcW w:type="dxa" w:w="3862"/>
          </w:tcPr>
          <w:p>
            <w:pPr>
              <w:spacing w:after="40" w:before="40"/>
            </w:pPr>
            <w:r>
              <w:rPr>
                <w:sz w:val="17"/>
              </w:rPr>
            </w:r>
            <w:r>
              <w:rPr>
                <w:sz w:val="17"/>
              </w:rPr>
              <w:t>Les garde-fous restent des propositions</w:t>
            </w:r>
          </w:p>
        </w:tc>
      </w:tr>
      <w:tr>
        <w:tc>
          <w:tcPr>
            <w:tcW w:type="dxa" w:w="386"/>
            <w:shd w:val="clear" w:fill="F2F5F8"/>
          </w:tcPr>
          <w:p>
            <w:pPr>
              <w:spacing w:after="40" w:before="40"/>
            </w:pPr>
            <w:r>
              <w:rPr>
                <w:sz w:val="17"/>
              </w:rPr>
            </w:r>
            <w:r>
              <w:rPr>
                <w:sz w:val="17"/>
              </w:rPr>
              <w:t>8</w:t>
            </w:r>
          </w:p>
        </w:tc>
        <w:tc>
          <w:tcPr>
            <w:tcW w:type="dxa" w:w="3862"/>
            <w:shd w:val="clear" w:fill="F2F5F8"/>
          </w:tcPr>
          <w:p>
            <w:pPr>
              <w:spacing w:after="40" w:before="40"/>
            </w:pPr>
            <w:r>
              <w:rPr>
                <w:sz w:val="17"/>
              </w:rPr>
            </w:r>
            <w:r>
              <w:rPr>
                <w:sz w:val="17"/>
              </w:rPr>
              <w:t>Valider l'échelle interne et les règles de dérogation</w:t>
            </w:r>
          </w:p>
        </w:tc>
        <w:tc>
          <w:tcPr>
            <w:tcW w:type="dxa" w:w="1352"/>
            <w:shd w:val="clear" w:fill="F2F5F8"/>
          </w:tcPr>
          <w:p>
            <w:pPr>
              <w:spacing w:after="40" w:before="40"/>
            </w:pPr>
            <w:r>
              <w:rPr>
                <w:sz w:val="17"/>
              </w:rPr>
            </w:r>
            <w:r>
              <w:rPr>
                <w:sz w:val="17"/>
              </w:rPr>
              <w:t>Comité modèles</w:t>
            </w:r>
          </w:p>
        </w:tc>
        <w:tc>
          <w:tcPr>
            <w:tcW w:type="dxa" w:w="3862"/>
            <w:shd w:val="clear" w:fill="F2F5F8"/>
          </w:tcPr>
          <w:p>
            <w:pPr>
              <w:spacing w:after="40" w:before="40"/>
            </w:pPr>
            <w:r>
              <w:rPr>
                <w:sz w:val="17"/>
              </w:rPr>
            </w:r>
            <w:r>
              <w:rPr>
                <w:sz w:val="17"/>
              </w:rPr>
              <w:t>Pas de référentiel commun de communication du risque</w:t>
            </w:r>
          </w:p>
        </w:tc>
      </w:tr>
      <w:tr>
        <w:tc>
          <w:tcPr>
            <w:tcW w:type="dxa" w:w="386"/>
          </w:tcPr>
          <w:p>
            <w:pPr>
              <w:spacing w:after="40" w:before="40"/>
            </w:pPr>
            <w:r>
              <w:rPr>
                <w:sz w:val="17"/>
              </w:rPr>
            </w:r>
            <w:r>
              <w:rPr>
                <w:sz w:val="17"/>
              </w:rPr>
              <w:t>9</w:t>
            </w:r>
          </w:p>
        </w:tc>
        <w:tc>
          <w:tcPr>
            <w:tcW w:type="dxa" w:w="3862"/>
          </w:tcPr>
          <w:p>
            <w:pPr>
              <w:spacing w:after="40" w:before="40"/>
            </w:pPr>
            <w:r>
              <w:rPr>
                <w:sz w:val="17"/>
              </w:rPr>
            </w:r>
            <w:r>
              <w:rPr>
                <w:sz w:val="17"/>
              </w:rPr>
              <w:t>Approuver le plan de calibration et de validation indépendante</w:t>
            </w:r>
          </w:p>
        </w:tc>
        <w:tc>
          <w:tcPr>
            <w:tcW w:type="dxa" w:w="1352"/>
          </w:tcPr>
          <w:p>
            <w:pPr>
              <w:spacing w:after="40" w:before="40"/>
            </w:pPr>
            <w:r>
              <w:rPr>
                <w:sz w:val="17"/>
              </w:rPr>
            </w:r>
            <w:r>
              <w:rPr>
                <w:sz w:val="17"/>
              </w:rPr>
              <w:t>Comité modèles</w:t>
            </w:r>
          </w:p>
        </w:tc>
        <w:tc>
          <w:tcPr>
            <w:tcW w:type="dxa" w:w="3862"/>
          </w:tcPr>
          <w:p>
            <w:pPr>
              <w:spacing w:after="40" w:before="40"/>
            </w:pPr>
            <w:r>
              <w:rPr>
                <w:sz w:val="17"/>
              </w:rPr>
            </w:r>
            <w:r>
              <w:rPr>
                <w:sz w:val="17"/>
              </w:rPr>
              <w:t>Le statut non calibré ne pourra jamais évoluer</w:t>
            </w:r>
          </w:p>
        </w:tc>
      </w:tr>
      <w:tr>
        <w:tc>
          <w:tcPr>
            <w:tcW w:type="dxa" w:w="386"/>
            <w:shd w:val="clear" w:fill="F2F5F8"/>
          </w:tcPr>
          <w:p>
            <w:pPr>
              <w:spacing w:after="40" w:before="40"/>
            </w:pPr>
            <w:r>
              <w:rPr>
                <w:sz w:val="17"/>
              </w:rPr>
            </w:r>
            <w:r>
              <w:rPr>
                <w:sz w:val="17"/>
              </w:rPr>
              <w:t>10</w:t>
            </w:r>
          </w:p>
        </w:tc>
        <w:tc>
          <w:tcPr>
            <w:tcW w:type="dxa" w:w="3862"/>
            <w:shd w:val="clear" w:fill="F2F5F8"/>
          </w:tcPr>
          <w:p>
            <w:pPr>
              <w:spacing w:after="40" w:before="40"/>
            </w:pPr>
            <w:r>
              <w:rPr>
                <w:sz w:val="17"/>
              </w:rPr>
            </w:r>
            <w:r>
              <w:rPr>
                <w:sz w:val="17"/>
              </w:rPr>
              <w:t>Autoriser un pilote en mode fantôme avant tout usage contraignant</w:t>
            </w:r>
          </w:p>
        </w:tc>
        <w:tc>
          <w:tcPr>
            <w:tcW w:type="dxa" w:w="1352"/>
            <w:shd w:val="clear" w:fill="F2F5F8"/>
          </w:tcPr>
          <w:p>
            <w:pPr>
              <w:spacing w:after="40" w:before="40"/>
            </w:pPr>
            <w:r>
              <w:rPr>
                <w:sz w:val="17"/>
              </w:rPr>
            </w:r>
            <w:r>
              <w:rPr>
                <w:sz w:val="17"/>
              </w:rPr>
              <w:t>Direction générale</w:t>
            </w:r>
          </w:p>
        </w:tc>
        <w:tc>
          <w:tcPr>
            <w:tcW w:type="dxa" w:w="3862"/>
            <w:shd w:val="clear" w:fill="F2F5F8"/>
          </w:tcPr>
          <w:p>
            <w:pPr>
              <w:spacing w:after="40" w:before="40"/>
            </w:pPr>
            <w:r>
              <w:rPr>
                <w:sz w:val="17"/>
              </w:rPr>
            </w:r>
            <w:r>
              <w:rPr>
                <w:sz w:val="17"/>
              </w:rPr>
              <w:t>Mise en production sans mesure d'impact</w:t>
            </w:r>
          </w:p>
        </w:tc>
      </w:tr>
    </w:tbl>
    <w:p>
      <w:pPr>
        <w:spacing w:after="80"/>
      </w:pPr>
    </w:p>
    <w:p>
      <w:pPr>
        <w:pStyle w:val="Heading2"/>
      </w:pPr>
      <w:r>
        <w:t>3. Proposition de valeur</w:t>
      </w:r>
    </w:p>
    <w:p>
      <w:r>
        <w:rPr>
          <w:b/>
        </w:rPr>
        <w:t>Homogénéité.</w:t>
      </w:r>
      <w:r>
        <w:t xml:space="preserve"> Un dossier identique produit la même note quel que soit l'analyste, l'agence ou la date, dès lors que les données et la version de modèle sont identiques. Cette propriété est garantie par construction et vérifiée par des tests automatisés.</w:t>
      </w:r>
    </w:p>
    <w:p>
      <w:r>
        <w:rPr>
          <w:b/>
        </w:rPr>
        <w:t>Explicabilité.</w:t>
      </w:r>
      <w:r>
        <w:t xml:space="preserve"> Chaque note se décompose en sept scores de domaine, puis en 45 contributions élémentaires, chacune accompagnée de la valeur source, de la bande retenue, du poids appliqué et d'une explication en langue naturelle. Un analyste peut justifier une note ligne à ligne devant un client, un comité ou un auditeur.</w:t>
      </w:r>
    </w:p>
    <w:p>
      <w:r>
        <w:rPr>
          <w:b/>
        </w:rPr>
        <w:t>Traçabilité.</w:t>
      </w:r>
      <w:r>
        <w:t xml:space="preserve"> Chaque exécution enregistre un instantané immuable des données d'entrée, les versions de modèle et de moteur, la date d'arrêté, l'identité du demandeur et le résultat complet. Une décision vieille de trois ans peut être rejouée avec la règle exacte alors en vigueur.</w:t>
      </w:r>
    </w:p>
    <w:p>
      <w:r>
        <w:rPr>
          <w:b/>
        </w:rPr>
        <w:t>Constitution de l'historique.</w:t>
      </w:r>
      <w:r>
        <w:t xml:space="preserve"> En imposant une collecte structurée des mêmes 45 critères sur l'ensemble du portefeuille, le dispositif construit la base de données qui rendra possible, dans dix-huit à vingt-quatre mois, l'estimation d'une probabilité de défaut propre à la banque.</w:t>
      </w:r>
    </w:p>
    <w:p>
      <w:r>
        <w:rPr>
          <w:b/>
        </w:rPr>
        <w:t>Détection précoce.</w:t>
      </w:r>
      <w:r>
        <w:t xml:space="preserve"> Le domaine comportemental, prépondérant sur la TPE et la PME, s'appuie sur des données bancaires disponibles mensuellement, alors que les états financiers arrivent avec plusieurs mois de décalage.</w:t>
      </w:r>
    </w:p>
    <w:p>
      <w:r>
        <w:rPr>
          <w:b/>
        </w:rPr>
        <w:t>Ouverture.</w:t>
      </w:r>
      <w:r>
        <w:t xml:space="preserve"> L'interface de programmation permet au système bancaire central d'alimenter l'outil et de récupérer les notations, sans double saisie ni interface manuelle.</w:t>
      </w:r>
    </w:p>
    <w:p>
      <w:pPr>
        <w:pStyle w:val="Heading2"/>
      </w:pPr>
      <w:r>
        <w:t>4. Choix structurants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3420"/>
            <w:shd w:val="clear" w:fill="0F3D63"/>
          </w:tcPr>
          <w:p>
            <w:pPr>
              <w:spacing w:after="40" w:before="40"/>
            </w:pPr>
            <w:r>
              <w:rPr>
                <w:color w:val="FFFFFF"/>
                <w:sz w:val="17"/>
              </w:rPr>
            </w:r>
            <w:r>
              <w:rPr>
                <w:b/>
                <w:color w:val="FFFFFF"/>
                <w:sz w:val="17"/>
              </w:rPr>
              <w:t>Choix</w:t>
            </w:r>
          </w:p>
        </w:tc>
        <w:tc>
          <w:tcPr>
            <w:tcW w:type="dxa" w:w="2622"/>
            <w:shd w:val="clear" w:fill="0F3D63"/>
          </w:tcPr>
          <w:p>
            <w:pPr>
              <w:spacing w:after="40" w:before="40"/>
            </w:pPr>
            <w:r>
              <w:rPr>
                <w:color w:val="FFFFFF"/>
                <w:sz w:val="17"/>
              </w:rPr>
            </w:r>
            <w:r>
              <w:rPr>
                <w:b/>
                <w:color w:val="FFFFFF"/>
                <w:sz w:val="17"/>
              </w:rPr>
              <w:t>Alternative écartée</w:t>
            </w:r>
          </w:p>
        </w:tc>
        <w:tc>
          <w:tcPr>
            <w:tcW w:type="dxa" w:w="3420"/>
            <w:shd w:val="clear" w:fill="0F3D63"/>
          </w:tcPr>
          <w:p>
            <w:pPr>
              <w:spacing w:after="40" w:before="40"/>
            </w:pPr>
            <w:r>
              <w:rPr>
                <w:color w:val="FFFFFF"/>
                <w:sz w:val="17"/>
              </w:rPr>
            </w:r>
            <w:r>
              <w:rPr>
                <w:b/>
                <w:color w:val="FFFFFF"/>
                <w:sz w:val="17"/>
              </w:rPr>
              <w:t>Motif</w:t>
            </w:r>
          </w:p>
        </w:tc>
      </w:tr>
      <w:tr>
        <w:tc>
          <w:tcPr>
            <w:tcW w:type="dxa" w:w="3420"/>
          </w:tcPr>
          <w:p>
            <w:pPr>
              <w:spacing w:after="40" w:before="40"/>
            </w:pPr>
            <w:r>
              <w:rPr>
                <w:sz w:val="17"/>
              </w:rPr>
            </w:r>
            <w:r>
              <w:rPr>
                <w:sz w:val="17"/>
              </w:rPr>
              <w:t>Modèle expert transparent avant modèle statistique</w:t>
            </w:r>
          </w:p>
        </w:tc>
        <w:tc>
          <w:tcPr>
            <w:tcW w:type="dxa" w:w="2622"/>
          </w:tcPr>
          <w:p>
            <w:pPr>
              <w:spacing w:after="40" w:before="40"/>
            </w:pPr>
            <w:r>
              <w:rPr>
                <w:sz w:val="17"/>
              </w:rPr>
            </w:r>
            <w:r>
              <w:rPr>
                <w:sz w:val="17"/>
              </w:rPr>
              <w:t>Apprentissage automatique d'emblée</w:t>
            </w:r>
          </w:p>
        </w:tc>
        <w:tc>
          <w:tcPr>
            <w:tcW w:type="dxa" w:w="3420"/>
          </w:tcPr>
          <w:p>
            <w:pPr>
              <w:spacing w:after="40" w:before="40"/>
            </w:pPr>
            <w:r>
              <w:rPr>
                <w:sz w:val="17"/>
              </w:rPr>
            </w:r>
            <w:r>
              <w:rPr>
                <w:sz w:val="17"/>
              </w:rPr>
              <w:t>L'historique structuré n'existe pas encore ; un modèle appris sur des données non homogènes reproduirait les biais des pratiques passées</w:t>
            </w:r>
          </w:p>
        </w:tc>
      </w:tr>
      <w:tr>
        <w:tc>
          <w:tcPr>
            <w:tcW w:type="dxa" w:w="3420"/>
            <w:shd w:val="clear" w:fill="F2F5F8"/>
          </w:tcPr>
          <w:p>
            <w:pPr>
              <w:spacing w:after="40" w:before="40"/>
            </w:pPr>
            <w:r>
              <w:rPr>
                <w:sz w:val="17"/>
              </w:rPr>
            </w:r>
            <w:r>
              <w:rPr>
                <w:sz w:val="17"/>
              </w:rPr>
              <w:t>Statut de probabilité de défaut non calibré, techniquement bloquant</w:t>
            </w:r>
          </w:p>
        </w:tc>
        <w:tc>
          <w:tcPr>
            <w:tcW w:type="dxa" w:w="2622"/>
            <w:shd w:val="clear" w:fill="F2F5F8"/>
          </w:tcPr>
          <w:p>
            <w:pPr>
              <w:spacing w:after="40" w:before="40"/>
            </w:pPr>
            <w:r>
              <w:rPr>
                <w:sz w:val="17"/>
              </w:rPr>
            </w:r>
            <w:r>
              <w:rPr>
                <w:sz w:val="17"/>
              </w:rPr>
              <w:t>Publier une correspondance grade–PD indicative</w:t>
            </w:r>
          </w:p>
        </w:tc>
        <w:tc>
          <w:tcPr>
            <w:tcW w:type="dxa" w:w="3420"/>
            <w:shd w:val="clear" w:fill="F2F5F8"/>
          </w:tcPr>
          <w:p>
            <w:pPr>
              <w:spacing w:after="40" w:before="40"/>
            </w:pPr>
            <w:r>
              <w:rPr>
                <w:sz w:val="17"/>
              </w:rPr>
            </w:r>
            <w:r>
              <w:rPr>
                <w:sz w:val="17"/>
              </w:rPr>
              <w:t>Une PD non calibrée utilisée en IFRS 9 ou en tarification constitue une faiblesse majeure en validation</w:t>
            </w:r>
          </w:p>
        </w:tc>
      </w:tr>
      <w:tr>
        <w:tc>
          <w:tcPr>
            <w:tcW w:type="dxa" w:w="3420"/>
          </w:tcPr>
          <w:p>
            <w:pPr>
              <w:spacing w:after="40" w:before="40"/>
            </w:pPr>
            <w:r>
              <w:rPr>
                <w:sz w:val="17"/>
              </w:rPr>
            </w:r>
            <w:r>
              <w:rPr>
                <w:sz w:val="17"/>
              </w:rPr>
              <w:t>Cinq moteurs séparés</w:t>
            </w:r>
          </w:p>
        </w:tc>
        <w:tc>
          <w:tcPr>
            <w:tcW w:type="dxa" w:w="2622"/>
          </w:tcPr>
          <w:p>
            <w:pPr>
              <w:spacing w:after="40" w:before="40"/>
            </w:pPr>
            <w:r>
              <w:rPr>
                <w:sz w:val="17"/>
              </w:rPr>
            </w:r>
            <w:r>
              <w:rPr>
                <w:sz w:val="17"/>
              </w:rPr>
              <w:t>Score unique agrégeant tout</w:t>
            </w:r>
          </w:p>
        </w:tc>
        <w:tc>
          <w:tcPr>
            <w:tcW w:type="dxa" w:w="3420"/>
          </w:tcPr>
          <w:p>
            <w:pPr>
              <w:spacing w:after="40" w:before="40"/>
            </w:pPr>
            <w:r>
              <w:rPr>
                <w:sz w:val="17"/>
              </w:rPr>
            </w:r>
            <w:r>
              <w:rPr>
                <w:sz w:val="17"/>
              </w:rPr>
              <w:t>Un score qui mêle risque intrinsèque, garanties et classe réglementaire n'est ni auditable ni conforme</w:t>
            </w:r>
          </w:p>
        </w:tc>
      </w:tr>
      <w:tr>
        <w:tc>
          <w:tcPr>
            <w:tcW w:type="dxa" w:w="3420"/>
            <w:shd w:val="clear" w:fill="F2F5F8"/>
          </w:tcPr>
          <w:p>
            <w:pPr>
              <w:spacing w:after="40" w:before="40"/>
            </w:pPr>
            <w:r>
              <w:rPr>
                <w:sz w:val="17"/>
              </w:rPr>
            </w:r>
            <w:r>
              <w:rPr>
                <w:sz w:val="17"/>
              </w:rPr>
              <w:t>Score sur 0–100, 100 = meilleur</w:t>
            </w:r>
          </w:p>
        </w:tc>
        <w:tc>
          <w:tcPr>
            <w:tcW w:type="dxa" w:w="2622"/>
            <w:shd w:val="clear" w:fill="F2F5F8"/>
          </w:tcPr>
          <w:p>
            <w:pPr>
              <w:spacing w:after="40" w:before="40"/>
            </w:pPr>
            <w:r>
              <w:rPr>
                <w:sz w:val="17"/>
              </w:rPr>
            </w:r>
            <w:r>
              <w:rPr>
                <w:sz w:val="17"/>
              </w:rPr>
              <w:t>Échelle inversée</w:t>
            </w:r>
          </w:p>
        </w:tc>
        <w:tc>
          <w:tcPr>
            <w:tcW w:type="dxa" w:w="3420"/>
            <w:shd w:val="clear" w:fill="F2F5F8"/>
          </w:tcPr>
          <w:p>
            <w:pPr>
              <w:spacing w:after="40" w:before="40"/>
            </w:pPr>
            <w:r>
              <w:rPr>
                <w:sz w:val="17"/>
              </w:rPr>
            </w:r>
            <w:r>
              <w:rPr>
                <w:sz w:val="17"/>
              </w:rPr>
              <w:t>Convention plus lisible pour les métiers ; cohérente avec les outils existants de la banque</w:t>
            </w:r>
          </w:p>
        </w:tc>
      </w:tr>
      <w:tr>
        <w:tc>
          <w:tcPr>
            <w:tcW w:type="dxa" w:w="3420"/>
          </w:tcPr>
          <w:p>
            <w:pPr>
              <w:spacing w:after="40" w:before="40"/>
            </w:pPr>
            <w:r>
              <w:rPr>
                <w:sz w:val="17"/>
              </w:rPr>
            </w:r>
            <w:r>
              <w:rPr>
                <w:sz w:val="17"/>
              </w:rPr>
              <w:t>Scores élémentaires discrets 0/25/50/75/100</w:t>
            </w:r>
          </w:p>
        </w:tc>
        <w:tc>
          <w:tcPr>
            <w:tcW w:type="dxa" w:w="2622"/>
          </w:tcPr>
          <w:p>
            <w:pPr>
              <w:spacing w:after="40" w:before="40"/>
            </w:pPr>
            <w:r>
              <w:rPr>
                <w:sz w:val="17"/>
              </w:rPr>
            </w:r>
            <w:r>
              <w:rPr>
                <w:sz w:val="17"/>
              </w:rPr>
              <w:t>Score continu</w:t>
            </w:r>
          </w:p>
        </w:tc>
        <w:tc>
          <w:tcPr>
            <w:tcW w:type="dxa" w:w="3420"/>
          </w:tcPr>
          <w:p>
            <w:pPr>
              <w:spacing w:after="40" w:before="40"/>
            </w:pPr>
            <w:r>
              <w:rPr>
                <w:sz w:val="17"/>
              </w:rPr>
            </w:r>
            <w:r>
              <w:rPr>
                <w:sz w:val="17"/>
              </w:rPr>
              <w:t>Réduit la fausse précision, force l'ancrage sur des preuves observables, facilite la revue par un tiers</w:t>
            </w:r>
          </w:p>
        </w:tc>
      </w:tr>
      <w:tr>
        <w:tc>
          <w:tcPr>
            <w:tcW w:type="dxa" w:w="3420"/>
            <w:shd w:val="clear" w:fill="F2F5F8"/>
          </w:tcPr>
          <w:p>
            <w:pPr>
              <w:spacing w:after="40" w:before="40"/>
            </w:pPr>
            <w:r>
              <w:rPr>
                <w:sz w:val="17"/>
              </w:rPr>
            </w:r>
            <w:r>
              <w:rPr>
                <w:sz w:val="17"/>
              </w:rPr>
              <w:t>Caps plafonnant le grade sans modifier le score brut</w:t>
            </w:r>
          </w:p>
        </w:tc>
        <w:tc>
          <w:tcPr>
            <w:tcW w:type="dxa" w:w="2622"/>
            <w:shd w:val="clear" w:fill="F2F5F8"/>
          </w:tcPr>
          <w:p>
            <w:pPr>
              <w:spacing w:after="40" w:before="40"/>
            </w:pPr>
            <w:r>
              <w:rPr>
                <w:sz w:val="17"/>
              </w:rPr>
            </w:r>
            <w:r>
              <w:rPr>
                <w:sz w:val="17"/>
              </w:rPr>
              <w:t>Pénalités soustraites du score</w:t>
            </w:r>
          </w:p>
        </w:tc>
        <w:tc>
          <w:tcPr>
            <w:tcW w:type="dxa" w:w="3420"/>
            <w:shd w:val="clear" w:fill="F2F5F8"/>
          </w:tcPr>
          <w:p>
            <w:pPr>
              <w:spacing w:after="40" w:before="40"/>
            </w:pPr>
            <w:r>
              <w:rPr>
                <w:sz w:val="17"/>
              </w:rPr>
            </w:r>
            <w:r>
              <w:rPr>
                <w:sz w:val="17"/>
              </w:rPr>
              <w:t>Conserve la mesure brute pour le contrôle a posteriori et rend l'effet du cap explicite et réversible</w:t>
            </w:r>
          </w:p>
        </w:tc>
      </w:tr>
      <w:tr>
        <w:tc>
          <w:tcPr>
            <w:tcW w:type="dxa" w:w="3420"/>
          </w:tcPr>
          <w:p>
            <w:pPr>
              <w:spacing w:after="40" w:before="40"/>
            </w:pPr>
            <w:r>
              <w:rPr>
                <w:sz w:val="17"/>
              </w:rPr>
            </w:r>
            <w:r>
              <w:rPr>
                <w:sz w:val="17"/>
              </w:rPr>
              <w:t>Poids en points de base entiers</w:t>
            </w:r>
          </w:p>
        </w:tc>
        <w:tc>
          <w:tcPr>
            <w:tcW w:type="dxa" w:w="2622"/>
          </w:tcPr>
          <w:p>
            <w:pPr>
              <w:spacing w:after="40" w:before="40"/>
            </w:pPr>
            <w:r>
              <w:rPr>
                <w:sz w:val="17"/>
              </w:rPr>
            </w:r>
            <w:r>
              <w:rPr>
                <w:sz w:val="17"/>
              </w:rPr>
              <w:t>Pourcentages en virgule flottante</w:t>
            </w:r>
          </w:p>
        </w:tc>
        <w:tc>
          <w:tcPr>
            <w:tcW w:type="dxa" w:w="3420"/>
          </w:tcPr>
          <w:p>
            <w:pPr>
              <w:spacing w:after="40" w:before="40"/>
            </w:pPr>
            <w:r>
              <w:rPr>
                <w:sz w:val="17"/>
              </w:rPr>
            </w:r>
            <w:r>
              <w:rPr>
                <w:sz w:val="17"/>
              </w:rPr>
              <w:t>Élimine toute dérive d'arrondi ; la somme à 100 % est vérifiable exactement</w:t>
            </w:r>
          </w:p>
        </w:tc>
      </w:tr>
      <w:tr>
        <w:tc>
          <w:tcPr>
            <w:tcW w:type="dxa" w:w="3420"/>
            <w:shd w:val="clear" w:fill="F2F5F8"/>
          </w:tcPr>
          <w:p>
            <w:pPr>
              <w:spacing w:after="40" w:before="40"/>
            </w:pPr>
            <w:r>
              <w:rPr>
                <w:sz w:val="17"/>
              </w:rPr>
            </w:r>
            <w:r>
              <w:rPr>
                <w:sz w:val="17"/>
              </w:rPr>
              <w:t>Formulaire généré depuis la version de modèle</w:t>
            </w:r>
          </w:p>
        </w:tc>
        <w:tc>
          <w:tcPr>
            <w:tcW w:type="dxa" w:w="2622"/>
            <w:shd w:val="clear" w:fill="F2F5F8"/>
          </w:tcPr>
          <w:p>
            <w:pPr>
              <w:spacing w:after="40" w:before="40"/>
            </w:pPr>
            <w:r>
              <w:rPr>
                <w:sz w:val="17"/>
              </w:rPr>
            </w:r>
            <w:r>
              <w:rPr>
                <w:sz w:val="17"/>
              </w:rPr>
              <w:t>Écrans codés en dur</w:t>
            </w:r>
          </w:p>
        </w:tc>
        <w:tc>
          <w:tcPr>
            <w:tcW w:type="dxa" w:w="3420"/>
            <w:shd w:val="clear" w:fill="F2F5F8"/>
          </w:tcPr>
          <w:p>
            <w:pPr>
              <w:spacing w:after="40" w:before="40"/>
            </w:pPr>
            <w:r>
              <w:rPr>
                <w:sz w:val="17"/>
              </w:rPr>
            </w:r>
            <w:r>
              <w:rPr>
                <w:sz w:val="17"/>
              </w:rPr>
              <w:t>Une modification de modèle ne nécessite aucune modification d'interface, donc aucune divergence possible</w:t>
            </w:r>
          </w:p>
        </w:tc>
      </w:tr>
    </w:tbl>
    <w:p>
      <w:pPr>
        <w:spacing w:after="80"/>
      </w:pPr>
    </w:p>
    <w:p>
      <w:pPr>
        <w:pStyle w:val="Heading2"/>
      </w:pPr>
      <w:r>
        <w:t>5. Profil de pondération</w:t>
      </w:r>
    </w:p>
    <w:p>
      <w:r>
        <w:t>Le poids relatif des domaines varie selon le segment, selon une logique défendable devant un validateur.</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rPr>
          <w:tblHeader w:val="true"/>
        </w:trPr>
        <w:tc>
          <w:tcPr>
            <w:tcW w:type="dxa" w:w="3207"/>
            <w:shd w:val="clear" w:fill="0F3D63"/>
          </w:tcPr>
          <w:p>
            <w:pPr>
              <w:spacing w:after="40" w:before="40"/>
            </w:pPr>
            <w:r>
              <w:rPr>
                <w:color w:val="FFFFFF"/>
                <w:sz w:val="17"/>
              </w:rPr>
            </w:r>
            <w:r>
              <w:rPr>
                <w:b/>
                <w:color w:val="FFFFFF"/>
                <w:sz w:val="17"/>
              </w:rPr>
              <w:t>Domaine</w:t>
            </w:r>
          </w:p>
        </w:tc>
        <w:tc>
          <w:tcPr>
            <w:tcW w:type="dxa" w:w="481"/>
            <w:shd w:val="clear" w:fill="0F3D63"/>
          </w:tcPr>
          <w:p>
            <w:pPr>
              <w:spacing w:after="40" w:before="40"/>
            </w:pPr>
            <w:r>
              <w:rPr>
                <w:color w:val="FFFFFF"/>
                <w:sz w:val="17"/>
              </w:rPr>
            </w:r>
            <w:r>
              <w:rPr>
                <w:b/>
                <w:color w:val="FFFFFF"/>
                <w:sz w:val="17"/>
              </w:rPr>
              <w:t>TPE</w:t>
            </w:r>
          </w:p>
        </w:tc>
        <w:tc>
          <w:tcPr>
            <w:tcW w:type="dxa" w:w="481"/>
            <w:shd w:val="clear" w:fill="0F3D63"/>
          </w:tcPr>
          <w:p>
            <w:pPr>
              <w:spacing w:after="40" w:before="40"/>
            </w:pPr>
            <w:r>
              <w:rPr>
                <w:color w:val="FFFFFF"/>
                <w:sz w:val="17"/>
              </w:rPr>
            </w:r>
            <w:r>
              <w:rPr>
                <w:b/>
                <w:color w:val="FFFFFF"/>
                <w:sz w:val="17"/>
              </w:rPr>
              <w:t>PME</w:t>
            </w:r>
          </w:p>
        </w:tc>
        <w:tc>
          <w:tcPr>
            <w:tcW w:type="dxa" w:w="481"/>
            <w:shd w:val="clear" w:fill="0F3D63"/>
          </w:tcPr>
          <w:p>
            <w:pPr>
              <w:spacing w:after="40" w:before="40"/>
            </w:pPr>
            <w:r>
              <w:rPr>
                <w:color w:val="FFFFFF"/>
                <w:sz w:val="17"/>
              </w:rPr>
            </w:r>
            <w:r>
              <w:rPr>
                <w:b/>
                <w:color w:val="FFFFFF"/>
                <w:sz w:val="17"/>
              </w:rPr>
              <w:t>GE</w:t>
            </w:r>
          </w:p>
        </w:tc>
        <w:tc>
          <w:tcPr>
            <w:tcW w:type="dxa" w:w="4811"/>
            <w:shd w:val="clear" w:fill="0F3D63"/>
          </w:tcPr>
          <w:p>
            <w:pPr>
              <w:spacing w:after="40" w:before="40"/>
            </w:pPr>
            <w:r>
              <w:rPr>
                <w:color w:val="FFFFFF"/>
                <w:sz w:val="17"/>
              </w:rPr>
            </w:r>
            <w:r>
              <w:rPr>
                <w:b/>
                <w:color w:val="FFFFFF"/>
                <w:sz w:val="17"/>
              </w:rPr>
              <w:t>Logique</w:t>
            </w:r>
          </w:p>
        </w:tc>
      </w:tr>
      <w:tr>
        <w:tc>
          <w:tcPr>
            <w:tcW w:type="dxa" w:w="3207"/>
          </w:tcPr>
          <w:p>
            <w:pPr>
              <w:spacing w:after="40" w:before="40"/>
            </w:pPr>
            <w:r>
              <w:rPr>
                <w:sz w:val="17"/>
              </w:rPr>
            </w:r>
            <w:r>
              <w:rPr>
                <w:sz w:val="17"/>
              </w:rPr>
              <w:t>D1 — Performance financière</w:t>
            </w:r>
          </w:p>
        </w:tc>
        <w:tc>
          <w:tcPr>
            <w:tcW w:type="dxa" w:w="481"/>
          </w:tcPr>
          <w:p>
            <w:pPr>
              <w:spacing w:after="40" w:before="40"/>
            </w:pPr>
            <w:r>
              <w:rPr>
                <w:sz w:val="17"/>
              </w:rPr>
            </w:r>
            <w:r>
              <w:rPr>
                <w:sz w:val="17"/>
              </w:rPr>
              <w:t>25 %</w:t>
            </w:r>
          </w:p>
        </w:tc>
        <w:tc>
          <w:tcPr>
            <w:tcW w:type="dxa" w:w="481"/>
          </w:tcPr>
          <w:p>
            <w:pPr>
              <w:spacing w:after="40" w:before="40"/>
            </w:pPr>
            <w:r>
              <w:rPr>
                <w:sz w:val="17"/>
              </w:rPr>
            </w:r>
            <w:r>
              <w:rPr>
                <w:sz w:val="17"/>
              </w:rPr>
              <w:t>30 %</w:t>
            </w:r>
          </w:p>
        </w:tc>
        <w:tc>
          <w:tcPr>
            <w:tcW w:type="dxa" w:w="481"/>
          </w:tcPr>
          <w:p>
            <w:pPr>
              <w:spacing w:after="40" w:before="40"/>
            </w:pPr>
            <w:r>
              <w:rPr>
                <w:sz w:val="17"/>
              </w:rPr>
            </w:r>
            <w:r>
              <w:rPr>
                <w:sz w:val="17"/>
              </w:rPr>
              <w:t>30 %</w:t>
            </w:r>
          </w:p>
        </w:tc>
        <w:tc>
          <w:tcPr>
            <w:tcW w:type="dxa" w:w="4811"/>
          </w:tcPr>
          <w:p>
            <w:pPr>
              <w:spacing w:after="40" w:before="40"/>
            </w:pPr>
            <w:r>
              <w:rPr>
                <w:sz w:val="17"/>
              </w:rPr>
            </w:r>
            <w:r>
              <w:rPr>
                <w:sz w:val="17"/>
              </w:rPr>
              <w:t>L'information comptable gagne en fiabilité et en richesse avec la taille</w:t>
            </w:r>
          </w:p>
        </w:tc>
      </w:tr>
      <w:tr>
        <w:tc>
          <w:tcPr>
            <w:tcW w:type="dxa" w:w="3207"/>
            <w:shd w:val="clear" w:fill="F2F5F8"/>
          </w:tcPr>
          <w:p>
            <w:pPr>
              <w:spacing w:after="40" w:before="40"/>
            </w:pPr>
            <w:r>
              <w:rPr>
                <w:sz w:val="17"/>
              </w:rPr>
            </w:r>
            <w:r>
              <w:rPr>
                <w:sz w:val="17"/>
              </w:rPr>
              <w:t>D2 — Capacité de remboursement et stress</w:t>
            </w:r>
          </w:p>
        </w:tc>
        <w:tc>
          <w:tcPr>
            <w:tcW w:type="dxa" w:w="481"/>
            <w:shd w:val="clear" w:fill="F2F5F8"/>
          </w:tcPr>
          <w:p>
            <w:pPr>
              <w:spacing w:after="40" w:before="40"/>
            </w:pPr>
            <w:r>
              <w:rPr>
                <w:sz w:val="17"/>
              </w:rPr>
            </w:r>
            <w:r>
              <w:rPr>
                <w:sz w:val="17"/>
              </w:rPr>
              <w:t>10 %</w:t>
            </w:r>
          </w:p>
        </w:tc>
        <w:tc>
          <w:tcPr>
            <w:tcW w:type="dxa" w:w="481"/>
            <w:shd w:val="clear" w:fill="F2F5F8"/>
          </w:tcPr>
          <w:p>
            <w:pPr>
              <w:spacing w:after="40" w:before="40"/>
            </w:pPr>
            <w:r>
              <w:rPr>
                <w:sz w:val="17"/>
              </w:rPr>
            </w:r>
            <w:r>
              <w:rPr>
                <w:sz w:val="17"/>
              </w:rPr>
              <w:t>15 %</w:t>
            </w:r>
          </w:p>
        </w:tc>
        <w:tc>
          <w:tcPr>
            <w:tcW w:type="dxa" w:w="481"/>
            <w:shd w:val="clear" w:fill="F2F5F8"/>
          </w:tcPr>
          <w:p>
            <w:pPr>
              <w:spacing w:after="40" w:before="40"/>
            </w:pPr>
            <w:r>
              <w:rPr>
                <w:sz w:val="17"/>
              </w:rPr>
            </w:r>
            <w:r>
              <w:rPr>
                <w:sz w:val="17"/>
              </w:rPr>
              <w:t>20 %</w:t>
            </w:r>
          </w:p>
        </w:tc>
        <w:tc>
          <w:tcPr>
            <w:tcW w:type="dxa" w:w="4811"/>
            <w:shd w:val="clear" w:fill="F2F5F8"/>
          </w:tcPr>
          <w:p>
            <w:pPr>
              <w:spacing w:after="40" w:before="40"/>
            </w:pPr>
            <w:r>
              <w:rPr>
                <w:sz w:val="17"/>
              </w:rPr>
            </w:r>
            <w:r>
              <w:rPr>
                <w:sz w:val="17"/>
              </w:rPr>
              <w:t>Le pilotage prévisionnel et les données de cash-flow ne sont exploitables qu'à partir d'une certaine sophistication</w:t>
            </w:r>
          </w:p>
        </w:tc>
      </w:tr>
      <w:tr>
        <w:tc>
          <w:tcPr>
            <w:tcW w:type="dxa" w:w="3207"/>
          </w:tcPr>
          <w:p>
            <w:pPr>
              <w:spacing w:after="40" w:before="40"/>
            </w:pPr>
            <w:r>
              <w:rPr>
                <w:sz w:val="17"/>
              </w:rPr>
            </w:r>
            <w:r>
              <w:rPr>
                <w:sz w:val="17"/>
              </w:rPr>
              <w:t>D3 — Comportement bancaire</w:t>
            </w:r>
          </w:p>
        </w:tc>
        <w:tc>
          <w:tcPr>
            <w:tcW w:type="dxa" w:w="481"/>
          </w:tcPr>
          <w:p>
            <w:pPr>
              <w:spacing w:after="40" w:before="40"/>
            </w:pPr>
            <w:r>
              <w:rPr>
                <w:sz w:val="17"/>
              </w:rPr>
            </w:r>
            <w:r>
              <w:rPr>
                <w:sz w:val="17"/>
              </w:rPr>
              <w:t>25 %</w:t>
            </w:r>
          </w:p>
        </w:tc>
        <w:tc>
          <w:tcPr>
            <w:tcW w:type="dxa" w:w="481"/>
          </w:tcPr>
          <w:p>
            <w:pPr>
              <w:spacing w:after="40" w:before="40"/>
            </w:pPr>
            <w:r>
              <w:rPr>
                <w:sz w:val="17"/>
              </w:rPr>
            </w:r>
            <w:r>
              <w:rPr>
                <w:sz w:val="17"/>
              </w:rPr>
              <w:t>20 %</w:t>
            </w:r>
          </w:p>
        </w:tc>
        <w:tc>
          <w:tcPr>
            <w:tcW w:type="dxa" w:w="481"/>
          </w:tcPr>
          <w:p>
            <w:pPr>
              <w:spacing w:after="40" w:before="40"/>
            </w:pPr>
            <w:r>
              <w:rPr>
                <w:sz w:val="17"/>
              </w:rPr>
            </w:r>
            <w:r>
              <w:rPr>
                <w:sz w:val="17"/>
              </w:rPr>
              <w:t>10 %</w:t>
            </w:r>
          </w:p>
        </w:tc>
        <w:tc>
          <w:tcPr>
            <w:tcW w:type="dxa" w:w="4811"/>
          </w:tcPr>
          <w:p>
            <w:pPr>
              <w:spacing w:after="40" w:before="40"/>
            </w:pPr>
            <w:r>
              <w:rPr>
                <w:sz w:val="17"/>
              </w:rPr>
            </w:r>
            <w:r>
              <w:rPr>
                <w:sz w:val="17"/>
              </w:rPr>
              <w:t>Sur la TPE, le compte bancaire est le signal le plus fiable et le plus fréquent ; sur la GE, il est dilué par la multibancarisation</w:t>
            </w:r>
          </w:p>
        </w:tc>
      </w:tr>
      <w:tr>
        <w:tc>
          <w:tcPr>
            <w:tcW w:type="dxa" w:w="3207"/>
            <w:shd w:val="clear" w:fill="F2F5F8"/>
          </w:tcPr>
          <w:p>
            <w:pPr>
              <w:spacing w:after="40" w:before="40"/>
            </w:pPr>
            <w:r>
              <w:rPr>
                <w:sz w:val="17"/>
              </w:rPr>
            </w:r>
            <w:r>
              <w:rPr>
                <w:sz w:val="17"/>
              </w:rPr>
              <w:t>D4 — Activité et secteur</w:t>
            </w:r>
          </w:p>
        </w:tc>
        <w:tc>
          <w:tcPr>
            <w:tcW w:type="dxa" w:w="481"/>
            <w:shd w:val="clear" w:fill="F2F5F8"/>
          </w:tcPr>
          <w:p>
            <w:pPr>
              <w:spacing w:after="40" w:before="40"/>
            </w:pPr>
            <w:r>
              <w:rPr>
                <w:sz w:val="17"/>
              </w:rPr>
            </w:r>
            <w:r>
              <w:rPr>
                <w:sz w:val="17"/>
              </w:rPr>
              <w:t>15 %</w:t>
            </w:r>
          </w:p>
        </w:tc>
        <w:tc>
          <w:tcPr>
            <w:tcW w:type="dxa" w:w="481"/>
            <w:shd w:val="clear" w:fill="F2F5F8"/>
          </w:tcPr>
          <w:p>
            <w:pPr>
              <w:spacing w:after="40" w:before="40"/>
            </w:pPr>
            <w:r>
              <w:rPr>
                <w:sz w:val="17"/>
              </w:rPr>
            </w:r>
            <w:r>
              <w:rPr>
                <w:sz w:val="17"/>
              </w:rPr>
              <w:t>15 %</w:t>
            </w:r>
          </w:p>
        </w:tc>
        <w:tc>
          <w:tcPr>
            <w:tcW w:type="dxa" w:w="481"/>
            <w:shd w:val="clear" w:fill="F2F5F8"/>
          </w:tcPr>
          <w:p>
            <w:pPr>
              <w:spacing w:after="40" w:before="40"/>
            </w:pPr>
            <w:r>
              <w:rPr>
                <w:sz w:val="17"/>
              </w:rPr>
            </w:r>
            <w:r>
              <w:rPr>
                <w:sz w:val="17"/>
              </w:rPr>
              <w:t>15 %</w:t>
            </w:r>
          </w:p>
        </w:tc>
        <w:tc>
          <w:tcPr>
            <w:tcW w:type="dxa" w:w="4811"/>
            <w:shd w:val="clear" w:fill="F2F5F8"/>
          </w:tcPr>
          <w:p>
            <w:pPr>
              <w:spacing w:after="40" w:before="40"/>
            </w:pPr>
            <w:r>
              <w:rPr>
                <w:sz w:val="17"/>
              </w:rPr>
            </w:r>
            <w:r>
              <w:rPr>
                <w:sz w:val="17"/>
              </w:rPr>
              <w:t>Le risque sectoriel affecte toutes les tailles de façon comparable</w:t>
            </w:r>
          </w:p>
        </w:tc>
      </w:tr>
      <w:tr>
        <w:tc>
          <w:tcPr>
            <w:tcW w:type="dxa" w:w="3207"/>
          </w:tcPr>
          <w:p>
            <w:pPr>
              <w:spacing w:after="40" w:before="40"/>
            </w:pPr>
            <w:r>
              <w:rPr>
                <w:sz w:val="17"/>
              </w:rPr>
            </w:r>
            <w:r>
              <w:rPr>
                <w:sz w:val="17"/>
              </w:rPr>
              <w:t>D5 — Management et gouvernance</w:t>
            </w:r>
          </w:p>
        </w:tc>
        <w:tc>
          <w:tcPr>
            <w:tcW w:type="dxa" w:w="481"/>
          </w:tcPr>
          <w:p>
            <w:pPr>
              <w:spacing w:after="40" w:before="40"/>
            </w:pPr>
            <w:r>
              <w:rPr>
                <w:sz w:val="17"/>
              </w:rPr>
            </w:r>
            <w:r>
              <w:rPr>
                <w:sz w:val="17"/>
              </w:rPr>
              <w:t>15 %</w:t>
            </w:r>
          </w:p>
        </w:tc>
        <w:tc>
          <w:tcPr>
            <w:tcW w:type="dxa" w:w="481"/>
          </w:tcPr>
          <w:p>
            <w:pPr>
              <w:spacing w:after="40" w:before="40"/>
            </w:pPr>
            <w:r>
              <w:rPr>
                <w:sz w:val="17"/>
              </w:rPr>
            </w:r>
            <w:r>
              <w:rPr>
                <w:sz w:val="17"/>
              </w:rPr>
              <w:t>12 %</w:t>
            </w:r>
          </w:p>
        </w:tc>
        <w:tc>
          <w:tcPr>
            <w:tcW w:type="dxa" w:w="481"/>
          </w:tcPr>
          <w:p>
            <w:pPr>
              <w:spacing w:after="40" w:before="40"/>
            </w:pPr>
            <w:r>
              <w:rPr>
                <w:sz w:val="17"/>
              </w:rPr>
            </w:r>
            <w:r>
              <w:rPr>
                <w:sz w:val="17"/>
              </w:rPr>
              <w:t>15 %</w:t>
            </w:r>
          </w:p>
        </w:tc>
        <w:tc>
          <w:tcPr>
            <w:tcW w:type="dxa" w:w="4811"/>
          </w:tcPr>
          <w:p>
            <w:pPr>
              <w:spacing w:after="40" w:before="40"/>
            </w:pPr>
            <w:r>
              <w:rPr>
                <w:sz w:val="17"/>
              </w:rPr>
            </w:r>
            <w:r>
              <w:rPr>
                <w:sz w:val="17"/>
              </w:rPr>
              <w:t>Fort sur la TPE par dépendance à l'homme-clé ; fort sur la GE par complexité de gouvernance et enjeux de groupe</w:t>
            </w:r>
          </w:p>
        </w:tc>
      </w:tr>
      <w:tr>
        <w:tc>
          <w:tcPr>
            <w:tcW w:type="dxa" w:w="3207"/>
            <w:shd w:val="clear" w:fill="F2F5F8"/>
          </w:tcPr>
          <w:p>
            <w:pPr>
              <w:spacing w:after="40" w:before="40"/>
            </w:pPr>
            <w:r>
              <w:rPr>
                <w:sz w:val="17"/>
              </w:rPr>
            </w:r>
            <w:r>
              <w:rPr>
                <w:sz w:val="17"/>
              </w:rPr>
              <w:t>D6 — Transparence et conformité</w:t>
            </w:r>
          </w:p>
        </w:tc>
        <w:tc>
          <w:tcPr>
            <w:tcW w:type="dxa" w:w="481"/>
            <w:shd w:val="clear" w:fill="F2F5F8"/>
          </w:tcPr>
          <w:p>
            <w:pPr>
              <w:spacing w:after="40" w:before="40"/>
            </w:pPr>
            <w:r>
              <w:rPr>
                <w:sz w:val="17"/>
              </w:rPr>
            </w:r>
            <w:r>
              <w:rPr>
                <w:sz w:val="17"/>
              </w:rPr>
              <w:t>7 %</w:t>
            </w:r>
          </w:p>
        </w:tc>
        <w:tc>
          <w:tcPr>
            <w:tcW w:type="dxa" w:w="481"/>
            <w:shd w:val="clear" w:fill="F2F5F8"/>
          </w:tcPr>
          <w:p>
            <w:pPr>
              <w:spacing w:after="40" w:before="40"/>
            </w:pPr>
            <w:r>
              <w:rPr>
                <w:sz w:val="17"/>
              </w:rPr>
            </w:r>
            <w:r>
              <w:rPr>
                <w:sz w:val="17"/>
              </w:rPr>
              <w:t>5 %</w:t>
            </w:r>
          </w:p>
        </w:tc>
        <w:tc>
          <w:tcPr>
            <w:tcW w:type="dxa" w:w="481"/>
            <w:shd w:val="clear" w:fill="F2F5F8"/>
          </w:tcPr>
          <w:p>
            <w:pPr>
              <w:spacing w:after="40" w:before="40"/>
            </w:pPr>
            <w:r>
              <w:rPr>
                <w:sz w:val="17"/>
              </w:rPr>
            </w:r>
            <w:r>
              <w:rPr>
                <w:sz w:val="17"/>
              </w:rPr>
              <w:t>5 %</w:t>
            </w:r>
          </w:p>
        </w:tc>
        <w:tc>
          <w:tcPr>
            <w:tcW w:type="dxa" w:w="4811"/>
            <w:shd w:val="clear" w:fill="F2F5F8"/>
          </w:tcPr>
          <w:p>
            <w:pPr>
              <w:spacing w:after="40" w:before="40"/>
            </w:pPr>
            <w:r>
              <w:rPr>
                <w:sz w:val="17"/>
              </w:rPr>
            </w:r>
            <w:r>
              <w:rPr>
                <w:sz w:val="17"/>
              </w:rPr>
              <w:t>Le risque d'information incomplète est structurellement plus élevé sur la TPE</w:t>
            </w:r>
          </w:p>
        </w:tc>
      </w:tr>
      <w:tr>
        <w:tc>
          <w:tcPr>
            <w:tcW w:type="dxa" w:w="3207"/>
          </w:tcPr>
          <w:p>
            <w:pPr>
              <w:spacing w:after="40" w:before="40"/>
            </w:pPr>
            <w:r>
              <w:rPr>
                <w:sz w:val="17"/>
              </w:rPr>
            </w:r>
            <w:r>
              <w:rPr>
                <w:sz w:val="17"/>
              </w:rPr>
              <w:t>D7 — ESG et climat</w:t>
            </w:r>
          </w:p>
        </w:tc>
        <w:tc>
          <w:tcPr>
            <w:tcW w:type="dxa" w:w="481"/>
          </w:tcPr>
          <w:p>
            <w:pPr>
              <w:spacing w:after="40" w:before="40"/>
            </w:pPr>
            <w:r>
              <w:rPr>
                <w:sz w:val="17"/>
              </w:rPr>
            </w:r>
            <w:r>
              <w:rPr>
                <w:sz w:val="17"/>
              </w:rPr>
              <w:t>3 %</w:t>
            </w:r>
          </w:p>
        </w:tc>
        <w:tc>
          <w:tcPr>
            <w:tcW w:type="dxa" w:w="481"/>
          </w:tcPr>
          <w:p>
            <w:pPr>
              <w:spacing w:after="40" w:before="40"/>
            </w:pPr>
            <w:r>
              <w:rPr>
                <w:sz w:val="17"/>
              </w:rPr>
            </w:r>
            <w:r>
              <w:rPr>
                <w:sz w:val="17"/>
              </w:rPr>
              <w:t>3 %</w:t>
            </w:r>
          </w:p>
        </w:tc>
        <w:tc>
          <w:tcPr>
            <w:tcW w:type="dxa" w:w="481"/>
          </w:tcPr>
          <w:p>
            <w:pPr>
              <w:spacing w:after="40" w:before="40"/>
            </w:pPr>
            <w:r>
              <w:rPr>
                <w:sz w:val="17"/>
              </w:rPr>
            </w:r>
            <w:r>
              <w:rPr>
                <w:sz w:val="17"/>
              </w:rPr>
              <w:t>5 %</w:t>
            </w:r>
          </w:p>
        </w:tc>
        <w:tc>
          <w:tcPr>
            <w:tcW w:type="dxa" w:w="4811"/>
          </w:tcPr>
          <w:p>
            <w:pPr>
              <w:spacing w:after="40" w:before="40"/>
            </w:pPr>
            <w:r>
              <w:rPr>
                <w:sz w:val="17"/>
              </w:rPr>
            </w:r>
            <w:r>
              <w:rPr>
                <w:sz w:val="17"/>
              </w:rPr>
              <w:t>Matérialité financière croissante avec la taille, l'exposition réglementaire et l'international</w:t>
            </w:r>
          </w:p>
        </w:tc>
      </w:tr>
    </w:tbl>
    <w:p>
      <w:pPr>
        <w:spacing w:after="80"/>
      </w:pPr>
    </w:p>
    <w:p>
      <w:r>
        <w:rPr>
          <w:b/>
        </w:rPr>
        <w:t>Contrôle du double comptage.</w:t>
      </w:r>
      <w:r>
        <w:t xml:space="preserve"> Un même phénomène n'est pénalisé dans deux domaines que si les preuves sont distinctes et le mécanisme économique différent. Une baisse du chiffre d'affaires affecte D1 ; elle n'affecte D4 que si elle traduit également une dégradation structurelle de la position de marché, établie par une preuve différente — perte de parts documentée, sortie d'un référencement, obsolescence d'une offre.</w:t>
      </w:r>
    </w:p>
    <w:p>
      <w:pPr>
        <w:pStyle w:val="Heading2"/>
      </w:pPr>
      <w:r>
        <w:t>6. Risques de mise en œuvre et réponses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4333"/>
            <w:shd w:val="clear" w:fill="0F3D63"/>
          </w:tcPr>
          <w:p>
            <w:pPr>
              <w:spacing w:after="40" w:before="40"/>
            </w:pPr>
            <w:r>
              <w:rPr>
                <w:color w:val="FFFFFF"/>
                <w:sz w:val="17"/>
              </w:rPr>
            </w:r>
            <w:r>
              <w:rPr>
                <w:b/>
                <w:color w:val="FFFFFF"/>
                <w:sz w:val="17"/>
              </w:rPr>
              <w:t>Risque</w:t>
            </w:r>
          </w:p>
        </w:tc>
        <w:tc>
          <w:tcPr>
            <w:tcW w:type="dxa" w:w="794"/>
            <w:shd w:val="clear" w:fill="0F3D63"/>
          </w:tcPr>
          <w:p>
            <w:pPr>
              <w:spacing w:after="40" w:before="40"/>
            </w:pPr>
            <w:r>
              <w:rPr>
                <w:color w:val="FFFFFF"/>
                <w:sz w:val="17"/>
              </w:rPr>
            </w:r>
            <w:r>
              <w:rPr>
                <w:b/>
                <w:color w:val="FFFFFF"/>
                <w:sz w:val="17"/>
              </w:rPr>
              <w:t>Probabilité</w:t>
            </w:r>
          </w:p>
        </w:tc>
        <w:tc>
          <w:tcPr>
            <w:tcW w:type="dxa" w:w="4333"/>
            <w:shd w:val="clear" w:fill="0F3D63"/>
          </w:tcPr>
          <w:p>
            <w:pPr>
              <w:spacing w:after="40" w:before="40"/>
            </w:pPr>
            <w:r>
              <w:rPr>
                <w:color w:val="FFFFFF"/>
                <w:sz w:val="17"/>
              </w:rPr>
            </w:r>
            <w:r>
              <w:rPr>
                <w:b/>
                <w:color w:val="FFFFFF"/>
                <w:sz w:val="17"/>
              </w:rPr>
              <w:t>Réponse intégrée au dispositif</w:t>
            </w:r>
          </w:p>
        </w:tc>
      </w:tr>
      <w:tr>
        <w:tc>
          <w:tcPr>
            <w:tcW w:type="dxa" w:w="4333"/>
          </w:tcPr>
          <w:p>
            <w:pPr>
              <w:spacing w:after="40" w:before="40"/>
            </w:pPr>
            <w:r>
              <w:rPr>
                <w:sz w:val="17"/>
              </w:rPr>
            </w:r>
            <w:r>
              <w:rPr>
                <w:sz w:val="17"/>
              </w:rPr>
              <w:t>Les seuils experts s'avèrent mal calibrés sur le portefeuille réel</w:t>
            </w:r>
          </w:p>
        </w:tc>
        <w:tc>
          <w:tcPr>
            <w:tcW w:type="dxa" w:w="794"/>
          </w:tcPr>
          <w:p>
            <w:pPr>
              <w:spacing w:after="40" w:before="40"/>
            </w:pPr>
            <w:r>
              <w:rPr>
                <w:sz w:val="17"/>
              </w:rPr>
            </w:r>
            <w:r>
              <w:rPr>
                <w:sz w:val="17"/>
              </w:rPr>
              <w:t>Élevée</w:t>
            </w:r>
          </w:p>
        </w:tc>
        <w:tc>
          <w:tcPr>
            <w:tcW w:type="dxa" w:w="4333"/>
          </w:tcPr>
          <w:p>
            <w:pPr>
              <w:spacing w:after="40" w:before="40"/>
            </w:pPr>
            <w:r>
              <w:rPr>
                <w:sz w:val="17"/>
              </w:rPr>
            </w:r>
            <w:r>
              <w:rPr>
                <w:sz w:val="17"/>
              </w:rPr>
              <w:t>Tous les seuils sont des paramètres versionnés, modifiables sans livraison de code ; pilote en mode fantôme obligatoire avant usage contraignant</w:t>
            </w:r>
          </w:p>
        </w:tc>
      </w:tr>
      <w:tr>
        <w:tc>
          <w:tcPr>
            <w:tcW w:type="dxa" w:w="4333"/>
            <w:shd w:val="clear" w:fill="F2F5F8"/>
          </w:tcPr>
          <w:p>
            <w:pPr>
              <w:spacing w:after="40" w:before="40"/>
            </w:pPr>
            <w:r>
              <w:rPr>
                <w:sz w:val="17"/>
              </w:rPr>
            </w:r>
            <w:r>
              <w:rPr>
                <w:sz w:val="17"/>
              </w:rPr>
              <w:t>Données comptables insuffisantes sur la TPE</w:t>
            </w:r>
          </w:p>
        </w:tc>
        <w:tc>
          <w:tcPr>
            <w:tcW w:type="dxa" w:w="794"/>
            <w:shd w:val="clear" w:fill="F2F5F8"/>
          </w:tcPr>
          <w:p>
            <w:pPr>
              <w:spacing w:after="40" w:before="40"/>
            </w:pPr>
            <w:r>
              <w:rPr>
                <w:sz w:val="17"/>
              </w:rPr>
            </w:r>
            <w:r>
              <w:rPr>
                <w:sz w:val="17"/>
              </w:rPr>
              <w:t>Élevée</w:t>
            </w:r>
          </w:p>
        </w:tc>
        <w:tc>
          <w:tcPr>
            <w:tcW w:type="dxa" w:w="4333"/>
            <w:shd w:val="clear" w:fill="F2F5F8"/>
          </w:tcPr>
          <w:p>
            <w:pPr>
              <w:spacing w:after="40" w:before="40"/>
            </w:pPr>
            <w:r>
              <w:rPr>
                <w:sz w:val="17"/>
              </w:rPr>
            </w:r>
            <w:r>
              <w:rPr>
                <w:sz w:val="17"/>
              </w:rPr>
              <w:t>Modèle TPE comportemental distinct, avec identifiant, poids et calibration propres ; aucune note moyenne attribuée par défaut</w:t>
            </w:r>
          </w:p>
        </w:tc>
      </w:tr>
      <w:tr>
        <w:tc>
          <w:tcPr>
            <w:tcW w:type="dxa" w:w="4333"/>
          </w:tcPr>
          <w:p>
            <w:pPr>
              <w:spacing w:after="40" w:before="40"/>
            </w:pPr>
            <w:r>
              <w:rPr>
                <w:sz w:val="17"/>
              </w:rPr>
            </w:r>
            <w:r>
              <w:rPr>
                <w:sz w:val="17"/>
              </w:rPr>
              <w:t>Le score expert est utilisé comme une probabilité de défaut</w:t>
            </w:r>
          </w:p>
        </w:tc>
        <w:tc>
          <w:tcPr>
            <w:tcW w:type="dxa" w:w="794"/>
          </w:tcPr>
          <w:p>
            <w:pPr>
              <w:spacing w:after="40" w:before="40"/>
            </w:pPr>
            <w:r>
              <w:rPr>
                <w:sz w:val="17"/>
              </w:rPr>
            </w:r>
            <w:r>
              <w:rPr>
                <w:sz w:val="17"/>
              </w:rPr>
              <w:t>Moyenne</w:t>
            </w:r>
          </w:p>
        </w:tc>
        <w:tc>
          <w:tcPr>
            <w:tcW w:type="dxa" w:w="4333"/>
          </w:tcPr>
          <w:p>
            <w:pPr>
              <w:spacing w:after="40" w:before="40"/>
            </w:pPr>
            <w:r>
              <w:rPr>
                <w:sz w:val="17"/>
              </w:rPr>
            </w:r>
            <w:r>
              <w:rPr>
                <w:sz w:val="17"/>
              </w:rPr>
              <w:t xml:space="preserve">Statut de calibration distinct et propagé au contrat d'interface, à l'instantané persisté et à l'écran de résultat ; toute probabilité issue de données simulées est marquée </w:t>
            </w:r>
            <w:r>
              <w:rPr>
                <w:rFonts w:ascii="Consolas" w:hAnsi="Consolas"/>
                <w:color w:val="8A2B2B"/>
                <w:sz w:val="17"/>
              </w:rPr>
              <w:t>CALIBRATED_SYNTHETIC</w:t>
            </w:r>
            <w:r>
              <w:rPr>
                <w:sz w:val="17"/>
              </w:rPr>
              <w:t xml:space="preserve"> et accompagnée de son avertissement</w:t>
            </w:r>
          </w:p>
        </w:tc>
      </w:tr>
      <w:tr>
        <w:tc>
          <w:tcPr>
            <w:tcW w:type="dxa" w:w="4333"/>
            <w:shd w:val="clear" w:fill="F2F5F8"/>
          </w:tcPr>
          <w:p>
            <w:pPr>
              <w:spacing w:after="40" w:before="40"/>
            </w:pPr>
            <w:r>
              <w:rPr>
                <w:sz w:val="17"/>
              </w:rPr>
            </w:r>
            <w:r>
              <w:rPr>
                <w:sz w:val="17"/>
              </w:rPr>
              <w:t>Dérive des pratiques de dérogation</w:t>
            </w:r>
          </w:p>
        </w:tc>
        <w:tc>
          <w:tcPr>
            <w:tcW w:type="dxa" w:w="794"/>
            <w:shd w:val="clear" w:fill="F2F5F8"/>
          </w:tcPr>
          <w:p>
            <w:pPr>
              <w:spacing w:after="40" w:before="40"/>
            </w:pPr>
            <w:r>
              <w:rPr>
                <w:sz w:val="17"/>
              </w:rPr>
            </w:r>
            <w:r>
              <w:rPr>
                <w:sz w:val="17"/>
              </w:rPr>
              <w:t>Moyenne</w:t>
            </w:r>
          </w:p>
        </w:tc>
        <w:tc>
          <w:tcPr>
            <w:tcW w:type="dxa" w:w="4333"/>
            <w:shd w:val="clear" w:fill="F2F5F8"/>
          </w:tcPr>
          <w:p>
            <w:pPr>
              <w:spacing w:after="40" w:before="40"/>
            </w:pPr>
            <w:r>
              <w:rPr>
                <w:sz w:val="17"/>
              </w:rPr>
            </w:r>
            <w:r>
              <w:rPr>
                <w:sz w:val="17"/>
              </w:rPr>
              <w:t>Double validation, limite de crans, motifs codifiés, suivi des taux et contrôle a posteriori des grades brut et final</w:t>
            </w:r>
          </w:p>
        </w:tc>
      </w:tr>
      <w:tr>
        <w:tc>
          <w:tcPr>
            <w:tcW w:type="dxa" w:w="4333"/>
          </w:tcPr>
          <w:p>
            <w:pPr>
              <w:spacing w:after="40" w:before="40"/>
            </w:pPr>
            <w:r>
              <w:rPr>
                <w:sz w:val="17"/>
              </w:rPr>
            </w:r>
            <w:r>
              <w:rPr>
                <w:sz w:val="17"/>
              </w:rPr>
              <w:t>Divergence entre la documentation et le calcul réel</w:t>
            </w:r>
          </w:p>
        </w:tc>
        <w:tc>
          <w:tcPr>
            <w:tcW w:type="dxa" w:w="794"/>
          </w:tcPr>
          <w:p>
            <w:pPr>
              <w:spacing w:after="40" w:before="40"/>
            </w:pPr>
            <w:r>
              <w:rPr>
                <w:sz w:val="17"/>
              </w:rPr>
            </w:r>
            <w:r>
              <w:rPr>
                <w:sz w:val="17"/>
              </w:rPr>
              <w:t>Moyenne</w:t>
            </w:r>
          </w:p>
        </w:tc>
        <w:tc>
          <w:tcPr>
            <w:tcW w:type="dxa" w:w="4333"/>
          </w:tcPr>
          <w:p>
            <w:pPr>
              <w:spacing w:after="40" w:before="40"/>
            </w:pPr>
            <w:r>
              <w:rPr>
                <w:sz w:val="17"/>
              </w:rPr>
            </w:r>
            <w:r>
              <w:rPr>
                <w:sz w:val="17"/>
              </w:rPr>
              <w:t xml:space="preserve">Les grilles de la Partie III sont </w:t>
            </w:r>
            <w:r>
              <w:rPr>
                <w:b/>
                <w:sz w:val="17"/>
              </w:rPr>
              <w:t>générées depuis le code du moteur</w:t>
            </w:r>
            <w:r>
              <w:rPr>
                <w:sz w:val="17"/>
              </w:rPr>
              <w:t xml:space="preserve"> ; toute modification se répercute à la régénération</w:t>
            </w:r>
          </w:p>
        </w:tc>
      </w:tr>
      <w:tr>
        <w:tc>
          <w:tcPr>
            <w:tcW w:type="dxa" w:w="4333"/>
            <w:shd w:val="clear" w:fill="F2F5F8"/>
          </w:tcPr>
          <w:p>
            <w:pPr>
              <w:spacing w:after="40" w:before="40"/>
            </w:pPr>
            <w:r>
              <w:rPr>
                <w:sz w:val="17"/>
              </w:rPr>
            </w:r>
            <w:r>
              <w:rPr>
                <w:sz w:val="17"/>
              </w:rPr>
              <w:t>Dépendance à un fournisseur de base de données ou de cloud</w:t>
            </w:r>
          </w:p>
        </w:tc>
        <w:tc>
          <w:tcPr>
            <w:tcW w:type="dxa" w:w="794"/>
            <w:shd w:val="clear" w:fill="F2F5F8"/>
          </w:tcPr>
          <w:p>
            <w:pPr>
              <w:spacing w:after="40" w:before="40"/>
            </w:pPr>
            <w:r>
              <w:rPr>
                <w:sz w:val="17"/>
              </w:rPr>
            </w:r>
            <w:r>
              <w:rPr>
                <w:sz w:val="17"/>
              </w:rPr>
              <w:t>Moyenne</w:t>
            </w:r>
          </w:p>
        </w:tc>
        <w:tc>
          <w:tcPr>
            <w:tcW w:type="dxa" w:w="4333"/>
            <w:shd w:val="clear" w:fill="F2F5F8"/>
          </w:tcPr>
          <w:p>
            <w:pPr>
              <w:spacing w:after="40" w:before="40"/>
            </w:pPr>
            <w:r>
              <w:rPr>
                <w:sz w:val="17"/>
              </w:rPr>
            </w:r>
            <w:r>
              <w:rPr>
                <w:sz w:val="17"/>
              </w:rPr>
              <w:t>Source de schéma unique générant quatre dialectes ; déploiement local en une commande ; aucune dépendance à un service en ligne</w:t>
            </w:r>
          </w:p>
        </w:tc>
      </w:tr>
      <w:tr>
        <w:tc>
          <w:tcPr>
            <w:tcW w:type="dxa" w:w="4333"/>
          </w:tcPr>
          <w:p>
            <w:pPr>
              <w:spacing w:after="40" w:before="40"/>
            </w:pPr>
            <w:r>
              <w:rPr>
                <w:sz w:val="17"/>
              </w:rPr>
            </w:r>
            <w:r>
              <w:rPr>
                <w:sz w:val="17"/>
              </w:rPr>
              <w:t>Corpus réglementaire non disponible en temps voulu</w:t>
            </w:r>
          </w:p>
        </w:tc>
        <w:tc>
          <w:tcPr>
            <w:tcW w:type="dxa" w:w="794"/>
          </w:tcPr>
          <w:p>
            <w:pPr>
              <w:spacing w:after="40" w:before="40"/>
            </w:pPr>
            <w:r>
              <w:rPr>
                <w:sz w:val="17"/>
              </w:rPr>
            </w:r>
            <w:r>
              <w:rPr>
                <w:sz w:val="17"/>
              </w:rPr>
              <w:t>Élevée</w:t>
            </w:r>
          </w:p>
        </w:tc>
        <w:tc>
          <w:tcPr>
            <w:tcW w:type="dxa" w:w="4333"/>
          </w:tcPr>
          <w:p>
            <w:pPr>
              <w:spacing w:after="40" w:before="40"/>
            </w:pPr>
            <w:r>
              <w:rPr>
                <w:sz w:val="17"/>
              </w:rPr>
            </w:r>
            <w:r>
              <w:rPr>
                <w:sz w:val="17"/>
              </w:rPr>
              <w:t>Les moteurs réglementaires sont spécifiés mais non implémentés ; aucune règle n'est codée sans preuve documentaire</w:t>
            </w:r>
          </w:p>
        </w:tc>
      </w:tr>
      <w:tr>
        <w:tc>
          <w:tcPr>
            <w:tcW w:type="dxa" w:w="4333"/>
            <w:shd w:val="clear" w:fill="F2F5F8"/>
          </w:tcPr>
          <w:p>
            <w:pPr>
              <w:spacing w:after="40" w:before="40"/>
            </w:pPr>
            <w:r>
              <w:rPr>
                <w:sz w:val="17"/>
              </w:rPr>
            </w:r>
            <w:r>
              <w:rPr>
                <w:sz w:val="17"/>
              </w:rPr>
              <w:t>Résistance des métiers à la saisie de 45 critères</w:t>
            </w:r>
          </w:p>
        </w:tc>
        <w:tc>
          <w:tcPr>
            <w:tcW w:type="dxa" w:w="794"/>
            <w:shd w:val="clear" w:fill="F2F5F8"/>
          </w:tcPr>
          <w:p>
            <w:pPr>
              <w:spacing w:after="40" w:before="40"/>
            </w:pPr>
            <w:r>
              <w:rPr>
                <w:sz w:val="17"/>
              </w:rPr>
            </w:r>
            <w:r>
              <w:rPr>
                <w:sz w:val="17"/>
              </w:rPr>
              <w:t>Moyenne</w:t>
            </w:r>
          </w:p>
        </w:tc>
        <w:tc>
          <w:tcPr>
            <w:tcW w:type="dxa" w:w="4333"/>
            <w:shd w:val="clear" w:fill="F2F5F8"/>
          </w:tcPr>
          <w:p>
            <w:pPr>
              <w:spacing w:after="40" w:before="40"/>
            </w:pPr>
            <w:r>
              <w:rPr>
                <w:sz w:val="17"/>
              </w:rPr>
            </w:r>
            <w:r>
              <w:rPr>
                <w:sz w:val="17"/>
              </w:rPr>
              <w:t>Formulaire généré, ancrages visibles, préremplissage depuis les connecteurs, distinction claire entre critères critiques et secondaires</w:t>
            </w:r>
          </w:p>
        </w:tc>
      </w:tr>
    </w:tbl>
    <w:p>
      <w:pPr>
        <w:spacing w:after="80"/>
      </w:pPr>
    </w:p>
    <w:p>
      <w:pPr>
        <w:pStyle w:val="Heading2"/>
      </w:pPr>
      <w:r>
        <w:t>7. Feuille de route</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2232"/>
            <w:shd w:val="clear" w:fill="0F3D63"/>
          </w:tcPr>
          <w:p>
            <w:pPr>
              <w:spacing w:after="40" w:before="40"/>
            </w:pPr>
            <w:r>
              <w:rPr>
                <w:color w:val="FFFFFF"/>
                <w:sz w:val="17"/>
              </w:rPr>
            </w:r>
            <w:r>
              <w:rPr>
                <w:b/>
                <w:color w:val="FFFFFF"/>
                <w:sz w:val="17"/>
              </w:rPr>
              <w:t>Vague</w:t>
            </w:r>
          </w:p>
        </w:tc>
        <w:tc>
          <w:tcPr>
            <w:tcW w:type="dxa" w:w="3189"/>
            <w:shd w:val="clear" w:fill="0F3D63"/>
          </w:tcPr>
          <w:p>
            <w:pPr>
              <w:spacing w:after="40" w:before="40"/>
            </w:pPr>
            <w:r>
              <w:rPr>
                <w:color w:val="FFFFFF"/>
                <w:sz w:val="17"/>
              </w:rPr>
            </w:r>
            <w:r>
              <w:rPr>
                <w:b/>
                <w:color w:val="FFFFFF"/>
                <w:sz w:val="17"/>
              </w:rPr>
              <w:t>Contenu</w:t>
            </w:r>
          </w:p>
        </w:tc>
        <w:tc>
          <w:tcPr>
            <w:tcW w:type="dxa" w:w="850"/>
            <w:shd w:val="clear" w:fill="0F3D63"/>
          </w:tcPr>
          <w:p>
            <w:pPr>
              <w:spacing w:after="40" w:before="40"/>
            </w:pPr>
            <w:r>
              <w:rPr>
                <w:color w:val="FFFFFF"/>
                <w:sz w:val="17"/>
              </w:rPr>
            </w:r>
            <w:r>
              <w:rPr>
                <w:b/>
                <w:color w:val="FFFFFF"/>
                <w:sz w:val="17"/>
              </w:rPr>
              <w:t>Durée indicative</w:t>
            </w:r>
          </w:p>
        </w:tc>
        <w:tc>
          <w:tcPr>
            <w:tcW w:type="dxa" w:w="3189"/>
            <w:shd w:val="clear" w:fill="0F3D63"/>
          </w:tcPr>
          <w:p>
            <w:pPr>
              <w:spacing w:after="40" w:before="40"/>
            </w:pPr>
            <w:r>
              <w:rPr>
                <w:color w:val="FFFFFF"/>
                <w:sz w:val="17"/>
              </w:rPr>
            </w:r>
            <w:r>
              <w:rPr>
                <w:b/>
                <w:color w:val="FFFFFF"/>
                <w:sz w:val="17"/>
              </w:rPr>
              <w:t>Condition de sortie</w:t>
            </w:r>
          </w:p>
        </w:tc>
      </w:tr>
      <w:tr>
        <w:tc>
          <w:tcPr>
            <w:tcW w:type="dxa" w:w="2232"/>
          </w:tcPr>
          <w:p>
            <w:pPr>
              <w:spacing w:after="40" w:before="40"/>
            </w:pPr>
            <w:r>
              <w:rPr>
                <w:sz w:val="17"/>
              </w:rPr>
            </w:r>
            <w:r>
              <w:rPr>
                <w:b/>
                <w:sz w:val="17"/>
              </w:rPr>
              <w:t>1 — Socle et TPE/PME en mode fantôme</w:t>
            </w:r>
          </w:p>
        </w:tc>
        <w:tc>
          <w:tcPr>
            <w:tcW w:type="dxa" w:w="3189"/>
          </w:tcPr>
          <w:p>
            <w:pPr>
              <w:spacing w:after="40" w:before="40"/>
            </w:pPr>
            <w:r>
              <w:rPr>
                <w:sz w:val="17"/>
              </w:rPr>
            </w:r>
            <w:r>
              <w:rPr>
                <w:sz w:val="17"/>
              </w:rPr>
              <w:t>Données, groupe, modèle expert, parcours analyste, interface de programmation, audit</w:t>
            </w:r>
          </w:p>
        </w:tc>
        <w:tc>
          <w:tcPr>
            <w:tcW w:type="dxa" w:w="850"/>
          </w:tcPr>
          <w:p>
            <w:pPr>
              <w:spacing w:after="40" w:before="40"/>
            </w:pPr>
            <w:r>
              <w:rPr>
                <w:sz w:val="17"/>
              </w:rPr>
            </w:r>
            <w:r>
              <w:rPr>
                <w:sz w:val="17"/>
              </w:rPr>
              <w:t>3 à 4 mois</w:t>
            </w:r>
          </w:p>
        </w:tc>
        <w:tc>
          <w:tcPr>
            <w:tcW w:type="dxa" w:w="3189"/>
          </w:tcPr>
          <w:p>
            <w:pPr>
              <w:spacing w:after="40" w:before="40"/>
            </w:pPr>
            <w:r>
              <w:rPr>
                <w:sz w:val="17"/>
              </w:rPr>
            </w:r>
            <w:r>
              <w:rPr>
                <w:sz w:val="17"/>
              </w:rPr>
              <w:t>Notes produites en parallèle des décisions existantes, écarts analysés</w:t>
            </w:r>
          </w:p>
        </w:tc>
      </w:tr>
      <w:tr>
        <w:tc>
          <w:tcPr>
            <w:tcW w:type="dxa" w:w="2232"/>
            <w:shd w:val="clear" w:fill="F2F5F8"/>
          </w:tcPr>
          <w:p>
            <w:pPr>
              <w:spacing w:after="40" w:before="40"/>
            </w:pPr>
            <w:r>
              <w:rPr>
                <w:sz w:val="17"/>
              </w:rPr>
            </w:r>
            <w:r>
              <w:rPr>
                <w:b/>
                <w:sz w:val="17"/>
              </w:rPr>
              <w:t>2 — Grandes entreprises et calibration</w:t>
            </w:r>
          </w:p>
        </w:tc>
        <w:tc>
          <w:tcPr>
            <w:tcW w:type="dxa" w:w="3189"/>
            <w:shd w:val="clear" w:fill="F2F5F8"/>
          </w:tcPr>
          <w:p>
            <w:pPr>
              <w:spacing w:after="40" w:before="40"/>
            </w:pPr>
            <w:r>
              <w:rPr>
                <w:sz w:val="17"/>
              </w:rPr>
            </w:r>
            <w:r>
              <w:rPr>
                <w:sz w:val="17"/>
              </w:rPr>
              <w:t>Modèle GE, support groupe, référentiel sectoriel, premiers travaux de probabilité de défaut</w:t>
            </w:r>
          </w:p>
        </w:tc>
        <w:tc>
          <w:tcPr>
            <w:tcW w:type="dxa" w:w="850"/>
            <w:shd w:val="clear" w:fill="F2F5F8"/>
          </w:tcPr>
          <w:p>
            <w:pPr>
              <w:spacing w:after="40" w:before="40"/>
            </w:pPr>
            <w:r>
              <w:rPr>
                <w:sz w:val="17"/>
              </w:rPr>
            </w:r>
            <w:r>
              <w:rPr>
                <w:sz w:val="17"/>
              </w:rPr>
              <w:t>4 à 6 mois</w:t>
            </w:r>
          </w:p>
        </w:tc>
        <w:tc>
          <w:tcPr>
            <w:tcW w:type="dxa" w:w="3189"/>
            <w:shd w:val="clear" w:fill="F2F5F8"/>
          </w:tcPr>
          <w:p>
            <w:pPr>
              <w:spacing w:after="40" w:before="40"/>
            </w:pPr>
            <w:r>
              <w:rPr>
                <w:sz w:val="17"/>
              </w:rPr>
            </w:r>
            <w:r>
              <w:rPr>
                <w:sz w:val="17"/>
              </w:rPr>
              <w:t>Historique suffisant pour une première estimation, validation indépendante engagée</w:t>
            </w:r>
          </w:p>
        </w:tc>
      </w:tr>
      <w:tr>
        <w:tc>
          <w:tcPr>
            <w:tcW w:type="dxa" w:w="2232"/>
          </w:tcPr>
          <w:p>
            <w:pPr>
              <w:spacing w:after="40" w:before="40"/>
            </w:pPr>
            <w:r>
              <w:rPr>
                <w:sz w:val="17"/>
              </w:rPr>
            </w:r>
            <w:r>
              <w:rPr>
                <w:b/>
                <w:sz w:val="17"/>
              </w:rPr>
              <w:t>3 — Moteurs réglementaires</w:t>
            </w:r>
          </w:p>
        </w:tc>
        <w:tc>
          <w:tcPr>
            <w:tcW w:type="dxa" w:w="3189"/>
          </w:tcPr>
          <w:p>
            <w:pPr>
              <w:spacing w:after="40" w:before="40"/>
            </w:pPr>
            <w:r>
              <w:rPr>
                <w:sz w:val="17"/>
              </w:rPr>
            </w:r>
            <w:r>
              <w:rPr>
                <w:sz w:val="17"/>
              </w:rPr>
              <w:t>Classification, IFRS 9, capital prudentiel — subordonnés à la validation du corpus</w:t>
            </w:r>
          </w:p>
        </w:tc>
        <w:tc>
          <w:tcPr>
            <w:tcW w:type="dxa" w:w="850"/>
          </w:tcPr>
          <w:p>
            <w:pPr>
              <w:spacing w:after="40" w:before="40"/>
            </w:pPr>
            <w:r>
              <w:rPr>
                <w:sz w:val="17"/>
              </w:rPr>
            </w:r>
            <w:r>
              <w:rPr>
                <w:sz w:val="17"/>
              </w:rPr>
              <w:t>4 à 6 mois</w:t>
            </w:r>
          </w:p>
        </w:tc>
        <w:tc>
          <w:tcPr>
            <w:tcW w:type="dxa" w:w="3189"/>
          </w:tcPr>
          <w:p>
            <w:pPr>
              <w:spacing w:after="40" w:before="40"/>
            </w:pPr>
            <w:r>
              <w:rPr>
                <w:sz w:val="17"/>
              </w:rPr>
            </w:r>
            <w:r>
              <w:rPr>
                <w:sz w:val="17"/>
              </w:rPr>
              <w:t>Matrice de traçabilité approuvée, tests réglementaires verts</w:t>
            </w:r>
          </w:p>
        </w:tc>
      </w:tr>
      <w:tr>
        <w:tc>
          <w:tcPr>
            <w:tcW w:type="dxa" w:w="2232"/>
            <w:shd w:val="clear" w:fill="F2F5F8"/>
          </w:tcPr>
          <w:p>
            <w:pPr>
              <w:spacing w:after="40" w:before="40"/>
            </w:pPr>
            <w:r>
              <w:rPr>
                <w:sz w:val="17"/>
              </w:rPr>
            </w:r>
            <w:r>
              <w:rPr>
                <w:b/>
                <w:sz w:val="17"/>
              </w:rPr>
              <w:t>4 — Industrialisation</w:t>
            </w:r>
          </w:p>
        </w:tc>
        <w:tc>
          <w:tcPr>
            <w:tcW w:type="dxa" w:w="3189"/>
            <w:shd w:val="clear" w:fill="F2F5F8"/>
          </w:tcPr>
          <w:p>
            <w:pPr>
              <w:spacing w:after="40" w:before="40"/>
            </w:pPr>
            <w:r>
              <w:rPr>
                <w:sz w:val="17"/>
              </w:rPr>
            </w:r>
            <w:r>
              <w:rPr>
                <w:sz w:val="17"/>
              </w:rPr>
              <w:t>Alerte précoce, traitement de masse, challengers statistiques, surveillance, certification multi-bases</w:t>
            </w:r>
          </w:p>
        </w:tc>
        <w:tc>
          <w:tcPr>
            <w:tcW w:type="dxa" w:w="850"/>
            <w:shd w:val="clear" w:fill="F2F5F8"/>
          </w:tcPr>
          <w:p>
            <w:pPr>
              <w:spacing w:after="40" w:before="40"/>
            </w:pPr>
            <w:r>
              <w:rPr>
                <w:sz w:val="17"/>
              </w:rPr>
            </w:r>
            <w:r>
              <w:rPr>
                <w:sz w:val="17"/>
              </w:rPr>
              <w:t>3 à 4 mois</w:t>
            </w:r>
          </w:p>
        </w:tc>
        <w:tc>
          <w:tcPr>
            <w:tcW w:type="dxa" w:w="3189"/>
            <w:shd w:val="clear" w:fill="F2F5F8"/>
          </w:tcPr>
          <w:p>
            <w:pPr>
              <w:spacing w:after="40" w:before="40"/>
            </w:pPr>
            <w:r>
              <w:rPr>
                <w:sz w:val="17"/>
              </w:rPr>
            </w:r>
            <w:r>
              <w:rPr>
                <w:sz w:val="17"/>
              </w:rPr>
              <w:t>Objectifs de niveau de service tenus, certification des bases retenues</w:t>
            </w:r>
          </w:p>
        </w:tc>
      </w:tr>
    </w:tbl>
    <w:p>
      <w:pPr>
        <w:spacing w:after="80"/>
      </w:pPr>
    </w:p>
    <w:p>
      <w:r>
        <w:t>Le facteur de réussite n'est pas le nombre d'écrans, mais l'accord explicite sur la définition du défaut, la qualité et le lignage des données, l'indépendance des cinq moteurs et la capacité à reproduire un résultat historique avec sa règle exacte.</w:t>
      </w:r>
    </w:p>
    <w:p>
      <w:pPr>
        <w:spacing w:before="80" w:after="160"/>
        <w:pBdr>
          <w:bottom w:val="single" w:sz="6" w:color="D6DBE1"/>
        </w:pBdr>
      </w:pPr>
    </w:p>
    <w:p>
      <w:r>
        <w:br w:type="page"/>
      </w:r>
    </w:p>
    <w:p>
      <w:pPr>
        <w:pStyle w:val="Heading1"/>
      </w:pPr>
      <w:r>
        <w:t>Partie II — Méthodologie du modèle</w:t>
      </w:r>
    </w:p>
    <w:p>
      <w:pPr>
        <w:pStyle w:val="Heading2"/>
      </w:pPr>
      <w:r>
        <w:t>8. Objectifs et philosophie</w:t>
      </w:r>
    </w:p>
    <w:p>
      <w:pPr>
        <w:pStyle w:val="Heading3"/>
      </w:pPr>
      <w:r>
        <w:t>8.1 Ce que le modèle produit</w:t>
      </w:r>
    </w:p>
    <w:p>
      <w:r>
        <w:t xml:space="preserve">Le modèle mesure la qualité de crédit intrinsèque d'une contrepartie entreprise et produit un score brut de 0 à 100, sept scores de domaine, un grade interne ordinal, les contributions détaillées de chaque critère, les facteurs favorables et défavorables classés par contribution, le niveau de confiance dans la note, les red flags et caps applicables, le grade moteur avant dérogation, le grade final après dérogation approuvée, et une probabilité de défaut à 12 mois </w:t>
      </w:r>
      <w:r>
        <w:rPr>
          <w:b/>
        </w:rPr>
        <w:t>uniquement</w:t>
      </w:r>
      <w:r>
        <w:t xml:space="preserve"> lorsque la table grade–PD est empiriquement calibrée.</w:t>
      </w:r>
    </w:p>
    <w:p>
      <w:pPr>
        <w:pStyle w:val="Heading3"/>
      </w:pPr>
      <w:r>
        <w:t>8.2 Ce que le modèle ne fait pas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962"/>
            <w:shd w:val="clear" w:fill="0F3D63"/>
          </w:tcPr>
          <w:p>
            <w:pPr>
              <w:spacing w:after="40" w:before="40"/>
            </w:pPr>
            <w:r>
              <w:rPr>
                <w:color w:val="FFFFFF"/>
                <w:sz w:val="17"/>
              </w:rPr>
            </w:r>
            <w:r>
              <w:rPr>
                <w:b/>
                <w:color w:val="FFFFFF"/>
                <w:sz w:val="17"/>
              </w:rPr>
              <w:t>Sortie</w:t>
            </w:r>
          </w:p>
        </w:tc>
        <w:tc>
          <w:tcPr>
            <w:tcW w:type="dxa" w:w="3294"/>
            <w:shd w:val="clear" w:fill="0F3D63"/>
          </w:tcPr>
          <w:p>
            <w:pPr>
              <w:spacing w:after="40" w:before="40"/>
            </w:pPr>
            <w:r>
              <w:rPr>
                <w:color w:val="FFFFFF"/>
                <w:sz w:val="17"/>
              </w:rPr>
            </w:r>
            <w:r>
              <w:rPr>
                <w:b/>
                <w:color w:val="FFFFFF"/>
                <w:sz w:val="17"/>
              </w:rPr>
              <w:t>Objet</w:t>
            </w:r>
          </w:p>
        </w:tc>
        <w:tc>
          <w:tcPr>
            <w:tcW w:type="dxa" w:w="4205"/>
            <w:shd w:val="clear" w:fill="0F3D63"/>
          </w:tcPr>
          <w:p>
            <w:pPr>
              <w:spacing w:after="40" w:before="40"/>
            </w:pPr>
            <w:r>
              <w:rPr>
                <w:color w:val="FFFFFF"/>
                <w:sz w:val="17"/>
              </w:rPr>
            </w:r>
            <w:r>
              <w:rPr>
                <w:b/>
                <w:color w:val="FFFFFF"/>
                <w:sz w:val="17"/>
              </w:rPr>
              <w:t>Effet des garanties et collatéraux</w:t>
            </w:r>
          </w:p>
        </w:tc>
      </w:tr>
      <w:tr>
        <w:tc>
          <w:tcPr>
            <w:tcW w:type="dxa" w:w="1962"/>
          </w:tcPr>
          <w:p>
            <w:pPr>
              <w:spacing w:after="40" w:before="40"/>
            </w:pPr>
            <w:r>
              <w:rPr>
                <w:sz w:val="17"/>
              </w:rPr>
            </w:r>
            <w:r>
              <w:rPr>
                <w:sz w:val="17"/>
              </w:rPr>
              <w:t>Note emprunteur et PD</w:t>
            </w:r>
          </w:p>
        </w:tc>
        <w:tc>
          <w:tcPr>
            <w:tcW w:type="dxa" w:w="3294"/>
          </w:tcPr>
          <w:p>
            <w:pPr>
              <w:spacing w:after="40" w:before="40"/>
            </w:pPr>
            <w:r>
              <w:rPr>
                <w:sz w:val="17"/>
              </w:rPr>
            </w:r>
            <w:r>
              <w:rPr>
                <w:sz w:val="17"/>
              </w:rPr>
              <w:t>Risque intrinsèque de défaut de la contrepartie</w:t>
            </w:r>
          </w:p>
        </w:tc>
        <w:tc>
          <w:tcPr>
            <w:tcW w:type="dxa" w:w="4205"/>
          </w:tcPr>
          <w:p>
            <w:pPr>
              <w:spacing w:after="40" w:before="40"/>
            </w:pPr>
            <w:r>
              <w:rPr>
                <w:sz w:val="17"/>
              </w:rPr>
            </w:r>
            <w:r>
              <w:rPr>
                <w:sz w:val="17"/>
              </w:rPr>
              <w:t>Aucun effet direct sur la PD, sauf support d'un tiers juridiquement et économiquement démontré</w:t>
            </w:r>
          </w:p>
        </w:tc>
      </w:tr>
      <w:tr>
        <w:tc>
          <w:tcPr>
            <w:tcW w:type="dxa" w:w="1962"/>
            <w:shd w:val="clear" w:fill="F2F5F8"/>
          </w:tcPr>
          <w:p>
            <w:pPr>
              <w:spacing w:after="40" w:before="40"/>
            </w:pPr>
            <w:r>
              <w:rPr>
                <w:sz w:val="17"/>
              </w:rPr>
            </w:r>
            <w:r>
              <w:rPr>
                <w:sz w:val="17"/>
              </w:rPr>
              <w:t>Décision de crédit</w:t>
            </w:r>
          </w:p>
        </w:tc>
        <w:tc>
          <w:tcPr>
            <w:tcW w:type="dxa" w:w="3294"/>
            <w:shd w:val="clear" w:fill="F2F5F8"/>
          </w:tcPr>
          <w:p>
            <w:pPr>
              <w:spacing w:after="40" w:before="40"/>
            </w:pPr>
            <w:r>
              <w:rPr>
                <w:sz w:val="17"/>
              </w:rPr>
            </w:r>
            <w:r>
              <w:rPr>
                <w:sz w:val="17"/>
              </w:rPr>
              <w:t>Acceptation, conditions, délégation, limites</w:t>
            </w:r>
          </w:p>
        </w:tc>
        <w:tc>
          <w:tcPr>
            <w:tcW w:type="dxa" w:w="4205"/>
            <w:shd w:val="clear" w:fill="F2F5F8"/>
          </w:tcPr>
          <w:p>
            <w:pPr>
              <w:spacing w:after="40" w:before="40"/>
            </w:pPr>
            <w:r>
              <w:rPr>
                <w:sz w:val="17"/>
              </w:rPr>
            </w:r>
            <w:r>
              <w:rPr>
                <w:sz w:val="17"/>
              </w:rPr>
              <w:t>Oui, selon la politique de crédit</w:t>
            </w:r>
          </w:p>
        </w:tc>
      </w:tr>
      <w:tr>
        <w:tc>
          <w:tcPr>
            <w:tcW w:type="dxa" w:w="1962"/>
          </w:tcPr>
          <w:p>
            <w:pPr>
              <w:spacing w:after="40" w:before="40"/>
            </w:pPr>
            <w:r>
              <w:rPr>
                <w:sz w:val="17"/>
              </w:rPr>
            </w:r>
            <w:r>
              <w:rPr>
                <w:sz w:val="17"/>
              </w:rPr>
              <w:t>Classification réglementaire</w:t>
            </w:r>
          </w:p>
        </w:tc>
        <w:tc>
          <w:tcPr>
            <w:tcW w:type="dxa" w:w="3294"/>
          </w:tcPr>
          <w:p>
            <w:pPr>
              <w:spacing w:after="40" w:before="40"/>
            </w:pPr>
            <w:r>
              <w:rPr>
                <w:sz w:val="17"/>
              </w:rPr>
            </w:r>
            <w:r>
              <w:rPr>
                <w:sz w:val="17"/>
              </w:rPr>
              <w:t>Classe et provision</w:t>
            </w:r>
          </w:p>
        </w:tc>
        <w:tc>
          <w:tcPr>
            <w:tcW w:type="dxa" w:w="4205"/>
          </w:tcPr>
          <w:p>
            <w:pPr>
              <w:spacing w:after="40" w:before="40"/>
            </w:pPr>
            <w:r>
              <w:rPr>
                <w:sz w:val="17"/>
              </w:rPr>
            </w:r>
            <w:r>
              <w:rPr>
                <w:sz w:val="17"/>
              </w:rPr>
              <w:t>Oui, uniquement selon l'éligibilité et les règles du régime applicable</w:t>
            </w:r>
          </w:p>
        </w:tc>
      </w:tr>
      <w:tr>
        <w:tc>
          <w:tcPr>
            <w:tcW w:type="dxa" w:w="1962"/>
            <w:shd w:val="clear" w:fill="F2F5F8"/>
          </w:tcPr>
          <w:p>
            <w:pPr>
              <w:spacing w:after="40" w:before="40"/>
            </w:pPr>
            <w:r>
              <w:rPr>
                <w:sz w:val="17"/>
              </w:rPr>
            </w:r>
            <w:r>
              <w:rPr>
                <w:sz w:val="17"/>
              </w:rPr>
              <w:t>IFRS 9</w:t>
            </w:r>
          </w:p>
        </w:tc>
        <w:tc>
          <w:tcPr>
            <w:tcW w:type="dxa" w:w="3294"/>
            <w:shd w:val="clear" w:fill="F2F5F8"/>
          </w:tcPr>
          <w:p>
            <w:pPr>
              <w:spacing w:after="40" w:before="40"/>
            </w:pPr>
            <w:r>
              <w:rPr>
                <w:sz w:val="17"/>
              </w:rPr>
            </w:r>
            <w:r>
              <w:rPr>
                <w:sz w:val="17"/>
              </w:rPr>
              <w:t>Stage et pertes attendues</w:t>
            </w:r>
          </w:p>
        </w:tc>
        <w:tc>
          <w:tcPr>
            <w:tcW w:type="dxa" w:w="4205"/>
            <w:shd w:val="clear" w:fill="F2F5F8"/>
          </w:tcPr>
          <w:p>
            <w:pPr>
              <w:spacing w:after="40" w:before="40"/>
            </w:pPr>
            <w:r>
              <w:rPr>
                <w:sz w:val="17"/>
              </w:rPr>
            </w:r>
            <w:r>
              <w:rPr>
                <w:sz w:val="17"/>
              </w:rPr>
              <w:t>Oui, dans la perte en cas de défaut, les flux de récupération et l'exposition</w:t>
            </w:r>
          </w:p>
        </w:tc>
      </w:tr>
      <w:tr>
        <w:tc>
          <w:tcPr>
            <w:tcW w:type="dxa" w:w="1962"/>
          </w:tcPr>
          <w:p>
            <w:pPr>
              <w:spacing w:after="40" w:before="40"/>
            </w:pPr>
            <w:r>
              <w:rPr>
                <w:sz w:val="17"/>
              </w:rPr>
            </w:r>
            <w:r>
              <w:rPr>
                <w:sz w:val="17"/>
              </w:rPr>
              <w:t>Actifs pondérés</w:t>
            </w:r>
          </w:p>
        </w:tc>
        <w:tc>
          <w:tcPr>
            <w:tcW w:type="dxa" w:w="3294"/>
          </w:tcPr>
          <w:p>
            <w:pPr>
              <w:spacing w:after="40" w:before="40"/>
            </w:pPr>
            <w:r>
              <w:rPr>
                <w:sz w:val="17"/>
              </w:rPr>
            </w:r>
            <w:r>
              <w:rPr>
                <w:sz w:val="17"/>
              </w:rPr>
              <w:t>Exposition pondérée et réduction du risque</w:t>
            </w:r>
          </w:p>
        </w:tc>
        <w:tc>
          <w:tcPr>
            <w:tcW w:type="dxa" w:w="4205"/>
          </w:tcPr>
          <w:p>
            <w:pPr>
              <w:spacing w:after="40" w:before="40"/>
            </w:pPr>
            <w:r>
              <w:rPr>
                <w:sz w:val="17"/>
              </w:rPr>
            </w:r>
            <w:r>
              <w:rPr>
                <w:sz w:val="17"/>
              </w:rPr>
              <w:t>Oui, selon la reconnaissance prudentielle</w:t>
            </w:r>
          </w:p>
        </w:tc>
      </w:tr>
    </w:tbl>
    <w:p>
      <w:pPr>
        <w:spacing w:after="80"/>
      </w:pPr>
    </w:p>
    <w:p>
      <w:r>
        <w:t>Une bonne garantie ne transforme pas un mauvais emprunteur en bon emprunteur : elle réduit éventuellement la perte en cas de défaut, ou sécurise la décision.</w:t>
      </w:r>
    </w:p>
    <w:p>
      <w:pPr>
        <w:pStyle w:val="Heading3"/>
      </w:pPr>
      <w:r>
        <w:t>8.3 Critères de sélection d'une variable</w:t>
      </w:r>
    </w:p>
    <w:p>
      <w:r>
        <w:t xml:space="preserve">Une variable n'entre dans le modèle que si elle satisfait six conditions cumulatives : un </w:t>
      </w:r>
      <w:r>
        <w:rPr>
          <w:b/>
        </w:rPr>
        <w:t>lien économique</w:t>
      </w:r>
      <w:r>
        <w:t xml:space="preserve"> avec le risque de défaut explicable en une phrase à un comité ; une </w:t>
      </w:r>
      <w:r>
        <w:rPr>
          <w:b/>
        </w:rPr>
        <w:t>disponibilité</w:t>
      </w:r>
      <w:r>
        <w:t xml:space="preserve"> effective pour la majorité de la population cible ; une </w:t>
      </w:r>
      <w:r>
        <w:rPr>
          <w:b/>
        </w:rPr>
        <w:t>mesurabilité</w:t>
      </w:r>
      <w:r>
        <w:t xml:space="preserve"> objective à partir d'une source identifiable ; une </w:t>
      </w:r>
      <w:r>
        <w:rPr>
          <w:b/>
        </w:rPr>
        <w:t>résistance à la manipulation</w:t>
      </w:r>
      <w:r>
        <w:t xml:space="preserve"> raisonnable, ou l'existence d'un contrôle de cohérence ; une </w:t>
      </w:r>
      <w:r>
        <w:rPr>
          <w:b/>
        </w:rPr>
        <w:t>non-redondance</w:t>
      </w:r>
      <w:r>
        <w:t xml:space="preserve"> avec les autres variables retenues ; une </w:t>
      </w:r>
      <w:r>
        <w:rPr>
          <w:b/>
        </w:rPr>
        <w:t>stabilité</w:t>
      </w:r>
      <w:r>
        <w:t xml:space="preserve"> temporelle suffisante pour ne pas produire de volatilité artificielle de la note.</w:t>
      </w:r>
    </w:p>
    <w:p>
      <w:r>
        <w:t>Les variables qui échouent sur la disponibilité sur un segment donné y reçoivent un poids nul plutôt qu'une valeur imputée : c'est le cas de plusieurs indicateurs de cash-flow sur la TPE.</w:t>
      </w:r>
    </w:p>
    <w:p>
      <w:pPr>
        <w:pStyle w:val="Heading3"/>
      </w:pPr>
      <w:r>
        <w:t>8.4 Approche de pondération</w:t>
      </w:r>
    </w:p>
    <w:p>
      <w:r>
        <w:t xml:space="preserve">Les poids initiaux résultent d'un jugement expert structuré, non d'une optimisation statistique — impossible en l'absence d'historique. Ils suivent trois principes : le poids d'un domaine reflète sa </w:t>
      </w:r>
      <w:r>
        <w:rPr>
          <w:b/>
        </w:rPr>
        <w:t>valeur informationnelle attendue</w:t>
      </w:r>
      <w:r>
        <w:t xml:space="preserve"> compte tenu de la qualité de la donnée disponible sur le segment ; aucun critère élémentaire ne dépasse 6 % du score global dans le modèle standard, afin qu'aucune variable isolée ne détermine la note — le modèle TPE comportemental admet un plafond de 8 %, la mesure des retards de paiement y étant la variable la plus discriminante disponible ; la somme est vérifiée à exactement 100,00 % par segment, contrôle automatisé qui fait échouer le démarrage de l'application en cas d'écart.</w:t>
      </w:r>
    </w:p>
    <w:p>
      <w:r>
        <w:t>Ces poids sont des hypothèses documentées, destinées à être challengées sur le portefeuille de la banque, puis remplacées par des coefficients estimés lors du passage au modèle challenger.</w:t>
      </w:r>
    </w:p>
    <w:p>
      <w:pPr>
        <w:pStyle w:val="Heading2"/>
      </w:pPr>
      <w:r>
        <w:t>9. Périmètre, unité de notation et segmentation</w:t>
      </w:r>
    </w:p>
    <w:p>
      <w:pPr>
        <w:pStyle w:val="Heading3"/>
      </w:pPr>
      <w:r>
        <w:t>9.1 Contreparties incluses</w:t>
      </w:r>
    </w:p>
    <w:p>
      <w:r>
        <w:t>Sociétés non financières marocaines ; entrepreneurs individuels assimilés à une entreprise selon la politique de la banque ; holdings opérationnelles lorsque les flux et le support peuvent être analysés ; contreparties appartenant à un groupe, avec note autonome et analyse groupe distinctes.</w:t>
      </w:r>
    </w:p>
    <w:p>
      <w:pPr>
        <w:pStyle w:val="Heading3"/>
      </w:pPr>
      <w:r>
        <w:t>9.2 Modèles dédiés ou hors périmètre</w:t>
      </w:r>
    </w:p>
    <w:p>
      <w:r>
        <w:t>Établissements de crédit, sociétés financières et assurances ; souverains, collectivités et entités publiques ; financement de projets et financements spécialisés ; promotion immobilière et immobilier générateur de revenus ; startups sans historique financier suffisant ; associations et fondations ; contreparties en défaut, qui relèvent des grades défaut sans forcer un modèle de continuité d'exploitation.</w:t>
      </w:r>
    </w:p>
    <w:p>
      <w:r>
        <w:t>Un cas hors modèle est routé avec motif tracé, ou bloqué. Il ne reçoit jamais une note neutre par défaut.</w:t>
      </w:r>
    </w:p>
    <w:p>
      <w:pPr>
        <w:pStyle w:val="Heading3"/>
      </w:pPr>
      <w:r>
        <w:t>9.3 Segmentation</w:t>
      </w:r>
    </w:p>
    <w:p>
      <w:r>
        <w:t>La segmentation est calculée sur la contrepartie et, lorsque requis, sur le groupe d'intérêt consolidé. Les seuils figurant en Partie III sont des paramètres versionnés, effectifs-datés, dont la source doit être confirmée dans le corpus applicable. Le chiffre d'affaires du groupe prime sur celui de l'entité lorsqu'il est disponible.</w:t>
      </w:r>
    </w:p>
    <w:p>
      <w:r>
        <w:t xml:space="preserve">Si le segment ne peut être déterminé, </w:t>
      </w:r>
      <w:r>
        <w:rPr>
          <w:b/>
        </w:rPr>
        <w:t>le scoring est bloqué</w:t>
      </w:r>
      <w:r>
        <w:t xml:space="preserve"> : aucun segment par défaut n'est appliqué, car le choix du segment détermine à la fois les pondérations et les barèmes.</w:t>
      </w:r>
    </w:p>
    <w:p>
      <w:pPr>
        <w:pStyle w:val="Heading3"/>
      </w:pPr>
      <w:r>
        <w:t>9.4 Variante TPE comportementale</w:t>
      </w:r>
    </w:p>
    <w:p>
      <w:r>
        <w:t xml:space="preserve">Une TPE dont les comptes sont insuffisamment fiables ne reçoit pas automatiquement une note moyenne. Elle est dirigée vers un modèle comportemental distinct si </w:t>
      </w:r>
      <w:r>
        <w:rPr>
          <w:b/>
        </w:rPr>
        <w:t>toutes</w:t>
      </w:r>
      <w:r>
        <w:t xml:space="preserve"> les conditions minimales sont réunies : au moins douze mois d'historique de compte exploitable, chiffre d'affaires ou mouvements créditeurs raisonnablement vérifiés, encours, limites et incidents disponibles, identité et obligations documentaires validées, absence de red flag bloquant.</w:t>
      </w:r>
    </w:p>
    <w:p>
      <w:r>
        <w:t>Ce modèle porte un identifiant distinct, ses propres poids et sa propre calibration. Les scores des deux modèles ne sont pas comparables sans table de correspondance validée.</w:t>
      </w:r>
    </w:p>
    <w:p>
      <w:pPr>
        <w:pStyle w:val="Heading2"/>
      </w:pPr>
      <w:r>
        <w:t>10. Architecture de calcul</w:t>
      </w:r>
    </w:p>
    <w:p>
      <w:pPr>
        <w:pStyle w:val="Heading3"/>
      </w:pPr>
      <w:r>
        <w:t>10.1 Score d'un critère</w:t>
      </w:r>
    </w:p>
    <w:p>
      <w:r>
        <w:t>Chaque critère élémentaire reçoit un score parmi 0, 25, 50, 75 et 100. Pour une variable continue, une interpolation linéaire à l'intérieur d'une bande est possible mais désactivée par défaut : elle ne peut être activée qu'après validation, car elle introduit une précision que les seuils experts ne justifient pas.</w:t>
      </w:r>
    </w:p>
    <w:p>
      <w:pPr>
        <w:pStyle w:val="Heading3"/>
      </w:pPr>
      <w:r>
        <w:t>10.2 Agrégation</w:t>
      </w:r>
    </w:p>
    <w:p>
      <w:pPr>
        <w:pStyle w:val="CodeBlock"/>
        <w:shd w:val="clear" w:fill="F4F6F8"/>
      </w:pPr>
      <w:r>
        <w:t>Score_domaine = Σ(Score_critère × Poids_critère) / Σ(Poids applicables)</w:t>
        <w:br/>
        <w:t>Score_brut    = Σ(Score_domaine × Poids_domaine) / Σ(Poids de domaines applicables)</w:t>
      </w:r>
    </w:p>
    <w:p>
      <w:r>
        <w:t xml:space="preserve">La redistribution de poids n'est autorisée que pour un critère authentiquement </w:t>
      </w:r>
      <w:r>
        <w:rPr>
          <w:b/>
        </w:rPr>
        <w:t>non applicable</w:t>
      </w:r>
      <w:r>
        <w:t>, et uniquement à l'intérieur du même domaine. Une donnée manquante, invalide ou obsolète n'est jamais redistribuée silencieusement : elle déclenche la politique de qualité, un cap ou un blocage.</w:t>
      </w:r>
    </w:p>
    <w:p>
      <w:r>
        <w:t>Les poids sont manipulés en points de base entiers ; l'arrondi n'intervient qu'à l'affichage.</w:t>
      </w:r>
    </w:p>
    <w:p>
      <w:pPr>
        <w:pStyle w:val="Heading3"/>
      </w:pPr>
      <w:r>
        <w:t>10.3 Ordre de calcul obligatoire</w:t>
      </w:r>
    </w:p>
    <w:p>
      <w:pPr>
        <w:pStyle w:val="ListNumber"/>
        <w:spacing w:after="40"/>
      </w:pPr>
      <w:r>
        <w:t>identification et routage du modèle ;</w:t>
      </w:r>
    </w:p>
    <w:p>
      <w:pPr>
        <w:pStyle w:val="ListNumber"/>
        <w:spacing w:after="40"/>
      </w:pPr>
      <w:r>
        <w:t>segmentation ;</w:t>
      </w:r>
    </w:p>
    <w:p>
      <w:pPr>
        <w:pStyle w:val="ListNumber"/>
        <w:spacing w:after="40"/>
      </w:pPr>
      <w:r>
        <w:t>contrôles de complétude et de validité ;</w:t>
      </w:r>
    </w:p>
    <w:p>
      <w:pPr>
        <w:pStyle w:val="ListNumber"/>
        <w:spacing w:after="40"/>
      </w:pPr>
      <w:r>
        <w:t>calcul des indicateurs ;</w:t>
      </w:r>
    </w:p>
    <w:p>
      <w:pPr>
        <w:pStyle w:val="ListNumber"/>
        <w:spacing w:after="40"/>
      </w:pPr>
      <w:r>
        <w:t>détermination des bandes et scores élémentaires ;</w:t>
      </w:r>
    </w:p>
    <w:p>
      <w:pPr>
        <w:pStyle w:val="ListNumber"/>
        <w:spacing w:after="40"/>
      </w:pPr>
      <w:r>
        <w:t>agrégation par domaine ;</w:t>
      </w:r>
    </w:p>
    <w:p>
      <w:pPr>
        <w:pStyle w:val="ListNumber"/>
        <w:spacing w:after="40"/>
      </w:pPr>
      <w:r>
        <w:t>agrégation globale ;</w:t>
      </w:r>
    </w:p>
    <w:p>
      <w:pPr>
        <w:pStyle w:val="ListNumber"/>
        <w:spacing w:after="40"/>
      </w:pPr>
      <w:r>
        <w:t>application des caps de qualité et de structure ;</w:t>
      </w:r>
    </w:p>
    <w:p>
      <w:pPr>
        <w:pStyle w:val="ListNumber"/>
        <w:spacing w:after="40"/>
      </w:pPr>
      <w:r>
        <w:t>détection des red flags et routage ;</w:t>
      </w:r>
    </w:p>
    <w:p>
      <w:pPr>
        <w:pStyle w:val="ListNumber"/>
        <w:spacing w:after="40"/>
      </w:pPr>
      <w:r>
        <w:t>grade moteur ;</w:t>
      </w:r>
    </w:p>
    <w:p>
      <w:pPr>
        <w:pStyle w:val="ListNumber"/>
        <w:spacing w:after="40"/>
      </w:pPr>
      <w:r>
        <w:t>dérogation éventuelle sous double validation ;</w:t>
      </w:r>
    </w:p>
    <w:p>
      <w:pPr>
        <w:pStyle w:val="ListNumber"/>
        <w:spacing w:after="40"/>
      </w:pPr>
      <w:r>
        <w:t>enregistrement de l'instantané, des explications et des versions.</w:t>
      </w:r>
    </w:p>
    <w:p>
      <w:r>
        <w:t xml:space="preserve">Les arrêts durs et la définition du défaut ne sont jamais dilués dans la moyenne pondérée : un red flag bloquant arrête le calcul </w:t>
      </w:r>
      <w:r>
        <w:rPr>
          <w:b/>
        </w:rPr>
        <w:t>avant</w:t>
      </w:r>
      <w:r>
        <w:t xml:space="preserve"> toute agrégation, et un défaut avéré force un grade défaut quel que soit le score.</w:t>
      </w:r>
    </w:p>
    <w:p>
      <w:pPr>
        <w:pStyle w:val="Heading3"/>
      </w:pPr>
      <w:r>
        <w:t>10.4 États de donnée</w:t>
      </w:r>
    </w:p>
    <w:p>
      <w:r>
        <w:t xml:space="preserve">Chaque champ porte l'un des états </w:t>
      </w:r>
      <w:r>
        <w:rPr>
          <w:rFonts w:ascii="Consolas" w:hAnsi="Consolas"/>
          <w:color w:val="8A2B2B"/>
          <w:sz w:val="18"/>
        </w:rPr>
        <w:t>AVAILABLE</w:t>
      </w:r>
      <w:r>
        <w:t xml:space="preserve">, </w:t>
      </w:r>
      <w:r>
        <w:rPr>
          <w:rFonts w:ascii="Consolas" w:hAnsi="Consolas"/>
          <w:color w:val="8A2B2B"/>
          <w:sz w:val="18"/>
        </w:rPr>
        <w:t>MISSING</w:t>
      </w:r>
      <w:r>
        <w:t xml:space="preserve">, </w:t>
      </w:r>
      <w:r>
        <w:rPr>
          <w:rFonts w:ascii="Consolas" w:hAnsi="Consolas"/>
          <w:color w:val="8A2B2B"/>
          <w:sz w:val="18"/>
        </w:rPr>
        <w:t>NOT_APPLICABLE</w:t>
      </w:r>
      <w:r>
        <w:t xml:space="preserve">, </w:t>
      </w:r>
      <w:r>
        <w:rPr>
          <w:rFonts w:ascii="Consolas" w:hAnsi="Consolas"/>
          <w:color w:val="8A2B2B"/>
          <w:sz w:val="18"/>
        </w:rPr>
        <w:t>INVALID</w:t>
      </w:r>
      <w:r>
        <w:t xml:space="preserve">, </w:t>
      </w:r>
      <w:r>
        <w:rPr>
          <w:rFonts w:ascii="Consolas" w:hAnsi="Consolas"/>
          <w:color w:val="8A2B2B"/>
          <w:sz w:val="18"/>
        </w:rPr>
        <w:t>STALE</w:t>
      </w:r>
      <w:r>
        <w:t xml:space="preserve"> ou </w:t>
      </w:r>
      <w:r>
        <w:rPr>
          <w:rFonts w:ascii="Consolas" w:hAnsi="Consolas"/>
          <w:color w:val="8A2B2B"/>
          <w:sz w:val="18"/>
        </w:rPr>
        <w:t>ESTIMATED</w:t>
      </w:r>
      <w:r>
        <w:t xml:space="preserve">. </w:t>
      </w:r>
      <w:r>
        <w:rPr>
          <w:b/>
        </w:rPr>
        <w:t>La valeur zéro est une valeur économique, jamais un code de donnée manquante.</w:t>
      </w:r>
    </w:p>
    <w:p>
      <w:r>
        <w:t>Un ratio non calculable en raison d'un dénominateur nul ou négatif n'est pas automatiquement traité comme manquant : il reçoit le traitement économique défini dans la grille — par exemple, un excédent brut d'exploitation négatif conduit à un score nul sur le levier, ce qui est une information, pas une absence d'information.</w:t>
      </w:r>
    </w:p>
    <w:p>
      <w:pPr>
        <w:pStyle w:val="Heading2"/>
      </w:pPr>
      <w:r>
        <w:t>11. Justification économique des sept domaines</w:t>
      </w:r>
    </w:p>
    <w:p>
      <w:pPr>
        <w:pStyle w:val="Heading3"/>
      </w:pPr>
      <w:r>
        <w:t>D1 — Performance financière et structure bilancielle</w:t>
      </w:r>
    </w:p>
    <w:p>
      <w:r>
        <w:t>Le domaine mesure la capacité de l'entreprise à générer un résultat, la solidité de sa structure de financement et la qualité de conversion de ce résultat en trésorerie.</w:t>
      </w:r>
    </w:p>
    <w:p>
      <w:r>
        <w:t xml:space="preserve">Le ratio de </w:t>
      </w:r>
      <w:r>
        <w:rPr>
          <w:b/>
        </w:rPr>
        <w:t>fonds propres tangibles sur total bilan</w:t>
      </w:r>
      <w:r>
        <w:t xml:space="preserve"> est retenu comme mesure centrale de solvabilité parce qu'il capture la capacité d'absorption des pertes, après élimination des actifs incorporels et des non-valeurs. Une réévaluation non liquide ou une créance sur associé ne vaut pas recapitalisation en numéraire ; les comptes courants d'associés ne sont assimilés aux fonds propres que sous conditions juridiques de subordination, de blocage et de permanence approuvées.</w:t>
      </w:r>
    </w:p>
    <w:p>
      <w:r>
        <w:t xml:space="preserve">Le </w:t>
      </w:r>
      <w:r>
        <w:rPr>
          <w:b/>
        </w:rPr>
        <w:t>levier dette nette sur excédent brut d'exploitation</w:t>
      </w:r>
      <w:r>
        <w:t xml:space="preserve"> est l'indicateur de soutenabilité de l'endettement le plus discriminant sur la population corporate. Les seuils sont différenciés par segment : une PME supporte structurellement un levier plus faible qu'une grande entreprise à risque égal, faute d'accès au refinancement de marché.</w:t>
      </w:r>
    </w:p>
    <w:p>
      <w:r>
        <w:t xml:space="preserve">La </w:t>
      </w:r>
      <w:r>
        <w:rPr>
          <w:b/>
        </w:rPr>
        <w:t>conversion de l'excédent brut d'exploitation en cash-flow opérationnel</w:t>
      </w:r>
      <w:r>
        <w:t>, moyennée sur trois exercices avec des poids dégressifs, détecte les situations où le résultat comptable ne se traduit pas en trésorerie — signal classique de dégradation de la qualité des créances ou de gonflement des stocks. Son poids croît fortement sur le segment GE, où la qualité de l'information permet une lecture fiable du tableau de flux.</w:t>
      </w:r>
    </w:p>
    <w:p>
      <w:pPr>
        <w:pStyle w:val="Heading3"/>
      </w:pPr>
      <w:r>
        <w:t>D2 — Capacité de remboursement et résistance au stress</w:t>
      </w:r>
    </w:p>
    <w:p>
      <w:r>
        <w:t xml:space="preserve">Là où D1 mesure un état, D2 mesure une capacité prospective. Le </w:t>
      </w:r>
      <w:r>
        <w:rPr>
          <w:b/>
        </w:rPr>
        <w:t>ratio de couverture du service de la dette</w:t>
      </w:r>
      <w:r>
        <w:t xml:space="preserve"> rapporte les flux disponibles aux échéances contractuelles, en incluant le crédit-bail et la dette assimilée — omission fréquente qui flatte artificiellement le ratio.</w:t>
      </w:r>
    </w:p>
    <w:p>
      <w:r>
        <w:t xml:space="preserve">La </w:t>
      </w:r>
      <w:r>
        <w:rPr>
          <w:b/>
        </w:rPr>
        <w:t>résistance au stress</w:t>
      </w:r>
      <w:r>
        <w:t xml:space="preserve"> applique un choc combiné adapté au secteur et mesure le ratio de couverture résiduel. Les chocs ne modifient jamais rétroactivement les comptes observés : ils produisent des métriques séparées, avec leur scénario, leur sévérité et leur effet documenté sur la décision.</w:t>
      </w:r>
    </w:p>
    <w:p>
      <w:r>
        <w:t xml:space="preserve">La </w:t>
      </w:r>
      <w:r>
        <w:rPr>
          <w:b/>
        </w:rPr>
        <w:t>liquidité disponible face au mur de dette</w:t>
      </w:r>
      <w:r>
        <w:t xml:space="preserve"> capture le risque de refinancement, distinct du risque de solvabilité : une entreprise solvable peut faire défaut sur un problème de calendrier.</w:t>
      </w:r>
    </w:p>
    <w:p>
      <w:pPr>
        <w:pStyle w:val="Heading3"/>
      </w:pPr>
      <w:r>
        <w:t>D3 — Comportement bancaire et historique de crédit</w:t>
      </w:r>
    </w:p>
    <w:p>
      <w:r>
        <w:t>Ce domaine est le plus prédictif à court terme sur les petites contreparties, pour trois raisons : les données sont disponibles mensuellement, elles sont produites par la banque elle-même donc difficilement manipulables, et un incident de paiement est un signal de tension de trésorerie qui précède souvent de plusieurs mois la dégradation comptable.</w:t>
      </w:r>
    </w:p>
    <w:p>
      <w:r>
        <w:t xml:space="preserve">Les </w:t>
      </w:r>
      <w:r>
        <w:rPr>
          <w:b/>
        </w:rPr>
        <w:t>jours de retard</w:t>
      </w:r>
      <w:r>
        <w:t xml:space="preserve"> sont mesurés en maximum et en fréquence sur douze mois, complétés par vingt-quatre mois pour détecter la récidive. La définition du défaut et la classification réglementaire s'appliquent séparément et peuvent forcer un grade défaut.</w:t>
      </w:r>
    </w:p>
    <w:p>
      <w:r>
        <w:t xml:space="preserve">Les </w:t>
      </w:r>
      <w:r>
        <w:rPr>
          <w:b/>
        </w:rPr>
        <w:t>mouvements créditeurs rapportés aux flux attendus</w:t>
      </w:r>
      <w:r>
        <w:t xml:space="preserve"> mesurent la part d'activité réellement domiciliée. Une baisse de ce ratio signale soit une perte d'activité, soit un transfert de flux vers un concurrent — deux informations de risque différentes, à instruire. Les virements circulaires et mouvements artificiels sont exclus du calcul.</w:t>
      </w:r>
    </w:p>
    <w:p>
      <w:r>
        <w:t xml:space="preserve">Une </w:t>
      </w:r>
      <w:r>
        <w:rPr>
          <w:b/>
        </w:rPr>
        <w:t>absence de donnée externe n'est jamais assimilée à une absence d'incident.</w:t>
      </w:r>
    </w:p>
    <w:p>
      <w:pPr>
        <w:pStyle w:val="Heading3"/>
      </w:pPr>
      <w:r>
        <w:t>D4 — Activité, secteur et positionnement</w:t>
      </w:r>
    </w:p>
    <w:p>
      <w:r>
        <w:t xml:space="preserve">Le </w:t>
      </w:r>
      <w:r>
        <w:rPr>
          <w:b/>
        </w:rPr>
        <w:t>risque sectoriel</w:t>
      </w:r>
      <w:r>
        <w:t xml:space="preserve"> provient d'un référentiel séparé, daté et approuvé, et n'est pas saisi librement par l'analyste — c'est une condition de comparabilité entre dossiers. Une entreprise performante dans un secteur faible conserve le score sectoriel de son secteur, mais peut obtenir de bons scores de position concurrentielle et de qualité de croissance.</w:t>
      </w:r>
    </w:p>
    <w:p>
      <w:r>
        <w:t xml:space="preserve">Les </w:t>
      </w:r>
      <w:r>
        <w:rPr>
          <w:b/>
        </w:rPr>
        <w:t>concentrations clients et fournisseurs</w:t>
      </w:r>
      <w:r>
        <w:t xml:space="preserve"> sont mesurées après élimination des ventes liées et circulaires. Un contrat de long terme de haute qualité peut justifier un relèvement d'un cran au maximum, documenté.</w:t>
      </w:r>
    </w:p>
    <w:p>
      <w:r>
        <w:t xml:space="preserve">La </w:t>
      </w:r>
      <w:r>
        <w:rPr>
          <w:b/>
        </w:rPr>
        <w:t>qualité de la croissance</w:t>
      </w:r>
      <w:r>
        <w:t xml:space="preserve"> distingue une croissance rentable financée par le cash-flow d'une expansion financée par la dette et le besoin en fonds de roulement — cette dernière étant une cause fréquente de défaillance d'entreprises par ailleurs profitables.</w:t>
      </w:r>
    </w:p>
    <w:p>
      <w:pPr>
        <w:pStyle w:val="Heading3"/>
      </w:pPr>
      <w:r>
        <w:t>D5 — Management, gouvernance et groupe</w:t>
      </w:r>
    </w:p>
    <w:p>
      <w:r>
        <w:t xml:space="preserve">Sur la TPE et la PME familiale, la </w:t>
      </w:r>
      <w:r>
        <w:rPr>
          <w:b/>
        </w:rPr>
        <w:t>dépendance à l'homme-clé</w:t>
      </w:r>
      <w:r>
        <w:t xml:space="preserve"> est un facteur de risque majeur et sous-évalué : l'indisponibilité du dirigeant peut compromettre immédiatement la relation client, la compétence technique et le pouvoir de signature.</w:t>
      </w:r>
    </w:p>
    <w:p>
      <w:r>
        <w:t xml:space="preserve">Le critère </w:t>
      </w:r>
      <w:r>
        <w:rPr>
          <w:b/>
        </w:rPr>
        <w:t>actionnariat, groupe et soutien</w:t>
      </w:r>
      <w:r>
        <w:t xml:space="preserve"> évalue la structure actionnariale ; il ne porte </w:t>
      </w:r>
      <w:r>
        <w:rPr>
          <w:b/>
        </w:rPr>
        <w:t>pas</w:t>
      </w:r>
      <w:r>
        <w:t xml:space="preserve"> le relèvement lié au support groupe, qui relève d'une méthode dédiée conservant la note autonome et exigeant capacité, volonté, cadre juridique et transférabilité des fonds.</w:t>
      </w:r>
    </w:p>
    <w:p>
      <w:r>
        <w:t xml:space="preserve">Les </w:t>
      </w:r>
      <w:r>
        <w:rPr>
          <w:b/>
        </w:rPr>
        <w:t>transactions avec parties liées</w:t>
      </w:r>
      <w:r>
        <w:t xml:space="preserve"> sont surveillées comme vecteur principal de fuite de trésorerie dans les groupes non cotés.</w:t>
      </w:r>
    </w:p>
    <w:p>
      <w:pPr>
        <w:pStyle w:val="Heading3"/>
      </w:pPr>
      <w:r>
        <w:t>D6 — Transparence et conformité</w:t>
      </w:r>
    </w:p>
    <w:p>
      <w:r>
        <w:t xml:space="preserve">Le domaine mesure un risque d'information, non une qualité morale. Le </w:t>
      </w:r>
      <w:r>
        <w:rPr>
          <w:b/>
        </w:rPr>
        <w:t>délai de production</w:t>
      </w:r>
      <w:r>
        <w:t xml:space="preserve"> de l'information est un indicateur avancé reconnu : une dégradation du délai précède fréquemment l'annonce d'une mauvaise nouvelle.</w:t>
      </w:r>
    </w:p>
    <w:p>
      <w:r>
        <w:t xml:space="preserve">La </w:t>
      </w:r>
      <w:r>
        <w:rPr>
          <w:b/>
        </w:rPr>
        <w:t>cohérence entre le chiffre d'affaires comptable, déclaratif, les flux bancaires annualisés et les informations commerciales</w:t>
      </w:r>
      <w:r>
        <w:t xml:space="preserve"> constitue le contrôle anti-manipulation le plus efficace du dispositif.</w:t>
      </w:r>
    </w:p>
    <w:p>
      <w:r>
        <w:t xml:space="preserve">Les contrôles de lutte contre le blanchiment, les sanctions et la connaissance client qui interdisent la relation sont des </w:t>
      </w:r>
      <w:r>
        <w:rPr>
          <w:b/>
        </w:rPr>
        <w:t>contrôles bloquants</w:t>
      </w:r>
      <w:r>
        <w:t>, jamais des points négatifs dilués dans un score.</w:t>
      </w:r>
    </w:p>
    <w:p>
      <w:pPr>
        <w:pStyle w:val="Heading3"/>
      </w:pPr>
      <w:r>
        <w:t>D7 — ESG et climat</w:t>
      </w:r>
    </w:p>
    <w:p>
      <w:r>
        <w:t xml:space="preserve">Le domaine mesure un risque financier de crédit, pas une appréciation morale. Le </w:t>
      </w:r>
      <w:r>
        <w:rPr>
          <w:b/>
        </w:rPr>
        <w:t>risque physique</w:t>
      </w:r>
      <w:r>
        <w:t xml:space="preserve"> est matériel au Maroc pour l'agriculture, l'agroalimentaire, le tourisme et les industries intensives en eau ; le </w:t>
      </w:r>
      <w:r>
        <w:rPr>
          <w:b/>
        </w:rPr>
        <w:t>risque de transition</w:t>
      </w:r>
      <w:r>
        <w:t xml:space="preserve"> l'est pour les activités énergo-intensives et exportatrices vers des marchés à réglementation carbone.</w:t>
      </w:r>
    </w:p>
    <w:p>
      <w:r>
        <w:t xml:space="preserve">Le module est proportionné et son poids reste modéré, afin de ne pas créer une fausse précision. Une exposition élevée assortie d'un plan crédible obtient un score intermédiaire ; </w:t>
      </w:r>
      <w:r>
        <w:rPr>
          <w:b/>
        </w:rPr>
        <w:t>une absence de donnée n'équivaut jamais à un risque faible.</w:t>
      </w:r>
    </w:p>
    <w:p>
      <w:pPr>
        <w:pStyle w:val="Heading2"/>
      </w:pPr>
      <w:r>
        <w:t>12. Qualité des données et niveau de confiance</w:t>
      </w:r>
    </w:p>
    <w:p>
      <w:r>
        <w:t>Le score de confiance combine quatre composantes — complétude, fraîcheur, fiabilité et provenance — chacune notée sur la même échelle discrète, avec des pondérations figurant en Partie III.</w:t>
      </w:r>
    </w:p>
    <w:p>
      <w:r>
        <w:t>Le niveau de confiance ne modifie jamais le score brut : il plafonne le grade final. Un score de confiance insuffisant empêche la production d'un grade, le dossier étant alors déclaré incomplet ou routé vers un modèle alternatif. Le score brut reste calculé et conservé pour la surveillance du modèle.</w:t>
      </w:r>
    </w:p>
    <w:p>
      <w:r>
        <w:t>Ce mécanisme évite l'écueil le plus fréquent des dispositifs de notation : produire une note d'apparence normale sur un dossier dont l'information est insuffisante.</w:t>
      </w:r>
    </w:p>
    <w:p>
      <w:pPr>
        <w:pStyle w:val="Heading2"/>
      </w:pPr>
      <w:r>
        <w:t>13. Caps, red flags et dérogations</w:t>
      </w:r>
    </w:p>
    <w:p>
      <w:pPr>
        <w:pStyle w:val="Heading3"/>
      </w:pPr>
      <w:r>
        <w:t>13.1 Caps structurels</w:t>
      </w:r>
    </w:p>
    <w:p>
      <w:r>
        <w:t>Un cap signifie « le grade final ne peut pas être meilleur que ». Il ne remplace pas le score brut, qui reste conservé. L'application de plusieurs caps retient le plus contraignant. Chaque cap expose sa règle, sa version, la donnée déclenchante, le grade avant et après, et sa justification.</w:t>
      </w:r>
    </w:p>
    <w:p>
      <w:r>
        <w:t xml:space="preserve">Les caps de la Partie III sont des propositions de </w:t>
      </w:r>
      <w:r>
        <w:rPr>
          <w:b/>
        </w:rPr>
        <w:t>politique interne</w:t>
      </w:r>
      <w:r>
        <w:t>, explicitement qualifiées comme telles : ce ne sont pas des règles réglementaires.</w:t>
      </w:r>
    </w:p>
    <w:p>
      <w:pPr>
        <w:pStyle w:val="Heading3"/>
      </w:pPr>
      <w:r>
        <w:t>13.2 Red flags</w:t>
      </w:r>
    </w:p>
    <w:p>
      <w:r>
        <w:t xml:space="preserve">Cinq niveaux sont distingués : </w:t>
      </w:r>
      <w:r>
        <w:rPr>
          <w:rFonts w:ascii="Consolas" w:hAnsi="Consolas"/>
          <w:color w:val="8A2B2B"/>
          <w:sz w:val="18"/>
        </w:rPr>
        <w:t>BLOCK</w:t>
      </w:r>
      <w:r>
        <w:t xml:space="preserve"> arrête la décision automatisée et déclenche une escalade ; </w:t>
      </w:r>
      <w:r>
        <w:rPr>
          <w:rFonts w:ascii="Consolas" w:hAnsi="Consolas"/>
          <w:color w:val="8A2B2B"/>
          <w:sz w:val="18"/>
        </w:rPr>
        <w:t>DEFAULT_CHECK</w:t>
      </w:r>
      <w:r>
        <w:t xml:space="preserve"> impose l'évaluation immédiate de la définition de défaut et de la classification ; </w:t>
      </w:r>
      <w:r>
        <w:rPr>
          <w:rFonts w:ascii="Consolas" w:hAnsi="Consolas"/>
          <w:color w:val="8A2B2B"/>
          <w:sz w:val="18"/>
        </w:rPr>
        <w:t>REFER</w:t>
      </w:r>
      <w:r>
        <w:t xml:space="preserve"> impose un comité ou un niveau de délégation supérieur ; </w:t>
      </w:r>
      <w:r>
        <w:rPr>
          <w:rFonts w:ascii="Consolas" w:hAnsi="Consolas"/>
          <w:color w:val="8A2B2B"/>
          <w:sz w:val="18"/>
        </w:rPr>
        <w:t>WARNING</w:t>
      </w:r>
      <w:r>
        <w:t xml:space="preserve"> autorise le calcul mais exige une condition ou une justification ; </w:t>
      </w:r>
      <w:r>
        <w:rPr>
          <w:rFonts w:ascii="Consolas" w:hAnsi="Consolas"/>
          <w:color w:val="8A2B2B"/>
          <w:sz w:val="18"/>
        </w:rPr>
        <w:t>INFO</w:t>
      </w:r>
      <w:r>
        <w:t xml:space="preserve"> est explicatif.</w:t>
      </w:r>
    </w:p>
    <w:p>
      <w:r>
        <w:t xml:space="preserve">Chaque red flag porte sa </w:t>
      </w:r>
      <w:r>
        <w:rPr>
          <w:b/>
        </w:rPr>
        <w:t>source</w:t>
      </w:r>
      <w:r>
        <w:t xml:space="preserve"> — réglementaire, IFRS 9, politique de crédit, conformité ou modèle. Un red flag interne n'est jamais présenté comme une exigence de Bank Al-Maghrib.</w:t>
      </w:r>
    </w:p>
    <w:p>
      <w:pPr>
        <w:pStyle w:val="Heading3"/>
      </w:pPr>
      <w:r>
        <w:t>13.3 Dérogations</w:t>
      </w:r>
    </w:p>
    <w:p>
      <w:r>
        <w:t>Le résultat moteur n'est jamais écrasé. L'outil conserve le score brut, le grade moteur, le grade après caps et le grade final. Une dérogation ordinaire est limitée à deux crans, exige un motif codifié, un commentaire, une preuve, un auteur et un valideur distinct, et porte une date d'expiration. L'amélioration d'un grade défaut est refusée hors processus formel de guérison. Les taux, sens, motifs et performance des dérogations font l'objet d'un suivi trimestriel.</w:t>
      </w:r>
    </w:p>
    <w:p>
      <w:pPr>
        <w:pStyle w:val="Heading2"/>
      </w:pPr>
      <w:r>
        <w:t>14. Séparation avec la classification réglementaire, IFRS 9 et le capital</w:t>
      </w:r>
    </w:p>
    <w:p>
      <w:pPr>
        <w:pStyle w:val="Heading3"/>
      </w:pPr>
      <w:r>
        <w:t>14.1 Classification réglementaire</w:t>
      </w:r>
    </w:p>
    <w:p>
      <w:r>
        <w:t xml:space="preserve">La classe réglementaire est calculée par un moteur séparé, à partir du régime applicable à la date d'arrêté, des arriérés, des critères qualitatifs, des restructurations, de la contagion, des garanties éligibles et des règles de provision. Elle peut imposer un grade défaut interne, mais </w:t>
      </w:r>
      <w:r>
        <w:rPr>
          <w:b/>
        </w:rPr>
        <w:t>le score 0–100 ne choisit jamais seul la classe réglementaire.</w:t>
      </w:r>
    </w:p>
    <w:p>
      <w:r>
        <w:t>L'outil conserve séparément le résultat de notation interne, le résultat de classification, la version du régime utilisé, le statut de rapprochement et les motifs de divergence.</w:t>
      </w:r>
    </w:p>
    <w:p>
      <w:r>
        <w:t>Les régimes réglementaires successifs sont représentés comme des régimes effectifs-datés distincts. Dates, articles, taux et règles transitoires ne sont injectés qu'après validation depuis les textes officiels.</w:t>
      </w:r>
    </w:p>
    <w:p>
      <w:pPr>
        <w:pStyle w:val="Heading3"/>
      </w:pPr>
      <w:r>
        <w:t>14.2 IFRS 9</w:t>
      </w:r>
    </w:p>
    <w:p>
      <w:r>
        <w:t xml:space="preserve">Le grade et la probabilité de défaut internes sont une </w:t>
      </w:r>
      <w:r>
        <w:rPr>
          <w:b/>
        </w:rPr>
        <w:t>entrée</w:t>
      </w:r>
      <w:r>
        <w:t xml:space="preserve"> du dispositif d'augmentation significative du risque et de calcul des pertes attendues, pas le stage lui-même. Le staging tient compte de l'évolution depuis l'octroi, des critères qualitatifs, de la surveillance rapprochée, des restructurations et des seuils de sécurité approuvés.</w:t>
      </w:r>
    </w:p>
    <w:p>
      <w:r>
        <w:t>Une dégradation de deux crans peut constituer un indicateur paramétrable d'augmentation significative du risque, mais ne constitue pas une règle universelle sans politique validée.</w:t>
      </w:r>
    </w:p>
    <w:p>
      <w:pPr>
        <w:pStyle w:val="Heading3"/>
      </w:pPr>
      <w:r>
        <w:t>14.3 Prudentiel</w:t>
      </w:r>
    </w:p>
    <w:p>
      <w:r>
        <w:t xml:space="preserve">Une probabilité de défaut interne calibrée, une probabilité réglementaire en moyenne de long terme, une probabilité IFRS 9 ponctuelle et une fréquence de défaut observée </w:t>
      </w:r>
      <w:r>
        <w:rPr>
          <w:b/>
        </w:rPr>
        <w:t>ne sont pas interchangeables</w:t>
      </w:r>
      <w:r>
        <w:t>. De même, la perte en cas de défaut économique, celle d'IFRS 9 et celle en conditions dégradées sont stockées séparément, chacune avec son horizon, sa philosophie et son usage autorisé.</w:t>
      </w:r>
    </w:p>
    <w:p>
      <w:pPr>
        <w:pStyle w:val="Heading2"/>
      </w:pPr>
      <w:r>
        <w:t>15. Exemples de calcul complets</w:t>
      </w:r>
    </w:p>
    <w:p>
      <w:pPr>
        <w:pStyle w:val="Heading3"/>
      </w:pPr>
      <w:r>
        <w:t>15.1 TPE — cheminement complet</w:t>
      </w:r>
    </w:p>
    <w:p>
      <w:r>
        <w:t>Une TPE dispose de trois exercices fiables et ne présente aucun défaut. Ses scores élémentaires sur le domaine D1 sont les suivants.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3570"/>
            <w:shd w:val="clear" w:fill="0F3D63"/>
          </w:tcPr>
          <w:p>
            <w:pPr>
              <w:spacing w:after="40" w:before="40"/>
            </w:pPr>
            <w:r>
              <w:rPr>
                <w:color w:val="FFFFFF"/>
                <w:sz w:val="17"/>
              </w:rPr>
            </w:r>
            <w:r>
              <w:rPr>
                <w:b/>
                <w:color w:val="FFFFFF"/>
                <w:sz w:val="17"/>
              </w:rPr>
              <w:t>Critère D1</w:t>
            </w:r>
          </w:p>
        </w:tc>
        <w:tc>
          <w:tcPr>
            <w:tcW w:type="dxa" w:w="1071"/>
            <w:shd w:val="clear" w:fill="0F3D63"/>
          </w:tcPr>
          <w:p>
            <w:pPr>
              <w:spacing w:after="40" w:before="40"/>
            </w:pPr>
            <w:r>
              <w:rPr>
                <w:color w:val="FFFFFF"/>
                <w:sz w:val="17"/>
              </w:rPr>
            </w:r>
            <w:r>
              <w:rPr>
                <w:b/>
                <w:color w:val="FFFFFF"/>
                <w:sz w:val="17"/>
              </w:rPr>
              <w:t>Score</w:t>
            </w:r>
          </w:p>
        </w:tc>
        <w:tc>
          <w:tcPr>
            <w:tcW w:type="dxa" w:w="2678"/>
            <w:shd w:val="clear" w:fill="0F3D63"/>
          </w:tcPr>
          <w:p>
            <w:pPr>
              <w:spacing w:after="40" w:before="40"/>
            </w:pPr>
            <w:r>
              <w:rPr>
                <w:color w:val="FFFFFF"/>
                <w:sz w:val="17"/>
              </w:rPr>
            </w:r>
            <w:r>
              <w:rPr>
                <w:b/>
                <w:color w:val="FFFFFF"/>
                <w:sz w:val="17"/>
              </w:rPr>
              <w:t>Poids TPE (bps)</w:t>
            </w:r>
          </w:p>
        </w:tc>
        <w:tc>
          <w:tcPr>
            <w:tcW w:type="dxa" w:w="2142"/>
            <w:shd w:val="clear" w:fill="0F3D63"/>
          </w:tcPr>
          <w:p>
            <w:pPr>
              <w:spacing w:after="40" w:before="40"/>
            </w:pPr>
            <w:r>
              <w:rPr>
                <w:color w:val="FFFFFF"/>
                <w:sz w:val="17"/>
              </w:rPr>
            </w:r>
            <w:r>
              <w:rPr>
                <w:b/>
                <w:color w:val="FFFFFF"/>
                <w:sz w:val="17"/>
              </w:rPr>
              <w:t>Contribution</w:t>
            </w:r>
          </w:p>
        </w:tc>
      </w:tr>
      <w:tr>
        <w:tc>
          <w:tcPr>
            <w:tcW w:type="dxa" w:w="3570"/>
          </w:tcPr>
          <w:p>
            <w:pPr>
              <w:spacing w:after="40" w:before="40"/>
            </w:pPr>
            <w:r>
              <w:rPr>
                <w:sz w:val="17"/>
              </w:rPr>
            </w:r>
            <w:r>
              <w:rPr>
                <w:sz w:val="17"/>
              </w:rPr>
              <w:t>D1.1 Croissance</w:t>
            </w:r>
          </w:p>
        </w:tc>
        <w:tc>
          <w:tcPr>
            <w:tcW w:type="dxa" w:w="1071"/>
          </w:tcPr>
          <w:p>
            <w:pPr>
              <w:spacing w:after="40" w:before="40"/>
            </w:pPr>
            <w:r>
              <w:rPr>
                <w:sz w:val="17"/>
              </w:rPr>
            </w:r>
            <w:r>
              <w:rPr>
                <w:sz w:val="17"/>
              </w:rPr>
              <w:t>75</w:t>
            </w:r>
          </w:p>
        </w:tc>
        <w:tc>
          <w:tcPr>
            <w:tcW w:type="dxa" w:w="2678"/>
          </w:tcPr>
          <w:p>
            <w:pPr>
              <w:spacing w:after="40" w:before="40"/>
            </w:pPr>
            <w:r>
              <w:rPr>
                <w:sz w:val="17"/>
              </w:rPr>
            </w:r>
            <w:r>
              <w:rPr>
                <w:sz w:val="17"/>
              </w:rPr>
              <w:t>300</w:t>
            </w:r>
          </w:p>
        </w:tc>
        <w:tc>
          <w:tcPr>
            <w:tcW w:type="dxa" w:w="2142"/>
          </w:tcPr>
          <w:p>
            <w:pPr>
              <w:spacing w:after="40" w:before="40"/>
            </w:pPr>
            <w:r>
              <w:rPr>
                <w:sz w:val="17"/>
              </w:rPr>
            </w:r>
            <w:r>
              <w:rPr>
                <w:sz w:val="17"/>
              </w:rPr>
              <w:t>22 500</w:t>
            </w:r>
          </w:p>
        </w:tc>
      </w:tr>
      <w:tr>
        <w:tc>
          <w:tcPr>
            <w:tcW w:type="dxa" w:w="3570"/>
            <w:shd w:val="clear" w:fill="F2F5F8"/>
          </w:tcPr>
          <w:p>
            <w:pPr>
              <w:spacing w:after="40" w:before="40"/>
            </w:pPr>
            <w:r>
              <w:rPr>
                <w:sz w:val="17"/>
              </w:rPr>
            </w:r>
            <w:r>
              <w:rPr>
                <w:sz w:val="17"/>
              </w:rPr>
              <w:t>D1.2 Marge EBITDA</w:t>
            </w:r>
          </w:p>
        </w:tc>
        <w:tc>
          <w:tcPr>
            <w:tcW w:type="dxa" w:w="1071"/>
            <w:shd w:val="clear" w:fill="F2F5F8"/>
          </w:tcPr>
          <w:p>
            <w:pPr>
              <w:spacing w:after="40" w:before="40"/>
            </w:pPr>
            <w:r>
              <w:rPr>
                <w:sz w:val="17"/>
              </w:rPr>
            </w:r>
            <w:r>
              <w:rPr>
                <w:sz w:val="17"/>
              </w:rPr>
              <w:t>50</w:t>
            </w:r>
          </w:p>
        </w:tc>
        <w:tc>
          <w:tcPr>
            <w:tcW w:type="dxa" w:w="2678"/>
            <w:shd w:val="clear" w:fill="F2F5F8"/>
          </w:tcPr>
          <w:p>
            <w:pPr>
              <w:spacing w:after="40" w:before="40"/>
            </w:pPr>
            <w:r>
              <w:rPr>
                <w:sz w:val="17"/>
              </w:rPr>
            </w:r>
            <w:r>
              <w:rPr>
                <w:sz w:val="17"/>
              </w:rPr>
              <w:t>300</w:t>
            </w:r>
          </w:p>
        </w:tc>
        <w:tc>
          <w:tcPr>
            <w:tcW w:type="dxa" w:w="2142"/>
            <w:shd w:val="clear" w:fill="F2F5F8"/>
          </w:tcPr>
          <w:p>
            <w:pPr>
              <w:spacing w:after="40" w:before="40"/>
            </w:pPr>
            <w:r>
              <w:rPr>
                <w:sz w:val="17"/>
              </w:rPr>
            </w:r>
            <w:r>
              <w:rPr>
                <w:sz w:val="17"/>
              </w:rPr>
              <w:t>15 000</w:t>
            </w:r>
          </w:p>
        </w:tc>
      </w:tr>
      <w:tr>
        <w:tc>
          <w:tcPr>
            <w:tcW w:type="dxa" w:w="3570"/>
          </w:tcPr>
          <w:p>
            <w:pPr>
              <w:spacing w:after="40" w:before="40"/>
            </w:pPr>
            <w:r>
              <w:rPr>
                <w:sz w:val="17"/>
              </w:rPr>
            </w:r>
            <w:r>
              <w:rPr>
                <w:sz w:val="17"/>
              </w:rPr>
              <w:t>D1.3 Rentabilité</w:t>
            </w:r>
          </w:p>
        </w:tc>
        <w:tc>
          <w:tcPr>
            <w:tcW w:type="dxa" w:w="1071"/>
          </w:tcPr>
          <w:p>
            <w:pPr>
              <w:spacing w:after="40" w:before="40"/>
            </w:pPr>
            <w:r>
              <w:rPr>
                <w:sz w:val="17"/>
              </w:rPr>
            </w:r>
            <w:r>
              <w:rPr>
                <w:sz w:val="17"/>
              </w:rPr>
              <w:t>50</w:t>
            </w:r>
          </w:p>
        </w:tc>
        <w:tc>
          <w:tcPr>
            <w:tcW w:type="dxa" w:w="2678"/>
          </w:tcPr>
          <w:p>
            <w:pPr>
              <w:spacing w:after="40" w:before="40"/>
            </w:pPr>
            <w:r>
              <w:rPr>
                <w:sz w:val="17"/>
              </w:rPr>
            </w:r>
            <w:r>
              <w:rPr>
                <w:sz w:val="17"/>
              </w:rPr>
              <w:t>200</w:t>
            </w:r>
          </w:p>
        </w:tc>
        <w:tc>
          <w:tcPr>
            <w:tcW w:type="dxa" w:w="2142"/>
          </w:tcPr>
          <w:p>
            <w:pPr>
              <w:spacing w:after="40" w:before="40"/>
            </w:pPr>
            <w:r>
              <w:rPr>
                <w:sz w:val="17"/>
              </w:rPr>
            </w:r>
            <w:r>
              <w:rPr>
                <w:sz w:val="17"/>
              </w:rPr>
              <w:t>10 000</w:t>
            </w:r>
          </w:p>
        </w:tc>
      </w:tr>
      <w:tr>
        <w:tc>
          <w:tcPr>
            <w:tcW w:type="dxa" w:w="3570"/>
            <w:shd w:val="clear" w:fill="F2F5F8"/>
          </w:tcPr>
          <w:p>
            <w:pPr>
              <w:spacing w:after="40" w:before="40"/>
            </w:pPr>
            <w:r>
              <w:rPr>
                <w:sz w:val="17"/>
              </w:rPr>
            </w:r>
            <w:r>
              <w:rPr>
                <w:sz w:val="17"/>
              </w:rPr>
              <w:t>D1.4 Fonds propres</w:t>
            </w:r>
          </w:p>
        </w:tc>
        <w:tc>
          <w:tcPr>
            <w:tcW w:type="dxa" w:w="1071"/>
            <w:shd w:val="clear" w:fill="F2F5F8"/>
          </w:tcPr>
          <w:p>
            <w:pPr>
              <w:spacing w:after="40" w:before="40"/>
            </w:pPr>
            <w:r>
              <w:rPr>
                <w:sz w:val="17"/>
              </w:rPr>
            </w:r>
            <w:r>
              <w:rPr>
                <w:sz w:val="17"/>
              </w:rPr>
              <w:t>75</w:t>
            </w:r>
          </w:p>
        </w:tc>
        <w:tc>
          <w:tcPr>
            <w:tcW w:type="dxa" w:w="2678"/>
            <w:shd w:val="clear" w:fill="F2F5F8"/>
          </w:tcPr>
          <w:p>
            <w:pPr>
              <w:spacing w:after="40" w:before="40"/>
            </w:pPr>
            <w:r>
              <w:rPr>
                <w:sz w:val="17"/>
              </w:rPr>
            </w:r>
            <w:r>
              <w:rPr>
                <w:sz w:val="17"/>
              </w:rPr>
              <w:t>400</w:t>
            </w:r>
          </w:p>
        </w:tc>
        <w:tc>
          <w:tcPr>
            <w:tcW w:type="dxa" w:w="2142"/>
            <w:shd w:val="clear" w:fill="F2F5F8"/>
          </w:tcPr>
          <w:p>
            <w:pPr>
              <w:spacing w:after="40" w:before="40"/>
            </w:pPr>
            <w:r>
              <w:rPr>
                <w:sz w:val="17"/>
              </w:rPr>
            </w:r>
            <w:r>
              <w:rPr>
                <w:sz w:val="17"/>
              </w:rPr>
              <w:t>30 000</w:t>
            </w:r>
          </w:p>
        </w:tc>
      </w:tr>
      <w:tr>
        <w:tc>
          <w:tcPr>
            <w:tcW w:type="dxa" w:w="3570"/>
          </w:tcPr>
          <w:p>
            <w:pPr>
              <w:spacing w:after="40" w:before="40"/>
            </w:pPr>
            <w:r>
              <w:rPr>
                <w:sz w:val="17"/>
              </w:rPr>
            </w:r>
            <w:r>
              <w:rPr>
                <w:sz w:val="17"/>
              </w:rPr>
              <w:t>D1.5 Levier</w:t>
            </w:r>
          </w:p>
        </w:tc>
        <w:tc>
          <w:tcPr>
            <w:tcW w:type="dxa" w:w="1071"/>
          </w:tcPr>
          <w:p>
            <w:pPr>
              <w:spacing w:after="40" w:before="40"/>
            </w:pPr>
            <w:r>
              <w:rPr>
                <w:sz w:val="17"/>
              </w:rPr>
            </w:r>
            <w:r>
              <w:rPr>
                <w:sz w:val="17"/>
              </w:rPr>
              <w:t>50</w:t>
            </w:r>
          </w:p>
        </w:tc>
        <w:tc>
          <w:tcPr>
            <w:tcW w:type="dxa" w:w="2678"/>
          </w:tcPr>
          <w:p>
            <w:pPr>
              <w:spacing w:after="40" w:before="40"/>
            </w:pPr>
            <w:r>
              <w:rPr>
                <w:sz w:val="17"/>
              </w:rPr>
            </w:r>
            <w:r>
              <w:rPr>
                <w:sz w:val="17"/>
              </w:rPr>
              <w:t>400</w:t>
            </w:r>
          </w:p>
        </w:tc>
        <w:tc>
          <w:tcPr>
            <w:tcW w:type="dxa" w:w="2142"/>
          </w:tcPr>
          <w:p>
            <w:pPr>
              <w:spacing w:after="40" w:before="40"/>
            </w:pPr>
            <w:r>
              <w:rPr>
                <w:sz w:val="17"/>
              </w:rPr>
            </w:r>
            <w:r>
              <w:rPr>
                <w:sz w:val="17"/>
              </w:rPr>
              <w:t>20 000</w:t>
            </w:r>
          </w:p>
        </w:tc>
      </w:tr>
      <w:tr>
        <w:tc>
          <w:tcPr>
            <w:tcW w:type="dxa" w:w="3570"/>
            <w:shd w:val="clear" w:fill="F2F5F8"/>
          </w:tcPr>
          <w:p>
            <w:pPr>
              <w:spacing w:after="40" w:before="40"/>
            </w:pPr>
            <w:r>
              <w:rPr>
                <w:sz w:val="17"/>
              </w:rPr>
            </w:r>
            <w:r>
              <w:rPr>
                <w:sz w:val="17"/>
              </w:rPr>
              <w:t>D1.6 Liquidité</w:t>
            </w:r>
          </w:p>
        </w:tc>
        <w:tc>
          <w:tcPr>
            <w:tcW w:type="dxa" w:w="1071"/>
            <w:shd w:val="clear" w:fill="F2F5F8"/>
          </w:tcPr>
          <w:p>
            <w:pPr>
              <w:spacing w:after="40" w:before="40"/>
            </w:pPr>
            <w:r>
              <w:rPr>
                <w:sz w:val="17"/>
              </w:rPr>
            </w:r>
            <w:r>
              <w:rPr>
                <w:sz w:val="17"/>
              </w:rPr>
              <w:t>75</w:t>
            </w:r>
          </w:p>
        </w:tc>
        <w:tc>
          <w:tcPr>
            <w:tcW w:type="dxa" w:w="2678"/>
            <w:shd w:val="clear" w:fill="F2F5F8"/>
          </w:tcPr>
          <w:p>
            <w:pPr>
              <w:spacing w:after="40" w:before="40"/>
            </w:pPr>
            <w:r>
              <w:rPr>
                <w:sz w:val="17"/>
              </w:rPr>
            </w:r>
            <w:r>
              <w:rPr>
                <w:sz w:val="17"/>
              </w:rPr>
              <w:t>400</w:t>
            </w:r>
          </w:p>
        </w:tc>
        <w:tc>
          <w:tcPr>
            <w:tcW w:type="dxa" w:w="2142"/>
            <w:shd w:val="clear" w:fill="F2F5F8"/>
          </w:tcPr>
          <w:p>
            <w:pPr>
              <w:spacing w:after="40" w:before="40"/>
            </w:pPr>
            <w:r>
              <w:rPr>
                <w:sz w:val="17"/>
              </w:rPr>
            </w:r>
            <w:r>
              <w:rPr>
                <w:sz w:val="17"/>
              </w:rPr>
              <w:t>30 000</w:t>
            </w:r>
          </w:p>
        </w:tc>
      </w:tr>
      <w:tr>
        <w:tc>
          <w:tcPr>
            <w:tcW w:type="dxa" w:w="3570"/>
          </w:tcPr>
          <w:p>
            <w:pPr>
              <w:spacing w:after="40" w:before="40"/>
            </w:pPr>
            <w:r>
              <w:rPr>
                <w:sz w:val="17"/>
              </w:rPr>
            </w:r>
            <w:r>
              <w:rPr>
                <w:sz w:val="17"/>
              </w:rPr>
              <w:t>D1.7 BFR</w:t>
            </w:r>
          </w:p>
        </w:tc>
        <w:tc>
          <w:tcPr>
            <w:tcW w:type="dxa" w:w="1071"/>
          </w:tcPr>
          <w:p>
            <w:pPr>
              <w:spacing w:after="40" w:before="40"/>
            </w:pPr>
            <w:r>
              <w:rPr>
                <w:sz w:val="17"/>
              </w:rPr>
            </w:r>
            <w:r>
              <w:rPr>
                <w:sz w:val="17"/>
              </w:rPr>
              <w:t>50</w:t>
            </w:r>
          </w:p>
        </w:tc>
        <w:tc>
          <w:tcPr>
            <w:tcW w:type="dxa" w:w="2678"/>
          </w:tcPr>
          <w:p>
            <w:pPr>
              <w:spacing w:after="40" w:before="40"/>
            </w:pPr>
            <w:r>
              <w:rPr>
                <w:sz w:val="17"/>
              </w:rPr>
            </w:r>
            <w:r>
              <w:rPr>
                <w:sz w:val="17"/>
              </w:rPr>
              <w:t>300</w:t>
            </w:r>
          </w:p>
        </w:tc>
        <w:tc>
          <w:tcPr>
            <w:tcW w:type="dxa" w:w="2142"/>
          </w:tcPr>
          <w:p>
            <w:pPr>
              <w:spacing w:after="40" w:before="40"/>
            </w:pPr>
            <w:r>
              <w:rPr>
                <w:sz w:val="17"/>
              </w:rPr>
            </w:r>
            <w:r>
              <w:rPr>
                <w:sz w:val="17"/>
              </w:rPr>
              <w:t>15 000</w:t>
            </w:r>
          </w:p>
        </w:tc>
      </w:tr>
      <w:tr>
        <w:tc>
          <w:tcPr>
            <w:tcW w:type="dxa" w:w="3570"/>
            <w:shd w:val="clear" w:fill="F2F5F8"/>
          </w:tcPr>
          <w:p>
            <w:pPr>
              <w:spacing w:after="40" w:before="40"/>
            </w:pPr>
            <w:r>
              <w:rPr>
                <w:sz w:val="17"/>
              </w:rPr>
            </w:r>
            <w:r>
              <w:rPr>
                <w:sz w:val="17"/>
              </w:rPr>
              <w:t>D1.8 Conversion cash</w:t>
            </w:r>
          </w:p>
        </w:tc>
        <w:tc>
          <w:tcPr>
            <w:tcW w:type="dxa" w:w="1071"/>
            <w:shd w:val="clear" w:fill="F2F5F8"/>
          </w:tcPr>
          <w:p>
            <w:pPr>
              <w:spacing w:after="40" w:before="40"/>
            </w:pPr>
            <w:r>
              <w:rPr>
                <w:sz w:val="17"/>
              </w:rPr>
            </w:r>
            <w:r>
              <w:rPr>
                <w:sz w:val="17"/>
              </w:rPr>
              <w:t>50</w:t>
            </w:r>
          </w:p>
        </w:tc>
        <w:tc>
          <w:tcPr>
            <w:tcW w:type="dxa" w:w="2678"/>
            <w:shd w:val="clear" w:fill="F2F5F8"/>
          </w:tcPr>
          <w:p>
            <w:pPr>
              <w:spacing w:after="40" w:before="40"/>
            </w:pPr>
            <w:r>
              <w:rPr>
                <w:sz w:val="17"/>
              </w:rPr>
            </w:r>
            <w:r>
              <w:rPr>
                <w:sz w:val="17"/>
              </w:rPr>
              <w:t>200</w:t>
            </w:r>
          </w:p>
        </w:tc>
        <w:tc>
          <w:tcPr>
            <w:tcW w:type="dxa" w:w="2142"/>
            <w:shd w:val="clear" w:fill="F2F5F8"/>
          </w:tcPr>
          <w:p>
            <w:pPr>
              <w:spacing w:after="40" w:before="40"/>
            </w:pPr>
            <w:r>
              <w:rPr>
                <w:sz w:val="17"/>
              </w:rPr>
            </w:r>
            <w:r>
              <w:rPr>
                <w:sz w:val="17"/>
              </w:rPr>
              <w:t>10 000</w:t>
            </w:r>
          </w:p>
        </w:tc>
      </w:tr>
      <w:tr>
        <w:tc>
          <w:tcPr>
            <w:tcW w:type="dxa" w:w="3570"/>
          </w:tcPr>
          <w:p>
            <w:pPr>
              <w:spacing w:after="40" w:before="40"/>
            </w:pPr>
            <w:r>
              <w:rPr>
                <w:sz w:val="17"/>
              </w:rPr>
            </w:r>
            <w:r>
              <w:rPr>
                <w:b/>
                <w:sz w:val="17"/>
              </w:rPr>
              <w:t>Total</w:t>
            </w:r>
          </w:p>
        </w:tc>
        <w:tc>
          <w:tcPr>
            <w:tcW w:type="dxa" w:w="1071"/>
          </w:tcPr>
          <w:p>
            <w:pPr>
              <w:spacing w:after="40" w:before="40"/>
            </w:pPr>
            <w:r>
              <w:rPr>
                <w:sz w:val="17"/>
              </w:rPr>
            </w:r>
          </w:p>
        </w:tc>
        <w:tc>
          <w:tcPr>
            <w:tcW w:type="dxa" w:w="2678"/>
          </w:tcPr>
          <w:p>
            <w:pPr>
              <w:spacing w:after="40" w:before="40"/>
            </w:pPr>
            <w:r>
              <w:rPr>
                <w:sz w:val="17"/>
              </w:rPr>
            </w:r>
            <w:r>
              <w:rPr>
                <w:b/>
                <w:sz w:val="17"/>
              </w:rPr>
              <w:t>2 500</w:t>
            </w:r>
          </w:p>
        </w:tc>
        <w:tc>
          <w:tcPr>
            <w:tcW w:type="dxa" w:w="2142"/>
          </w:tcPr>
          <w:p>
            <w:pPr>
              <w:spacing w:after="40" w:before="40"/>
            </w:pPr>
            <w:r>
              <w:rPr>
                <w:sz w:val="17"/>
              </w:rPr>
            </w:r>
            <w:r>
              <w:rPr>
                <w:b/>
                <w:sz w:val="17"/>
              </w:rPr>
              <w:t>152 500</w:t>
            </w:r>
          </w:p>
        </w:tc>
      </w:tr>
    </w:tbl>
    <w:p>
      <w:pPr>
        <w:spacing w:after="80"/>
      </w:pPr>
    </w:p>
    <w:p>
      <w:r>
        <w:rPr>
          <w:rFonts w:ascii="Consolas" w:hAnsi="Consolas"/>
          <w:color w:val="8A2B2B"/>
          <w:sz w:val="18"/>
        </w:rPr>
        <w:t>Score D1 = 152 500 / 2 500 = 61,00</w:t>
      </w:r>
    </w:p>
    <w:p>
      <w:r>
        <w:t>Les autres domaines ressortent à D2 = 60, D3 = 82, D4 = 65, D5 = 70, D6 = 75 et D7 = 50.</w:t>
      </w:r>
    </w:p>
    <w:p>
      <w:r>
        <w:rPr>
          <w:rFonts w:ascii="Consolas" w:hAnsi="Consolas"/>
          <w:color w:val="8A2B2B"/>
          <w:sz w:val="18"/>
        </w:rPr>
        <w:t>Score brut = 61 × 25 % + 60 × 10 % + 82 × 25 % + 65 × 15 % + 70 × 15 % + 75 × 7 % + 50 × 3 % = 68,75</w:t>
      </w:r>
    </w:p>
    <w:p>
      <w:r>
        <w:rPr>
          <w:b/>
        </w:rPr>
        <w:t>Résultat : G6 — Acceptable.</w:t>
      </w:r>
      <w:r>
        <w:t xml:space="preserve"> Avec un niveau de confiance de 82, le cap « pas mieux que G4 » est enregistré mais reste sans effet, G6 étant déjà moins favorable. Un retard de paiement de 40 jours déclencherait néanmoins un signal </w:t>
      </w:r>
      <w:r>
        <w:rPr>
          <w:rFonts w:ascii="Consolas" w:hAnsi="Consolas"/>
          <w:color w:val="8A2B2B"/>
          <w:sz w:val="18"/>
        </w:rPr>
        <w:t>REFER</w:t>
      </w:r>
      <w:r>
        <w:t xml:space="preserve"> et l'analyse réglementaire et IFRS 9 indépendante.</w:t>
      </w:r>
    </w:p>
    <w:p>
      <w:pPr>
        <w:pStyle w:val="Heading3"/>
      </w:pPr>
      <w:r>
        <w:t>15.2 PME — effet d'un cap structurel</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2365"/>
            <w:shd w:val="clear" w:fill="0F3D63"/>
          </w:tcPr>
          <w:p>
            <w:pPr>
              <w:spacing w:after="40" w:before="40"/>
            </w:pPr>
            <w:r>
              <w:rPr>
                <w:color w:val="FFFFFF"/>
                <w:sz w:val="17"/>
              </w:rPr>
            </w:r>
            <w:r>
              <w:rPr>
                <w:b/>
                <w:color w:val="FFFFFF"/>
                <w:sz w:val="17"/>
              </w:rPr>
              <w:t>Domaine</w:t>
            </w:r>
          </w:p>
        </w:tc>
        <w:tc>
          <w:tcPr>
            <w:tcW w:type="dxa" w:w="1577"/>
            <w:shd w:val="clear" w:fill="0F3D63"/>
          </w:tcPr>
          <w:p>
            <w:pPr>
              <w:spacing w:after="40" w:before="40"/>
            </w:pPr>
            <w:r>
              <w:rPr>
                <w:color w:val="FFFFFF"/>
                <w:sz w:val="17"/>
              </w:rPr>
            </w:r>
            <w:r>
              <w:rPr>
                <w:b/>
                <w:color w:val="FFFFFF"/>
                <w:sz w:val="17"/>
              </w:rPr>
              <w:t>Score</w:t>
            </w:r>
          </w:p>
        </w:tc>
        <w:tc>
          <w:tcPr>
            <w:tcW w:type="dxa" w:w="2365"/>
            <w:shd w:val="clear" w:fill="0F3D63"/>
          </w:tcPr>
          <w:p>
            <w:pPr>
              <w:spacing w:after="40" w:before="40"/>
            </w:pPr>
            <w:r>
              <w:rPr>
                <w:color w:val="FFFFFF"/>
                <w:sz w:val="17"/>
              </w:rPr>
            </w:r>
            <w:r>
              <w:rPr>
                <w:b/>
                <w:color w:val="FFFFFF"/>
                <w:sz w:val="17"/>
              </w:rPr>
              <w:t>Poids PME</w:t>
            </w:r>
          </w:p>
        </w:tc>
        <w:tc>
          <w:tcPr>
            <w:tcW w:type="dxa" w:w="3154"/>
            <w:shd w:val="clear" w:fill="0F3D63"/>
          </w:tcPr>
          <w:p>
            <w:pPr>
              <w:spacing w:after="40" w:before="40"/>
            </w:pPr>
            <w:r>
              <w:rPr>
                <w:color w:val="FFFFFF"/>
                <w:sz w:val="17"/>
              </w:rPr>
            </w:r>
            <w:r>
              <w:rPr>
                <w:b/>
                <w:color w:val="FFFFFF"/>
                <w:sz w:val="17"/>
              </w:rPr>
              <w:t>Contribution</w:t>
            </w:r>
          </w:p>
        </w:tc>
      </w:tr>
      <w:tr>
        <w:tc>
          <w:tcPr>
            <w:tcW w:type="dxa" w:w="2365"/>
          </w:tcPr>
          <w:p>
            <w:pPr>
              <w:spacing w:after="40" w:before="40"/>
            </w:pPr>
            <w:r>
              <w:rPr>
                <w:sz w:val="17"/>
              </w:rPr>
            </w:r>
            <w:r>
              <w:rPr>
                <w:sz w:val="17"/>
              </w:rPr>
              <w:t>D1</w:t>
            </w:r>
          </w:p>
        </w:tc>
        <w:tc>
          <w:tcPr>
            <w:tcW w:type="dxa" w:w="1577"/>
          </w:tcPr>
          <w:p>
            <w:pPr>
              <w:spacing w:after="40" w:before="40"/>
            </w:pPr>
            <w:r>
              <w:rPr>
                <w:sz w:val="17"/>
              </w:rPr>
            </w:r>
            <w:r>
              <w:rPr>
                <w:sz w:val="17"/>
              </w:rPr>
              <w:t>72</w:t>
            </w:r>
          </w:p>
        </w:tc>
        <w:tc>
          <w:tcPr>
            <w:tcW w:type="dxa" w:w="2365"/>
          </w:tcPr>
          <w:p>
            <w:pPr>
              <w:spacing w:after="40" w:before="40"/>
            </w:pPr>
            <w:r>
              <w:rPr>
                <w:sz w:val="17"/>
              </w:rPr>
            </w:r>
            <w:r>
              <w:rPr>
                <w:sz w:val="17"/>
              </w:rPr>
              <w:t>30 %</w:t>
            </w:r>
          </w:p>
        </w:tc>
        <w:tc>
          <w:tcPr>
            <w:tcW w:type="dxa" w:w="3154"/>
          </w:tcPr>
          <w:p>
            <w:pPr>
              <w:spacing w:after="40" w:before="40"/>
            </w:pPr>
            <w:r>
              <w:rPr>
                <w:sz w:val="17"/>
              </w:rPr>
            </w:r>
            <w:r>
              <w:rPr>
                <w:sz w:val="17"/>
              </w:rPr>
              <w:t>21,60</w:t>
            </w:r>
          </w:p>
        </w:tc>
      </w:tr>
      <w:tr>
        <w:tc>
          <w:tcPr>
            <w:tcW w:type="dxa" w:w="2365"/>
            <w:shd w:val="clear" w:fill="F2F5F8"/>
          </w:tcPr>
          <w:p>
            <w:pPr>
              <w:spacing w:after="40" w:before="40"/>
            </w:pPr>
            <w:r>
              <w:rPr>
                <w:sz w:val="17"/>
              </w:rPr>
            </w:r>
            <w:r>
              <w:rPr>
                <w:sz w:val="17"/>
              </w:rPr>
              <w:t>D2</w:t>
            </w:r>
          </w:p>
        </w:tc>
        <w:tc>
          <w:tcPr>
            <w:tcW w:type="dxa" w:w="1577"/>
            <w:shd w:val="clear" w:fill="F2F5F8"/>
          </w:tcPr>
          <w:p>
            <w:pPr>
              <w:spacing w:after="40" w:before="40"/>
            </w:pPr>
            <w:r>
              <w:rPr>
                <w:sz w:val="17"/>
              </w:rPr>
            </w:r>
            <w:r>
              <w:rPr>
                <w:sz w:val="17"/>
              </w:rPr>
              <w:t>68</w:t>
            </w:r>
          </w:p>
        </w:tc>
        <w:tc>
          <w:tcPr>
            <w:tcW w:type="dxa" w:w="2365"/>
            <w:shd w:val="clear" w:fill="F2F5F8"/>
          </w:tcPr>
          <w:p>
            <w:pPr>
              <w:spacing w:after="40" w:before="40"/>
            </w:pPr>
            <w:r>
              <w:rPr>
                <w:sz w:val="17"/>
              </w:rPr>
            </w:r>
            <w:r>
              <w:rPr>
                <w:sz w:val="17"/>
              </w:rPr>
              <w:t>15 %</w:t>
            </w:r>
          </w:p>
        </w:tc>
        <w:tc>
          <w:tcPr>
            <w:tcW w:type="dxa" w:w="3154"/>
            <w:shd w:val="clear" w:fill="F2F5F8"/>
          </w:tcPr>
          <w:p>
            <w:pPr>
              <w:spacing w:after="40" w:before="40"/>
            </w:pPr>
            <w:r>
              <w:rPr>
                <w:sz w:val="17"/>
              </w:rPr>
            </w:r>
            <w:r>
              <w:rPr>
                <w:sz w:val="17"/>
              </w:rPr>
              <w:t>10,20</w:t>
            </w:r>
          </w:p>
        </w:tc>
      </w:tr>
      <w:tr>
        <w:tc>
          <w:tcPr>
            <w:tcW w:type="dxa" w:w="2365"/>
          </w:tcPr>
          <w:p>
            <w:pPr>
              <w:spacing w:after="40" w:before="40"/>
            </w:pPr>
            <w:r>
              <w:rPr>
                <w:sz w:val="17"/>
              </w:rPr>
            </w:r>
            <w:r>
              <w:rPr>
                <w:sz w:val="17"/>
              </w:rPr>
              <w:t>D3</w:t>
            </w:r>
          </w:p>
        </w:tc>
        <w:tc>
          <w:tcPr>
            <w:tcW w:type="dxa" w:w="1577"/>
          </w:tcPr>
          <w:p>
            <w:pPr>
              <w:spacing w:after="40" w:before="40"/>
            </w:pPr>
            <w:r>
              <w:rPr>
                <w:sz w:val="17"/>
              </w:rPr>
            </w:r>
            <w:r>
              <w:rPr>
                <w:sz w:val="17"/>
              </w:rPr>
              <w:t>75</w:t>
            </w:r>
          </w:p>
        </w:tc>
        <w:tc>
          <w:tcPr>
            <w:tcW w:type="dxa" w:w="2365"/>
          </w:tcPr>
          <w:p>
            <w:pPr>
              <w:spacing w:after="40" w:before="40"/>
            </w:pPr>
            <w:r>
              <w:rPr>
                <w:sz w:val="17"/>
              </w:rPr>
            </w:r>
            <w:r>
              <w:rPr>
                <w:sz w:val="17"/>
              </w:rPr>
              <w:t>20 %</w:t>
            </w:r>
          </w:p>
        </w:tc>
        <w:tc>
          <w:tcPr>
            <w:tcW w:type="dxa" w:w="3154"/>
          </w:tcPr>
          <w:p>
            <w:pPr>
              <w:spacing w:after="40" w:before="40"/>
            </w:pPr>
            <w:r>
              <w:rPr>
                <w:sz w:val="17"/>
              </w:rPr>
            </w:r>
            <w:r>
              <w:rPr>
                <w:sz w:val="17"/>
              </w:rPr>
              <w:t>15,00</w:t>
            </w:r>
          </w:p>
        </w:tc>
      </w:tr>
      <w:tr>
        <w:tc>
          <w:tcPr>
            <w:tcW w:type="dxa" w:w="2365"/>
            <w:shd w:val="clear" w:fill="F2F5F8"/>
          </w:tcPr>
          <w:p>
            <w:pPr>
              <w:spacing w:after="40" w:before="40"/>
            </w:pPr>
            <w:r>
              <w:rPr>
                <w:sz w:val="17"/>
              </w:rPr>
            </w:r>
            <w:r>
              <w:rPr>
                <w:sz w:val="17"/>
              </w:rPr>
              <w:t>D4</w:t>
            </w:r>
          </w:p>
        </w:tc>
        <w:tc>
          <w:tcPr>
            <w:tcW w:type="dxa" w:w="1577"/>
            <w:shd w:val="clear" w:fill="F2F5F8"/>
          </w:tcPr>
          <w:p>
            <w:pPr>
              <w:spacing w:after="40" w:before="40"/>
            </w:pPr>
            <w:r>
              <w:rPr>
                <w:sz w:val="17"/>
              </w:rPr>
            </w:r>
            <w:r>
              <w:rPr>
                <w:sz w:val="17"/>
              </w:rPr>
              <w:t>60</w:t>
            </w:r>
          </w:p>
        </w:tc>
        <w:tc>
          <w:tcPr>
            <w:tcW w:type="dxa" w:w="2365"/>
            <w:shd w:val="clear" w:fill="F2F5F8"/>
          </w:tcPr>
          <w:p>
            <w:pPr>
              <w:spacing w:after="40" w:before="40"/>
            </w:pPr>
            <w:r>
              <w:rPr>
                <w:sz w:val="17"/>
              </w:rPr>
            </w:r>
            <w:r>
              <w:rPr>
                <w:sz w:val="17"/>
              </w:rPr>
              <w:t>15 %</w:t>
            </w:r>
          </w:p>
        </w:tc>
        <w:tc>
          <w:tcPr>
            <w:tcW w:type="dxa" w:w="3154"/>
            <w:shd w:val="clear" w:fill="F2F5F8"/>
          </w:tcPr>
          <w:p>
            <w:pPr>
              <w:spacing w:after="40" w:before="40"/>
            </w:pPr>
            <w:r>
              <w:rPr>
                <w:sz w:val="17"/>
              </w:rPr>
            </w:r>
            <w:r>
              <w:rPr>
                <w:sz w:val="17"/>
              </w:rPr>
              <w:t>9,00</w:t>
            </w:r>
          </w:p>
        </w:tc>
      </w:tr>
      <w:tr>
        <w:tc>
          <w:tcPr>
            <w:tcW w:type="dxa" w:w="2365"/>
          </w:tcPr>
          <w:p>
            <w:pPr>
              <w:spacing w:after="40" w:before="40"/>
            </w:pPr>
            <w:r>
              <w:rPr>
                <w:sz w:val="17"/>
              </w:rPr>
            </w:r>
            <w:r>
              <w:rPr>
                <w:sz w:val="17"/>
              </w:rPr>
              <w:t>D5</w:t>
            </w:r>
          </w:p>
        </w:tc>
        <w:tc>
          <w:tcPr>
            <w:tcW w:type="dxa" w:w="1577"/>
          </w:tcPr>
          <w:p>
            <w:pPr>
              <w:spacing w:after="40" w:before="40"/>
            </w:pPr>
            <w:r>
              <w:rPr>
                <w:sz w:val="17"/>
              </w:rPr>
            </w:r>
            <w:r>
              <w:rPr>
                <w:sz w:val="17"/>
              </w:rPr>
              <w:t>65</w:t>
            </w:r>
          </w:p>
        </w:tc>
        <w:tc>
          <w:tcPr>
            <w:tcW w:type="dxa" w:w="2365"/>
          </w:tcPr>
          <w:p>
            <w:pPr>
              <w:spacing w:after="40" w:before="40"/>
            </w:pPr>
            <w:r>
              <w:rPr>
                <w:sz w:val="17"/>
              </w:rPr>
            </w:r>
            <w:r>
              <w:rPr>
                <w:sz w:val="17"/>
              </w:rPr>
              <w:t>12 %</w:t>
            </w:r>
          </w:p>
        </w:tc>
        <w:tc>
          <w:tcPr>
            <w:tcW w:type="dxa" w:w="3154"/>
          </w:tcPr>
          <w:p>
            <w:pPr>
              <w:spacing w:after="40" w:before="40"/>
            </w:pPr>
            <w:r>
              <w:rPr>
                <w:sz w:val="17"/>
              </w:rPr>
            </w:r>
            <w:r>
              <w:rPr>
                <w:sz w:val="17"/>
              </w:rPr>
              <w:t>7,80</w:t>
            </w:r>
          </w:p>
        </w:tc>
      </w:tr>
      <w:tr>
        <w:tc>
          <w:tcPr>
            <w:tcW w:type="dxa" w:w="2365"/>
            <w:shd w:val="clear" w:fill="F2F5F8"/>
          </w:tcPr>
          <w:p>
            <w:pPr>
              <w:spacing w:after="40" w:before="40"/>
            </w:pPr>
            <w:r>
              <w:rPr>
                <w:sz w:val="17"/>
              </w:rPr>
            </w:r>
            <w:r>
              <w:rPr>
                <w:sz w:val="17"/>
              </w:rPr>
              <w:t>D6</w:t>
            </w:r>
          </w:p>
        </w:tc>
        <w:tc>
          <w:tcPr>
            <w:tcW w:type="dxa" w:w="1577"/>
            <w:shd w:val="clear" w:fill="F2F5F8"/>
          </w:tcPr>
          <w:p>
            <w:pPr>
              <w:spacing w:after="40" w:before="40"/>
            </w:pPr>
            <w:r>
              <w:rPr>
                <w:sz w:val="17"/>
              </w:rPr>
            </w:r>
            <w:r>
              <w:rPr>
                <w:sz w:val="17"/>
              </w:rPr>
              <w:t>80</w:t>
            </w:r>
          </w:p>
        </w:tc>
        <w:tc>
          <w:tcPr>
            <w:tcW w:type="dxa" w:w="2365"/>
            <w:shd w:val="clear" w:fill="F2F5F8"/>
          </w:tcPr>
          <w:p>
            <w:pPr>
              <w:spacing w:after="40" w:before="40"/>
            </w:pPr>
            <w:r>
              <w:rPr>
                <w:sz w:val="17"/>
              </w:rPr>
            </w:r>
            <w:r>
              <w:rPr>
                <w:sz w:val="17"/>
              </w:rPr>
              <w:t>5 %</w:t>
            </w:r>
          </w:p>
        </w:tc>
        <w:tc>
          <w:tcPr>
            <w:tcW w:type="dxa" w:w="3154"/>
            <w:shd w:val="clear" w:fill="F2F5F8"/>
          </w:tcPr>
          <w:p>
            <w:pPr>
              <w:spacing w:after="40" w:before="40"/>
            </w:pPr>
            <w:r>
              <w:rPr>
                <w:sz w:val="17"/>
              </w:rPr>
            </w:r>
            <w:r>
              <w:rPr>
                <w:sz w:val="17"/>
              </w:rPr>
              <w:t>4,00</w:t>
            </w:r>
          </w:p>
        </w:tc>
      </w:tr>
      <w:tr>
        <w:tc>
          <w:tcPr>
            <w:tcW w:type="dxa" w:w="2365"/>
          </w:tcPr>
          <w:p>
            <w:pPr>
              <w:spacing w:after="40" w:before="40"/>
            </w:pPr>
            <w:r>
              <w:rPr>
                <w:sz w:val="17"/>
              </w:rPr>
            </w:r>
            <w:r>
              <w:rPr>
                <w:sz w:val="17"/>
              </w:rPr>
              <w:t>D7</w:t>
            </w:r>
          </w:p>
        </w:tc>
        <w:tc>
          <w:tcPr>
            <w:tcW w:type="dxa" w:w="1577"/>
          </w:tcPr>
          <w:p>
            <w:pPr>
              <w:spacing w:after="40" w:before="40"/>
            </w:pPr>
            <w:r>
              <w:rPr>
                <w:sz w:val="17"/>
              </w:rPr>
            </w:r>
            <w:r>
              <w:rPr>
                <w:sz w:val="17"/>
              </w:rPr>
              <w:t>50</w:t>
            </w:r>
          </w:p>
        </w:tc>
        <w:tc>
          <w:tcPr>
            <w:tcW w:type="dxa" w:w="2365"/>
          </w:tcPr>
          <w:p>
            <w:pPr>
              <w:spacing w:after="40" w:before="40"/>
            </w:pPr>
            <w:r>
              <w:rPr>
                <w:sz w:val="17"/>
              </w:rPr>
            </w:r>
            <w:r>
              <w:rPr>
                <w:sz w:val="17"/>
              </w:rPr>
              <w:t>3 %</w:t>
            </w:r>
          </w:p>
        </w:tc>
        <w:tc>
          <w:tcPr>
            <w:tcW w:type="dxa" w:w="3154"/>
          </w:tcPr>
          <w:p>
            <w:pPr>
              <w:spacing w:after="40" w:before="40"/>
            </w:pPr>
            <w:r>
              <w:rPr>
                <w:sz w:val="17"/>
              </w:rPr>
            </w:r>
            <w:r>
              <w:rPr>
                <w:sz w:val="17"/>
              </w:rPr>
              <w:t>1,50</w:t>
            </w:r>
          </w:p>
        </w:tc>
      </w:tr>
      <w:tr>
        <w:tc>
          <w:tcPr>
            <w:tcW w:type="dxa" w:w="2365"/>
            <w:shd w:val="clear" w:fill="F2F5F8"/>
          </w:tcPr>
          <w:p>
            <w:pPr>
              <w:spacing w:after="40" w:before="40"/>
            </w:pPr>
            <w:r>
              <w:rPr>
                <w:sz w:val="17"/>
              </w:rPr>
            </w:r>
            <w:r>
              <w:rPr>
                <w:b/>
                <w:sz w:val="17"/>
              </w:rPr>
              <w:t>Total</w:t>
            </w:r>
          </w:p>
        </w:tc>
        <w:tc>
          <w:tcPr>
            <w:tcW w:type="dxa" w:w="1577"/>
            <w:shd w:val="clear" w:fill="F2F5F8"/>
          </w:tcPr>
          <w:p>
            <w:pPr>
              <w:spacing w:after="40" w:before="40"/>
            </w:pPr>
            <w:r>
              <w:rPr>
                <w:sz w:val="17"/>
              </w:rPr>
            </w:r>
          </w:p>
        </w:tc>
        <w:tc>
          <w:tcPr>
            <w:tcW w:type="dxa" w:w="2365"/>
            <w:shd w:val="clear" w:fill="F2F5F8"/>
          </w:tcPr>
          <w:p>
            <w:pPr>
              <w:spacing w:after="40" w:before="40"/>
            </w:pPr>
            <w:r>
              <w:rPr>
                <w:sz w:val="17"/>
              </w:rPr>
            </w:r>
            <w:r>
              <w:rPr>
                <w:b/>
                <w:sz w:val="17"/>
              </w:rPr>
              <w:t>100 %</w:t>
            </w:r>
          </w:p>
        </w:tc>
        <w:tc>
          <w:tcPr>
            <w:tcW w:type="dxa" w:w="3154"/>
            <w:shd w:val="clear" w:fill="F2F5F8"/>
          </w:tcPr>
          <w:p>
            <w:pPr>
              <w:spacing w:after="40" w:before="40"/>
            </w:pPr>
            <w:r>
              <w:rPr>
                <w:sz w:val="17"/>
              </w:rPr>
            </w:r>
            <w:r>
              <w:rPr>
                <w:b/>
                <w:sz w:val="17"/>
              </w:rPr>
              <w:t>69,10</w:t>
            </w:r>
          </w:p>
        </w:tc>
      </w:tr>
    </w:tbl>
    <w:p>
      <w:pPr>
        <w:spacing w:after="80"/>
      </w:pPr>
    </w:p>
    <w:p>
      <w:r>
        <w:t xml:space="preserve">Résultat moteur : </w:t>
      </w:r>
      <w:r>
        <w:rPr>
          <w:b/>
        </w:rPr>
        <w:t>G6</w:t>
      </w:r>
      <w:r>
        <w:t xml:space="preserve">. Si le ratio de couverture du service de la dette est inférieur à 1,0 en scénario de base, le cap structurel limite le résultat à </w:t>
      </w:r>
      <w:r>
        <w:rPr>
          <w:b/>
        </w:rPr>
        <w:t>G9</w:t>
      </w:r>
      <w:r>
        <w:t>, alors même que le score brut demeure 69,10. Le score brut et le grade capé sont tous deux conservés : le premier alimente la surveillance du modèle, le second la décision.</w:t>
      </w:r>
    </w:p>
    <w:p>
      <w:pPr>
        <w:pStyle w:val="Heading3"/>
      </w:pPr>
      <w:r>
        <w:t>15.3 Grande entreprise</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2365"/>
            <w:shd w:val="clear" w:fill="0F3D63"/>
          </w:tcPr>
          <w:p>
            <w:pPr>
              <w:spacing w:after="40" w:before="40"/>
            </w:pPr>
            <w:r>
              <w:rPr>
                <w:color w:val="FFFFFF"/>
                <w:sz w:val="17"/>
              </w:rPr>
            </w:r>
            <w:r>
              <w:rPr>
                <w:b/>
                <w:color w:val="FFFFFF"/>
                <w:sz w:val="17"/>
              </w:rPr>
              <w:t>Domaine</w:t>
            </w:r>
          </w:p>
        </w:tc>
        <w:tc>
          <w:tcPr>
            <w:tcW w:type="dxa" w:w="1577"/>
            <w:shd w:val="clear" w:fill="0F3D63"/>
          </w:tcPr>
          <w:p>
            <w:pPr>
              <w:spacing w:after="40" w:before="40"/>
            </w:pPr>
            <w:r>
              <w:rPr>
                <w:color w:val="FFFFFF"/>
                <w:sz w:val="17"/>
              </w:rPr>
            </w:r>
            <w:r>
              <w:rPr>
                <w:b/>
                <w:color w:val="FFFFFF"/>
                <w:sz w:val="17"/>
              </w:rPr>
              <w:t>Score</w:t>
            </w:r>
          </w:p>
        </w:tc>
        <w:tc>
          <w:tcPr>
            <w:tcW w:type="dxa" w:w="2365"/>
            <w:shd w:val="clear" w:fill="0F3D63"/>
          </w:tcPr>
          <w:p>
            <w:pPr>
              <w:spacing w:after="40" w:before="40"/>
            </w:pPr>
            <w:r>
              <w:rPr>
                <w:color w:val="FFFFFF"/>
                <w:sz w:val="17"/>
              </w:rPr>
            </w:r>
            <w:r>
              <w:rPr>
                <w:b/>
                <w:color w:val="FFFFFF"/>
                <w:sz w:val="17"/>
              </w:rPr>
              <w:t>Poids GE</w:t>
            </w:r>
          </w:p>
        </w:tc>
        <w:tc>
          <w:tcPr>
            <w:tcW w:type="dxa" w:w="3154"/>
            <w:shd w:val="clear" w:fill="0F3D63"/>
          </w:tcPr>
          <w:p>
            <w:pPr>
              <w:spacing w:after="40" w:before="40"/>
            </w:pPr>
            <w:r>
              <w:rPr>
                <w:color w:val="FFFFFF"/>
                <w:sz w:val="17"/>
              </w:rPr>
            </w:r>
            <w:r>
              <w:rPr>
                <w:b/>
                <w:color w:val="FFFFFF"/>
                <w:sz w:val="17"/>
              </w:rPr>
              <w:t>Contribution</w:t>
            </w:r>
          </w:p>
        </w:tc>
      </w:tr>
      <w:tr>
        <w:tc>
          <w:tcPr>
            <w:tcW w:type="dxa" w:w="2365"/>
          </w:tcPr>
          <w:p>
            <w:pPr>
              <w:spacing w:after="40" w:before="40"/>
            </w:pPr>
            <w:r>
              <w:rPr>
                <w:sz w:val="17"/>
              </w:rPr>
            </w:r>
            <w:r>
              <w:rPr>
                <w:sz w:val="17"/>
              </w:rPr>
              <w:t>D1</w:t>
            </w:r>
          </w:p>
        </w:tc>
        <w:tc>
          <w:tcPr>
            <w:tcW w:type="dxa" w:w="1577"/>
          </w:tcPr>
          <w:p>
            <w:pPr>
              <w:spacing w:after="40" w:before="40"/>
            </w:pPr>
            <w:r>
              <w:rPr>
                <w:sz w:val="17"/>
              </w:rPr>
            </w:r>
            <w:r>
              <w:rPr>
                <w:sz w:val="17"/>
              </w:rPr>
              <w:t>78</w:t>
            </w:r>
          </w:p>
        </w:tc>
        <w:tc>
          <w:tcPr>
            <w:tcW w:type="dxa" w:w="2365"/>
          </w:tcPr>
          <w:p>
            <w:pPr>
              <w:spacing w:after="40" w:before="40"/>
            </w:pPr>
            <w:r>
              <w:rPr>
                <w:sz w:val="17"/>
              </w:rPr>
            </w:r>
            <w:r>
              <w:rPr>
                <w:sz w:val="17"/>
              </w:rPr>
              <w:t>30 %</w:t>
            </w:r>
          </w:p>
        </w:tc>
        <w:tc>
          <w:tcPr>
            <w:tcW w:type="dxa" w:w="3154"/>
          </w:tcPr>
          <w:p>
            <w:pPr>
              <w:spacing w:after="40" w:before="40"/>
            </w:pPr>
            <w:r>
              <w:rPr>
                <w:sz w:val="17"/>
              </w:rPr>
            </w:r>
            <w:r>
              <w:rPr>
                <w:sz w:val="17"/>
              </w:rPr>
              <w:t>23,40</w:t>
            </w:r>
          </w:p>
        </w:tc>
      </w:tr>
      <w:tr>
        <w:tc>
          <w:tcPr>
            <w:tcW w:type="dxa" w:w="2365"/>
            <w:shd w:val="clear" w:fill="F2F5F8"/>
          </w:tcPr>
          <w:p>
            <w:pPr>
              <w:spacing w:after="40" w:before="40"/>
            </w:pPr>
            <w:r>
              <w:rPr>
                <w:sz w:val="17"/>
              </w:rPr>
            </w:r>
            <w:r>
              <w:rPr>
                <w:sz w:val="17"/>
              </w:rPr>
              <w:t>D2</w:t>
            </w:r>
          </w:p>
        </w:tc>
        <w:tc>
          <w:tcPr>
            <w:tcW w:type="dxa" w:w="1577"/>
            <w:shd w:val="clear" w:fill="F2F5F8"/>
          </w:tcPr>
          <w:p>
            <w:pPr>
              <w:spacing w:after="40" w:before="40"/>
            </w:pPr>
            <w:r>
              <w:rPr>
                <w:sz w:val="17"/>
              </w:rPr>
            </w:r>
            <w:r>
              <w:rPr>
                <w:sz w:val="17"/>
              </w:rPr>
              <w:t>75</w:t>
            </w:r>
          </w:p>
        </w:tc>
        <w:tc>
          <w:tcPr>
            <w:tcW w:type="dxa" w:w="2365"/>
            <w:shd w:val="clear" w:fill="F2F5F8"/>
          </w:tcPr>
          <w:p>
            <w:pPr>
              <w:spacing w:after="40" w:before="40"/>
            </w:pPr>
            <w:r>
              <w:rPr>
                <w:sz w:val="17"/>
              </w:rPr>
            </w:r>
            <w:r>
              <w:rPr>
                <w:sz w:val="17"/>
              </w:rPr>
              <w:t>20 %</w:t>
            </w:r>
          </w:p>
        </w:tc>
        <w:tc>
          <w:tcPr>
            <w:tcW w:type="dxa" w:w="3154"/>
            <w:shd w:val="clear" w:fill="F2F5F8"/>
          </w:tcPr>
          <w:p>
            <w:pPr>
              <w:spacing w:after="40" w:before="40"/>
            </w:pPr>
            <w:r>
              <w:rPr>
                <w:sz w:val="17"/>
              </w:rPr>
            </w:r>
            <w:r>
              <w:rPr>
                <w:sz w:val="17"/>
              </w:rPr>
              <w:t>15,00</w:t>
            </w:r>
          </w:p>
        </w:tc>
      </w:tr>
      <w:tr>
        <w:tc>
          <w:tcPr>
            <w:tcW w:type="dxa" w:w="2365"/>
          </w:tcPr>
          <w:p>
            <w:pPr>
              <w:spacing w:after="40" w:before="40"/>
            </w:pPr>
            <w:r>
              <w:rPr>
                <w:sz w:val="17"/>
              </w:rPr>
            </w:r>
            <w:r>
              <w:rPr>
                <w:sz w:val="17"/>
              </w:rPr>
              <w:t>D3</w:t>
            </w:r>
          </w:p>
        </w:tc>
        <w:tc>
          <w:tcPr>
            <w:tcW w:type="dxa" w:w="1577"/>
          </w:tcPr>
          <w:p>
            <w:pPr>
              <w:spacing w:after="40" w:before="40"/>
            </w:pPr>
            <w:r>
              <w:rPr>
                <w:sz w:val="17"/>
              </w:rPr>
            </w:r>
            <w:r>
              <w:rPr>
                <w:sz w:val="17"/>
              </w:rPr>
              <w:t>80</w:t>
            </w:r>
          </w:p>
        </w:tc>
        <w:tc>
          <w:tcPr>
            <w:tcW w:type="dxa" w:w="2365"/>
          </w:tcPr>
          <w:p>
            <w:pPr>
              <w:spacing w:after="40" w:before="40"/>
            </w:pPr>
            <w:r>
              <w:rPr>
                <w:sz w:val="17"/>
              </w:rPr>
            </w:r>
            <w:r>
              <w:rPr>
                <w:sz w:val="17"/>
              </w:rPr>
              <w:t>10 %</w:t>
            </w:r>
          </w:p>
        </w:tc>
        <w:tc>
          <w:tcPr>
            <w:tcW w:type="dxa" w:w="3154"/>
          </w:tcPr>
          <w:p>
            <w:pPr>
              <w:spacing w:after="40" w:before="40"/>
            </w:pPr>
            <w:r>
              <w:rPr>
                <w:sz w:val="17"/>
              </w:rPr>
            </w:r>
            <w:r>
              <w:rPr>
                <w:sz w:val="17"/>
              </w:rPr>
              <w:t>8,00</w:t>
            </w:r>
          </w:p>
        </w:tc>
      </w:tr>
      <w:tr>
        <w:tc>
          <w:tcPr>
            <w:tcW w:type="dxa" w:w="2365"/>
            <w:shd w:val="clear" w:fill="F2F5F8"/>
          </w:tcPr>
          <w:p>
            <w:pPr>
              <w:spacing w:after="40" w:before="40"/>
            </w:pPr>
            <w:r>
              <w:rPr>
                <w:sz w:val="17"/>
              </w:rPr>
            </w:r>
            <w:r>
              <w:rPr>
                <w:sz w:val="17"/>
              </w:rPr>
              <w:t>D4</w:t>
            </w:r>
          </w:p>
        </w:tc>
        <w:tc>
          <w:tcPr>
            <w:tcW w:type="dxa" w:w="1577"/>
            <w:shd w:val="clear" w:fill="F2F5F8"/>
          </w:tcPr>
          <w:p>
            <w:pPr>
              <w:spacing w:after="40" w:before="40"/>
            </w:pPr>
            <w:r>
              <w:rPr>
                <w:sz w:val="17"/>
              </w:rPr>
            </w:r>
            <w:r>
              <w:rPr>
                <w:sz w:val="17"/>
              </w:rPr>
              <w:t>70</w:t>
            </w:r>
          </w:p>
        </w:tc>
        <w:tc>
          <w:tcPr>
            <w:tcW w:type="dxa" w:w="2365"/>
            <w:shd w:val="clear" w:fill="F2F5F8"/>
          </w:tcPr>
          <w:p>
            <w:pPr>
              <w:spacing w:after="40" w:before="40"/>
            </w:pPr>
            <w:r>
              <w:rPr>
                <w:sz w:val="17"/>
              </w:rPr>
            </w:r>
            <w:r>
              <w:rPr>
                <w:sz w:val="17"/>
              </w:rPr>
              <w:t>15 %</w:t>
            </w:r>
          </w:p>
        </w:tc>
        <w:tc>
          <w:tcPr>
            <w:tcW w:type="dxa" w:w="3154"/>
            <w:shd w:val="clear" w:fill="F2F5F8"/>
          </w:tcPr>
          <w:p>
            <w:pPr>
              <w:spacing w:after="40" w:before="40"/>
            </w:pPr>
            <w:r>
              <w:rPr>
                <w:sz w:val="17"/>
              </w:rPr>
            </w:r>
            <w:r>
              <w:rPr>
                <w:sz w:val="17"/>
              </w:rPr>
              <w:t>10,50</w:t>
            </w:r>
          </w:p>
        </w:tc>
      </w:tr>
      <w:tr>
        <w:tc>
          <w:tcPr>
            <w:tcW w:type="dxa" w:w="2365"/>
          </w:tcPr>
          <w:p>
            <w:pPr>
              <w:spacing w:after="40" w:before="40"/>
            </w:pPr>
            <w:r>
              <w:rPr>
                <w:sz w:val="17"/>
              </w:rPr>
            </w:r>
            <w:r>
              <w:rPr>
                <w:sz w:val="17"/>
              </w:rPr>
              <w:t>D5</w:t>
            </w:r>
          </w:p>
        </w:tc>
        <w:tc>
          <w:tcPr>
            <w:tcW w:type="dxa" w:w="1577"/>
          </w:tcPr>
          <w:p>
            <w:pPr>
              <w:spacing w:after="40" w:before="40"/>
            </w:pPr>
            <w:r>
              <w:rPr>
                <w:sz w:val="17"/>
              </w:rPr>
            </w:r>
            <w:r>
              <w:rPr>
                <w:sz w:val="17"/>
              </w:rPr>
              <w:t>75</w:t>
            </w:r>
          </w:p>
        </w:tc>
        <w:tc>
          <w:tcPr>
            <w:tcW w:type="dxa" w:w="2365"/>
          </w:tcPr>
          <w:p>
            <w:pPr>
              <w:spacing w:after="40" w:before="40"/>
            </w:pPr>
            <w:r>
              <w:rPr>
                <w:sz w:val="17"/>
              </w:rPr>
            </w:r>
            <w:r>
              <w:rPr>
                <w:sz w:val="17"/>
              </w:rPr>
              <w:t>15 %</w:t>
            </w:r>
          </w:p>
        </w:tc>
        <w:tc>
          <w:tcPr>
            <w:tcW w:type="dxa" w:w="3154"/>
          </w:tcPr>
          <w:p>
            <w:pPr>
              <w:spacing w:after="40" w:before="40"/>
            </w:pPr>
            <w:r>
              <w:rPr>
                <w:sz w:val="17"/>
              </w:rPr>
            </w:r>
            <w:r>
              <w:rPr>
                <w:sz w:val="17"/>
              </w:rPr>
              <w:t>11,25</w:t>
            </w:r>
          </w:p>
        </w:tc>
      </w:tr>
      <w:tr>
        <w:tc>
          <w:tcPr>
            <w:tcW w:type="dxa" w:w="2365"/>
            <w:shd w:val="clear" w:fill="F2F5F8"/>
          </w:tcPr>
          <w:p>
            <w:pPr>
              <w:spacing w:after="40" w:before="40"/>
            </w:pPr>
            <w:r>
              <w:rPr>
                <w:sz w:val="17"/>
              </w:rPr>
            </w:r>
            <w:r>
              <w:rPr>
                <w:sz w:val="17"/>
              </w:rPr>
              <w:t>D6</w:t>
            </w:r>
          </w:p>
        </w:tc>
        <w:tc>
          <w:tcPr>
            <w:tcW w:type="dxa" w:w="1577"/>
            <w:shd w:val="clear" w:fill="F2F5F8"/>
          </w:tcPr>
          <w:p>
            <w:pPr>
              <w:spacing w:after="40" w:before="40"/>
            </w:pPr>
            <w:r>
              <w:rPr>
                <w:sz w:val="17"/>
              </w:rPr>
            </w:r>
            <w:r>
              <w:rPr>
                <w:sz w:val="17"/>
              </w:rPr>
              <w:t>90</w:t>
            </w:r>
          </w:p>
        </w:tc>
        <w:tc>
          <w:tcPr>
            <w:tcW w:type="dxa" w:w="2365"/>
            <w:shd w:val="clear" w:fill="F2F5F8"/>
          </w:tcPr>
          <w:p>
            <w:pPr>
              <w:spacing w:after="40" w:before="40"/>
            </w:pPr>
            <w:r>
              <w:rPr>
                <w:sz w:val="17"/>
              </w:rPr>
            </w:r>
            <w:r>
              <w:rPr>
                <w:sz w:val="17"/>
              </w:rPr>
              <w:t>5 %</w:t>
            </w:r>
          </w:p>
        </w:tc>
        <w:tc>
          <w:tcPr>
            <w:tcW w:type="dxa" w:w="3154"/>
            <w:shd w:val="clear" w:fill="F2F5F8"/>
          </w:tcPr>
          <w:p>
            <w:pPr>
              <w:spacing w:after="40" w:before="40"/>
            </w:pPr>
            <w:r>
              <w:rPr>
                <w:sz w:val="17"/>
              </w:rPr>
            </w:r>
            <w:r>
              <w:rPr>
                <w:sz w:val="17"/>
              </w:rPr>
              <w:t>4,50</w:t>
            </w:r>
          </w:p>
        </w:tc>
      </w:tr>
      <w:tr>
        <w:tc>
          <w:tcPr>
            <w:tcW w:type="dxa" w:w="2365"/>
          </w:tcPr>
          <w:p>
            <w:pPr>
              <w:spacing w:after="40" w:before="40"/>
            </w:pPr>
            <w:r>
              <w:rPr>
                <w:sz w:val="17"/>
              </w:rPr>
            </w:r>
            <w:r>
              <w:rPr>
                <w:sz w:val="17"/>
              </w:rPr>
              <w:t>D7</w:t>
            </w:r>
          </w:p>
        </w:tc>
        <w:tc>
          <w:tcPr>
            <w:tcW w:type="dxa" w:w="1577"/>
          </w:tcPr>
          <w:p>
            <w:pPr>
              <w:spacing w:after="40" w:before="40"/>
            </w:pPr>
            <w:r>
              <w:rPr>
                <w:sz w:val="17"/>
              </w:rPr>
            </w:r>
            <w:r>
              <w:rPr>
                <w:sz w:val="17"/>
              </w:rPr>
              <w:t>60</w:t>
            </w:r>
          </w:p>
        </w:tc>
        <w:tc>
          <w:tcPr>
            <w:tcW w:type="dxa" w:w="2365"/>
          </w:tcPr>
          <w:p>
            <w:pPr>
              <w:spacing w:after="40" w:before="40"/>
            </w:pPr>
            <w:r>
              <w:rPr>
                <w:sz w:val="17"/>
              </w:rPr>
            </w:r>
            <w:r>
              <w:rPr>
                <w:sz w:val="17"/>
              </w:rPr>
              <w:t>5 %</w:t>
            </w:r>
          </w:p>
        </w:tc>
        <w:tc>
          <w:tcPr>
            <w:tcW w:type="dxa" w:w="3154"/>
          </w:tcPr>
          <w:p>
            <w:pPr>
              <w:spacing w:after="40" w:before="40"/>
            </w:pPr>
            <w:r>
              <w:rPr>
                <w:sz w:val="17"/>
              </w:rPr>
            </w:r>
            <w:r>
              <w:rPr>
                <w:sz w:val="17"/>
              </w:rPr>
              <w:t>3,00</w:t>
            </w:r>
          </w:p>
        </w:tc>
      </w:tr>
      <w:tr>
        <w:tc>
          <w:tcPr>
            <w:tcW w:type="dxa" w:w="2365"/>
            <w:shd w:val="clear" w:fill="F2F5F8"/>
          </w:tcPr>
          <w:p>
            <w:pPr>
              <w:spacing w:after="40" w:before="40"/>
            </w:pPr>
            <w:r>
              <w:rPr>
                <w:sz w:val="17"/>
              </w:rPr>
            </w:r>
            <w:r>
              <w:rPr>
                <w:b/>
                <w:sz w:val="17"/>
              </w:rPr>
              <w:t>Total</w:t>
            </w:r>
          </w:p>
        </w:tc>
        <w:tc>
          <w:tcPr>
            <w:tcW w:type="dxa" w:w="1577"/>
            <w:shd w:val="clear" w:fill="F2F5F8"/>
          </w:tcPr>
          <w:p>
            <w:pPr>
              <w:spacing w:after="40" w:before="40"/>
            </w:pPr>
            <w:r>
              <w:rPr>
                <w:sz w:val="17"/>
              </w:rPr>
            </w:r>
          </w:p>
        </w:tc>
        <w:tc>
          <w:tcPr>
            <w:tcW w:type="dxa" w:w="2365"/>
            <w:shd w:val="clear" w:fill="F2F5F8"/>
          </w:tcPr>
          <w:p>
            <w:pPr>
              <w:spacing w:after="40" w:before="40"/>
            </w:pPr>
            <w:r>
              <w:rPr>
                <w:sz w:val="17"/>
              </w:rPr>
            </w:r>
            <w:r>
              <w:rPr>
                <w:b/>
                <w:sz w:val="17"/>
              </w:rPr>
              <w:t>100 %</w:t>
            </w:r>
          </w:p>
        </w:tc>
        <w:tc>
          <w:tcPr>
            <w:tcW w:type="dxa" w:w="3154"/>
            <w:shd w:val="clear" w:fill="F2F5F8"/>
          </w:tcPr>
          <w:p>
            <w:pPr>
              <w:spacing w:after="40" w:before="40"/>
            </w:pPr>
            <w:r>
              <w:rPr>
                <w:sz w:val="17"/>
              </w:rPr>
            </w:r>
            <w:r>
              <w:rPr>
                <w:b/>
                <w:sz w:val="17"/>
              </w:rPr>
              <w:t>75,65</w:t>
            </w:r>
          </w:p>
        </w:tc>
      </w:tr>
    </w:tbl>
    <w:p>
      <w:pPr>
        <w:spacing w:after="80"/>
      </w:pPr>
    </w:p>
    <w:p>
      <w:r>
        <w:t xml:space="preserve">Résultat moteur : </w:t>
      </w:r>
      <w:r>
        <w:rPr>
          <w:b/>
        </w:rPr>
        <w:t>G4 — Bon</w:t>
      </w:r>
      <w:r>
        <w:t>. Un soutien de groupe ne modifie aucun score élémentaire ; un relèvement éventuel est calculé et approuvé séparément, la note autonome étant conservée.</w:t>
      </w:r>
    </w:p>
    <w:p>
      <w:pPr>
        <w:spacing w:before="80" w:after="160"/>
        <w:pBdr>
          <w:bottom w:val="single" w:sz="6" w:color="D6DBE1"/>
        </w:pBdr>
      </w:pPr>
    </w:p>
    <w:p>
      <w:r>
        <w:br w:type="page"/>
      </w:r>
    </w:p>
    <w:p>
      <w:pPr>
        <w:pStyle w:val="Heading1"/>
      </w:pPr>
      <w:r>
        <w:t>Partie III — Grilles détaillées</w:t>
      </w:r>
    </w:p>
    <w:p>
      <w:pPr>
        <w:spacing w:before="120" w:after="160"/>
        <w:ind w:left="360"/>
        <w:pBdr>
          <w:left w:val="single" w:sz="18" w:space="8" w:color="0F3D63"/>
        </w:pBdr>
      </w:pPr>
      <w:r>
        <w:rPr>
          <w:b/>
          <w:sz w:val="19"/>
        </w:rPr>
        <w:t>Section générée automatiquement depuis la configuration exécutée par le moteur</w:t>
      </w:r>
      <w:r>
        <w:rPr>
          <w:sz w:val="19"/>
        </w:rPr>
        <w:t xml:space="preserve"> (</w:t>
      </w:r>
      <w:r>
        <w:rPr>
          <w:rFonts w:ascii="Consolas" w:hAnsi="Consolas"/>
          <w:color w:val="8A2B2B"/>
          <w:sz w:val="19"/>
        </w:rPr>
        <w:t>src/models/</w:t>
      </w:r>
      <w:r>
        <w:rPr>
          <w:sz w:val="19"/>
        </w:rPr>
        <w:t xml:space="preserve">), au moyen de </w:t>
      </w:r>
      <w:r>
        <w:rPr>
          <w:rFonts w:ascii="Consolas" w:hAnsi="Consolas"/>
          <w:color w:val="8A2B2B"/>
          <w:sz w:val="19"/>
        </w:rPr>
        <w:t>scripts/generate-model-doc.mts</w:t>
      </w:r>
      <w:r>
        <w:rPr>
          <w:sz w:val="19"/>
        </w:rPr>
        <w:t>. Toute modification d'un poids, d'un seuil ou d'un ancrage dans le code se répercute ici à la régénération. Cette section ne peut donc pas diverger du calcul réellement appliqué.</w:t>
      </w:r>
    </w:p>
    <w:p>
      <w:pPr>
        <w:pStyle w:val="Heading2"/>
      </w:pPr>
      <w:r>
        <w:t>Modèle standard — CORP_STD_V1</w:t>
      </w:r>
    </w:p>
    <w:p>
      <w:r>
        <w:t xml:space="preserve">Identifiant </w:t>
      </w:r>
      <w:r>
        <w:rPr>
          <w:rFonts w:ascii="Consolas" w:hAnsi="Consolas"/>
          <w:color w:val="8A2B2B"/>
          <w:sz w:val="18"/>
        </w:rPr>
        <w:t>CORP_STD_V1</w:t>
      </w:r>
      <w:r>
        <w:t xml:space="preserve"> · version 1.0.0 · statut DRAFT_EXPERT_SEED · date d'effet 2026-08-18.</w:t>
      </w:r>
    </w:p>
    <w:p>
      <w:r>
        <w:t>Score 100 = risque le plus faible ; score 0 = risque le plus élevé.</w:t>
      </w:r>
    </w:p>
    <w:p>
      <w:pPr>
        <w:pStyle w:val="Heading3"/>
      </w:pPr>
      <w:r>
        <w:t>Pondération des domaines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5591"/>
            <w:shd w:val="clear" w:fill="0F3D63"/>
          </w:tcPr>
          <w:p>
            <w:pPr>
              <w:spacing w:after="40" w:before="40"/>
            </w:pPr>
            <w:r>
              <w:rPr>
                <w:color w:val="FFFFFF"/>
                <w:sz w:val="17"/>
              </w:rPr>
            </w:r>
            <w:r>
              <w:rPr>
                <w:b/>
                <w:color w:val="FFFFFF"/>
                <w:sz w:val="17"/>
              </w:rPr>
              <w:t>Domaine</w:t>
            </w:r>
          </w:p>
        </w:tc>
        <w:tc>
          <w:tcPr>
            <w:tcW w:type="dxa" w:w="1290"/>
            <w:shd w:val="clear" w:fill="0F3D63"/>
          </w:tcPr>
          <w:p>
            <w:pPr>
              <w:spacing w:after="40" w:before="40"/>
            </w:pPr>
            <w:r>
              <w:rPr>
                <w:color w:val="FFFFFF"/>
                <w:sz w:val="17"/>
              </w:rPr>
            </w:r>
            <w:r>
              <w:rPr>
                <w:b/>
                <w:color w:val="FFFFFF"/>
                <w:sz w:val="17"/>
              </w:rPr>
              <w:t>TPE</w:t>
            </w:r>
          </w:p>
        </w:tc>
        <w:tc>
          <w:tcPr>
            <w:tcW w:type="dxa" w:w="1290"/>
            <w:shd w:val="clear" w:fill="0F3D63"/>
          </w:tcPr>
          <w:p>
            <w:pPr>
              <w:spacing w:after="40" w:before="40"/>
            </w:pPr>
            <w:r>
              <w:rPr>
                <w:color w:val="FFFFFF"/>
                <w:sz w:val="17"/>
              </w:rPr>
            </w:r>
            <w:r>
              <w:rPr>
                <w:b/>
                <w:color w:val="FFFFFF"/>
                <w:sz w:val="17"/>
              </w:rPr>
              <w:t>PME</w:t>
            </w:r>
          </w:p>
        </w:tc>
        <w:tc>
          <w:tcPr>
            <w:tcW w:type="dxa" w:w="1290"/>
            <w:shd w:val="clear" w:fill="0F3D63"/>
          </w:tcPr>
          <w:p>
            <w:pPr>
              <w:spacing w:after="40" w:before="40"/>
            </w:pPr>
            <w:r>
              <w:rPr>
                <w:color w:val="FFFFFF"/>
                <w:sz w:val="17"/>
              </w:rPr>
            </w:r>
            <w:r>
              <w:rPr>
                <w:b/>
                <w:color w:val="FFFFFF"/>
                <w:sz w:val="17"/>
              </w:rPr>
              <w:t>GE</w:t>
            </w:r>
          </w:p>
        </w:tc>
      </w:tr>
      <w:tr>
        <w:tc>
          <w:tcPr>
            <w:tcW w:type="dxa" w:w="5591"/>
          </w:tcPr>
          <w:p>
            <w:pPr>
              <w:spacing w:after="40" w:before="40"/>
            </w:pPr>
            <w:r>
              <w:rPr>
                <w:sz w:val="17"/>
              </w:rPr>
            </w:r>
            <w:r>
              <w:rPr>
                <w:sz w:val="17"/>
              </w:rPr>
              <w:t>D1 — Performance financière et structure bilancielle</w:t>
            </w:r>
          </w:p>
        </w:tc>
        <w:tc>
          <w:tcPr>
            <w:tcW w:type="dxa" w:w="1290"/>
          </w:tcPr>
          <w:p>
            <w:pPr>
              <w:spacing w:after="40" w:before="40"/>
            </w:pPr>
            <w:r>
              <w:rPr>
                <w:sz w:val="17"/>
              </w:rPr>
            </w:r>
            <w:r>
              <w:rPr>
                <w:sz w:val="17"/>
              </w:rPr>
              <w:t>25.00 %</w:t>
            </w:r>
          </w:p>
        </w:tc>
        <w:tc>
          <w:tcPr>
            <w:tcW w:type="dxa" w:w="1290"/>
          </w:tcPr>
          <w:p>
            <w:pPr>
              <w:spacing w:after="40" w:before="40"/>
            </w:pPr>
            <w:r>
              <w:rPr>
                <w:sz w:val="17"/>
              </w:rPr>
            </w:r>
            <w:r>
              <w:rPr>
                <w:sz w:val="17"/>
              </w:rPr>
              <w:t>30.00 %</w:t>
            </w:r>
          </w:p>
        </w:tc>
        <w:tc>
          <w:tcPr>
            <w:tcW w:type="dxa" w:w="1290"/>
          </w:tcPr>
          <w:p>
            <w:pPr>
              <w:spacing w:after="40" w:before="40"/>
            </w:pPr>
            <w:r>
              <w:rPr>
                <w:sz w:val="17"/>
              </w:rPr>
            </w:r>
            <w:r>
              <w:rPr>
                <w:sz w:val="17"/>
              </w:rPr>
              <w:t>30.00 %</w:t>
            </w:r>
          </w:p>
        </w:tc>
      </w:tr>
      <w:tr>
        <w:tc>
          <w:tcPr>
            <w:tcW w:type="dxa" w:w="5591"/>
            <w:shd w:val="clear" w:fill="F2F5F8"/>
          </w:tcPr>
          <w:p>
            <w:pPr>
              <w:spacing w:after="40" w:before="40"/>
            </w:pPr>
            <w:r>
              <w:rPr>
                <w:sz w:val="17"/>
              </w:rPr>
            </w:r>
            <w:r>
              <w:rPr>
                <w:sz w:val="17"/>
              </w:rPr>
              <w:t>D2 — Capacité de remboursement et stress</w:t>
            </w:r>
          </w:p>
        </w:tc>
        <w:tc>
          <w:tcPr>
            <w:tcW w:type="dxa" w:w="1290"/>
            <w:shd w:val="clear" w:fill="F2F5F8"/>
          </w:tcPr>
          <w:p>
            <w:pPr>
              <w:spacing w:after="40" w:before="40"/>
            </w:pPr>
            <w:r>
              <w:rPr>
                <w:sz w:val="17"/>
              </w:rPr>
            </w:r>
            <w:r>
              <w:rPr>
                <w:sz w:val="17"/>
              </w:rPr>
              <w:t>10.00 %</w:t>
            </w:r>
          </w:p>
        </w:tc>
        <w:tc>
          <w:tcPr>
            <w:tcW w:type="dxa" w:w="1290"/>
            <w:shd w:val="clear" w:fill="F2F5F8"/>
          </w:tcPr>
          <w:p>
            <w:pPr>
              <w:spacing w:after="40" w:before="40"/>
            </w:pPr>
            <w:r>
              <w:rPr>
                <w:sz w:val="17"/>
              </w:rPr>
            </w:r>
            <w:r>
              <w:rPr>
                <w:sz w:val="17"/>
              </w:rPr>
              <w:t>15.00 %</w:t>
            </w:r>
          </w:p>
        </w:tc>
        <w:tc>
          <w:tcPr>
            <w:tcW w:type="dxa" w:w="1290"/>
            <w:shd w:val="clear" w:fill="F2F5F8"/>
          </w:tcPr>
          <w:p>
            <w:pPr>
              <w:spacing w:after="40" w:before="40"/>
            </w:pPr>
            <w:r>
              <w:rPr>
                <w:sz w:val="17"/>
              </w:rPr>
            </w:r>
            <w:r>
              <w:rPr>
                <w:sz w:val="17"/>
              </w:rPr>
              <w:t>20.00 %</w:t>
            </w:r>
          </w:p>
        </w:tc>
      </w:tr>
      <w:tr>
        <w:tc>
          <w:tcPr>
            <w:tcW w:type="dxa" w:w="5591"/>
          </w:tcPr>
          <w:p>
            <w:pPr>
              <w:spacing w:after="40" w:before="40"/>
            </w:pPr>
            <w:r>
              <w:rPr>
                <w:sz w:val="17"/>
              </w:rPr>
            </w:r>
            <w:r>
              <w:rPr>
                <w:sz w:val="17"/>
              </w:rPr>
              <w:t>D3 — Comportement bancaire et historique de crédit</w:t>
            </w:r>
          </w:p>
        </w:tc>
        <w:tc>
          <w:tcPr>
            <w:tcW w:type="dxa" w:w="1290"/>
          </w:tcPr>
          <w:p>
            <w:pPr>
              <w:spacing w:after="40" w:before="40"/>
            </w:pPr>
            <w:r>
              <w:rPr>
                <w:sz w:val="17"/>
              </w:rPr>
            </w:r>
            <w:r>
              <w:rPr>
                <w:sz w:val="17"/>
              </w:rPr>
              <w:t>25.00 %</w:t>
            </w:r>
          </w:p>
        </w:tc>
        <w:tc>
          <w:tcPr>
            <w:tcW w:type="dxa" w:w="1290"/>
          </w:tcPr>
          <w:p>
            <w:pPr>
              <w:spacing w:after="40" w:before="40"/>
            </w:pPr>
            <w:r>
              <w:rPr>
                <w:sz w:val="17"/>
              </w:rPr>
            </w:r>
            <w:r>
              <w:rPr>
                <w:sz w:val="17"/>
              </w:rPr>
              <w:t>20.00 %</w:t>
            </w:r>
          </w:p>
        </w:tc>
        <w:tc>
          <w:tcPr>
            <w:tcW w:type="dxa" w:w="1290"/>
          </w:tcPr>
          <w:p>
            <w:pPr>
              <w:spacing w:after="40" w:before="40"/>
            </w:pPr>
            <w:r>
              <w:rPr>
                <w:sz w:val="17"/>
              </w:rPr>
            </w:r>
            <w:r>
              <w:rPr>
                <w:sz w:val="17"/>
              </w:rPr>
              <w:t>10.00 %</w:t>
            </w:r>
          </w:p>
        </w:tc>
      </w:tr>
      <w:tr>
        <w:tc>
          <w:tcPr>
            <w:tcW w:type="dxa" w:w="5591"/>
            <w:shd w:val="clear" w:fill="F2F5F8"/>
          </w:tcPr>
          <w:p>
            <w:pPr>
              <w:spacing w:after="40" w:before="40"/>
            </w:pPr>
            <w:r>
              <w:rPr>
                <w:sz w:val="17"/>
              </w:rPr>
            </w:r>
            <w:r>
              <w:rPr>
                <w:sz w:val="17"/>
              </w:rPr>
              <w:t>D4 — Activité, secteur et positionnement</w:t>
            </w:r>
          </w:p>
        </w:tc>
        <w:tc>
          <w:tcPr>
            <w:tcW w:type="dxa" w:w="1290"/>
            <w:shd w:val="clear" w:fill="F2F5F8"/>
          </w:tcPr>
          <w:p>
            <w:pPr>
              <w:spacing w:after="40" w:before="40"/>
            </w:pPr>
            <w:r>
              <w:rPr>
                <w:sz w:val="17"/>
              </w:rPr>
            </w:r>
            <w:r>
              <w:rPr>
                <w:sz w:val="17"/>
              </w:rPr>
              <w:t>15.00 %</w:t>
            </w:r>
          </w:p>
        </w:tc>
        <w:tc>
          <w:tcPr>
            <w:tcW w:type="dxa" w:w="1290"/>
            <w:shd w:val="clear" w:fill="F2F5F8"/>
          </w:tcPr>
          <w:p>
            <w:pPr>
              <w:spacing w:after="40" w:before="40"/>
            </w:pPr>
            <w:r>
              <w:rPr>
                <w:sz w:val="17"/>
              </w:rPr>
            </w:r>
            <w:r>
              <w:rPr>
                <w:sz w:val="17"/>
              </w:rPr>
              <w:t>15.00 %</w:t>
            </w:r>
          </w:p>
        </w:tc>
        <w:tc>
          <w:tcPr>
            <w:tcW w:type="dxa" w:w="1290"/>
            <w:shd w:val="clear" w:fill="F2F5F8"/>
          </w:tcPr>
          <w:p>
            <w:pPr>
              <w:spacing w:after="40" w:before="40"/>
            </w:pPr>
            <w:r>
              <w:rPr>
                <w:sz w:val="17"/>
              </w:rPr>
            </w:r>
            <w:r>
              <w:rPr>
                <w:sz w:val="17"/>
              </w:rPr>
              <w:t>15.00 %</w:t>
            </w:r>
          </w:p>
        </w:tc>
      </w:tr>
      <w:tr>
        <w:tc>
          <w:tcPr>
            <w:tcW w:type="dxa" w:w="5591"/>
          </w:tcPr>
          <w:p>
            <w:pPr>
              <w:spacing w:after="40" w:before="40"/>
            </w:pPr>
            <w:r>
              <w:rPr>
                <w:sz w:val="17"/>
              </w:rPr>
            </w:r>
            <w:r>
              <w:rPr>
                <w:sz w:val="17"/>
              </w:rPr>
              <w:t>D5 — Management, gouvernance et groupe</w:t>
            </w:r>
          </w:p>
        </w:tc>
        <w:tc>
          <w:tcPr>
            <w:tcW w:type="dxa" w:w="1290"/>
          </w:tcPr>
          <w:p>
            <w:pPr>
              <w:spacing w:after="40" w:before="40"/>
            </w:pPr>
            <w:r>
              <w:rPr>
                <w:sz w:val="17"/>
              </w:rPr>
            </w:r>
            <w:r>
              <w:rPr>
                <w:sz w:val="17"/>
              </w:rPr>
              <w:t>15.00 %</w:t>
            </w:r>
          </w:p>
        </w:tc>
        <w:tc>
          <w:tcPr>
            <w:tcW w:type="dxa" w:w="1290"/>
          </w:tcPr>
          <w:p>
            <w:pPr>
              <w:spacing w:after="40" w:before="40"/>
            </w:pPr>
            <w:r>
              <w:rPr>
                <w:sz w:val="17"/>
              </w:rPr>
            </w:r>
            <w:r>
              <w:rPr>
                <w:sz w:val="17"/>
              </w:rPr>
              <w:t>12.00 %</w:t>
            </w:r>
          </w:p>
        </w:tc>
        <w:tc>
          <w:tcPr>
            <w:tcW w:type="dxa" w:w="1290"/>
          </w:tcPr>
          <w:p>
            <w:pPr>
              <w:spacing w:after="40" w:before="40"/>
            </w:pPr>
            <w:r>
              <w:rPr>
                <w:sz w:val="17"/>
              </w:rPr>
            </w:r>
            <w:r>
              <w:rPr>
                <w:sz w:val="17"/>
              </w:rPr>
              <w:t>15.00 %</w:t>
            </w:r>
          </w:p>
        </w:tc>
      </w:tr>
      <w:tr>
        <w:tc>
          <w:tcPr>
            <w:tcW w:type="dxa" w:w="5591"/>
            <w:shd w:val="clear" w:fill="F2F5F8"/>
          </w:tcPr>
          <w:p>
            <w:pPr>
              <w:spacing w:after="40" w:before="40"/>
            </w:pPr>
            <w:r>
              <w:rPr>
                <w:sz w:val="17"/>
              </w:rPr>
            </w:r>
            <w:r>
              <w:rPr>
                <w:sz w:val="17"/>
              </w:rPr>
              <w:t>D6 — Transparence et conformité</w:t>
            </w:r>
          </w:p>
        </w:tc>
        <w:tc>
          <w:tcPr>
            <w:tcW w:type="dxa" w:w="1290"/>
            <w:shd w:val="clear" w:fill="F2F5F8"/>
          </w:tcPr>
          <w:p>
            <w:pPr>
              <w:spacing w:after="40" w:before="40"/>
            </w:pPr>
            <w:r>
              <w:rPr>
                <w:sz w:val="17"/>
              </w:rPr>
            </w:r>
            <w:r>
              <w:rPr>
                <w:sz w:val="17"/>
              </w:rPr>
              <w:t>7.00 %</w:t>
            </w:r>
          </w:p>
        </w:tc>
        <w:tc>
          <w:tcPr>
            <w:tcW w:type="dxa" w:w="1290"/>
            <w:shd w:val="clear" w:fill="F2F5F8"/>
          </w:tcPr>
          <w:p>
            <w:pPr>
              <w:spacing w:after="40" w:before="40"/>
            </w:pPr>
            <w:r>
              <w:rPr>
                <w:sz w:val="17"/>
              </w:rPr>
            </w:r>
            <w:r>
              <w:rPr>
                <w:sz w:val="17"/>
              </w:rPr>
              <w:t>5.00 %</w:t>
            </w:r>
          </w:p>
        </w:tc>
        <w:tc>
          <w:tcPr>
            <w:tcW w:type="dxa" w:w="1290"/>
            <w:shd w:val="clear" w:fill="F2F5F8"/>
          </w:tcPr>
          <w:p>
            <w:pPr>
              <w:spacing w:after="40" w:before="40"/>
            </w:pPr>
            <w:r>
              <w:rPr>
                <w:sz w:val="17"/>
              </w:rPr>
            </w:r>
            <w:r>
              <w:rPr>
                <w:sz w:val="17"/>
              </w:rPr>
              <w:t>5.00 %</w:t>
            </w:r>
          </w:p>
        </w:tc>
      </w:tr>
      <w:tr>
        <w:tc>
          <w:tcPr>
            <w:tcW w:type="dxa" w:w="5591"/>
          </w:tcPr>
          <w:p>
            <w:pPr>
              <w:spacing w:after="40" w:before="40"/>
            </w:pPr>
            <w:r>
              <w:rPr>
                <w:sz w:val="17"/>
              </w:rPr>
            </w:r>
            <w:r>
              <w:rPr>
                <w:sz w:val="17"/>
              </w:rPr>
              <w:t>D7 — ESG et climat</w:t>
            </w:r>
          </w:p>
        </w:tc>
        <w:tc>
          <w:tcPr>
            <w:tcW w:type="dxa" w:w="1290"/>
          </w:tcPr>
          <w:p>
            <w:pPr>
              <w:spacing w:after="40" w:before="40"/>
            </w:pPr>
            <w:r>
              <w:rPr>
                <w:sz w:val="17"/>
              </w:rPr>
            </w:r>
            <w:r>
              <w:rPr>
                <w:sz w:val="17"/>
              </w:rPr>
              <w:t>3.00 %</w:t>
            </w:r>
          </w:p>
        </w:tc>
        <w:tc>
          <w:tcPr>
            <w:tcW w:type="dxa" w:w="1290"/>
          </w:tcPr>
          <w:p>
            <w:pPr>
              <w:spacing w:after="40" w:before="40"/>
            </w:pPr>
            <w:r>
              <w:rPr>
                <w:sz w:val="17"/>
              </w:rPr>
            </w:r>
            <w:r>
              <w:rPr>
                <w:sz w:val="17"/>
              </w:rPr>
              <w:t>3.00 %</w:t>
            </w:r>
          </w:p>
        </w:tc>
        <w:tc>
          <w:tcPr>
            <w:tcW w:type="dxa" w:w="1290"/>
          </w:tcPr>
          <w:p>
            <w:pPr>
              <w:spacing w:after="40" w:before="40"/>
            </w:pPr>
            <w:r>
              <w:rPr>
                <w:sz w:val="17"/>
              </w:rPr>
            </w:r>
            <w:r>
              <w:rPr>
                <w:sz w:val="17"/>
              </w:rPr>
              <w:t>5.00 %</w:t>
            </w:r>
          </w:p>
        </w:tc>
      </w:tr>
      <w:tr>
        <w:tc>
          <w:tcPr>
            <w:tcW w:type="dxa" w:w="5591"/>
            <w:shd w:val="clear" w:fill="F2F5F8"/>
          </w:tcPr>
          <w:p>
            <w:pPr>
              <w:spacing w:after="40" w:before="40"/>
            </w:pPr>
            <w:r>
              <w:rPr>
                <w:sz w:val="17"/>
              </w:rPr>
            </w:r>
            <w:r>
              <w:rPr>
                <w:b/>
                <w:sz w:val="17"/>
              </w:rPr>
              <w:t>Total</w:t>
            </w:r>
          </w:p>
        </w:tc>
        <w:tc>
          <w:tcPr>
            <w:tcW w:type="dxa" w:w="1290"/>
            <w:shd w:val="clear" w:fill="F2F5F8"/>
          </w:tcPr>
          <w:p>
            <w:pPr>
              <w:spacing w:after="40" w:before="40"/>
            </w:pPr>
            <w:r>
              <w:rPr>
                <w:sz w:val="17"/>
              </w:rPr>
            </w:r>
            <w:r>
              <w:rPr>
                <w:b/>
                <w:sz w:val="17"/>
              </w:rPr>
              <w:t>100.00 %</w:t>
            </w:r>
          </w:p>
        </w:tc>
        <w:tc>
          <w:tcPr>
            <w:tcW w:type="dxa" w:w="1290"/>
            <w:shd w:val="clear" w:fill="F2F5F8"/>
          </w:tcPr>
          <w:p>
            <w:pPr>
              <w:spacing w:after="40" w:before="40"/>
            </w:pPr>
            <w:r>
              <w:rPr>
                <w:sz w:val="17"/>
              </w:rPr>
            </w:r>
            <w:r>
              <w:rPr>
                <w:b/>
                <w:sz w:val="17"/>
              </w:rPr>
              <w:t>100.00 %</w:t>
            </w:r>
          </w:p>
        </w:tc>
        <w:tc>
          <w:tcPr>
            <w:tcW w:type="dxa" w:w="1290"/>
            <w:shd w:val="clear" w:fill="F2F5F8"/>
          </w:tcPr>
          <w:p>
            <w:pPr>
              <w:spacing w:after="40" w:before="40"/>
            </w:pPr>
            <w:r>
              <w:rPr>
                <w:sz w:val="17"/>
              </w:rPr>
            </w:r>
            <w:r>
              <w:rPr>
                <w:b/>
                <w:sz w:val="17"/>
              </w:rPr>
              <w:t>100.00 %</w:t>
            </w:r>
          </w:p>
        </w:tc>
      </w:tr>
    </w:tbl>
    <w:p>
      <w:pPr>
        <w:spacing w:after="80"/>
      </w:pPr>
    </w:p>
    <w:p>
      <w:pPr>
        <w:pStyle w:val="Heading3"/>
      </w:pPr>
      <w:r>
        <w:t>Pondération des 45 critères élémentaires</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rPr>
          <w:tblHeader w:val="true"/>
        </w:trPr>
        <w:tc>
          <w:tcPr>
            <w:tcW w:type="dxa" w:w="823"/>
            <w:shd w:val="clear" w:fill="0F3D63"/>
          </w:tcPr>
          <w:p>
            <w:pPr>
              <w:spacing w:after="40" w:before="40"/>
            </w:pPr>
            <w:r>
              <w:rPr>
                <w:color w:val="FFFFFF"/>
                <w:sz w:val="17"/>
              </w:rPr>
            </w:r>
            <w:r>
              <w:rPr>
                <w:b/>
                <w:color w:val="FFFFFF"/>
                <w:sz w:val="17"/>
              </w:rPr>
              <w:t>Code</w:t>
            </w:r>
          </w:p>
        </w:tc>
        <w:tc>
          <w:tcPr>
            <w:tcW w:type="dxa" w:w="6170"/>
            <w:shd w:val="clear" w:fill="0F3D63"/>
          </w:tcPr>
          <w:p>
            <w:pPr>
              <w:spacing w:after="40" w:before="40"/>
            </w:pPr>
            <w:r>
              <w:rPr>
                <w:color w:val="FFFFFF"/>
                <w:sz w:val="17"/>
              </w:rPr>
            </w:r>
            <w:r>
              <w:rPr>
                <w:b/>
                <w:color w:val="FFFFFF"/>
                <w:sz w:val="17"/>
              </w:rPr>
              <w:t>Critère</w:t>
            </w:r>
          </w:p>
        </w:tc>
        <w:tc>
          <w:tcPr>
            <w:tcW w:type="dxa" w:w="823"/>
            <w:shd w:val="clear" w:fill="0F3D63"/>
          </w:tcPr>
          <w:p>
            <w:pPr>
              <w:spacing w:after="40" w:before="40"/>
            </w:pPr>
            <w:r>
              <w:rPr>
                <w:color w:val="FFFFFF"/>
                <w:sz w:val="17"/>
              </w:rPr>
            </w:r>
            <w:r>
              <w:rPr>
                <w:b/>
                <w:color w:val="FFFFFF"/>
                <w:sz w:val="17"/>
              </w:rPr>
              <w:t>TPE</w:t>
            </w:r>
          </w:p>
        </w:tc>
        <w:tc>
          <w:tcPr>
            <w:tcW w:type="dxa" w:w="823"/>
            <w:shd w:val="clear" w:fill="0F3D63"/>
          </w:tcPr>
          <w:p>
            <w:pPr>
              <w:spacing w:after="40" w:before="40"/>
            </w:pPr>
            <w:r>
              <w:rPr>
                <w:color w:val="FFFFFF"/>
                <w:sz w:val="17"/>
              </w:rPr>
            </w:r>
            <w:r>
              <w:rPr>
                <w:b/>
                <w:color w:val="FFFFFF"/>
                <w:sz w:val="17"/>
              </w:rPr>
              <w:t>PME</w:t>
            </w:r>
          </w:p>
        </w:tc>
        <w:tc>
          <w:tcPr>
            <w:tcW w:type="dxa" w:w="823"/>
            <w:shd w:val="clear" w:fill="0F3D63"/>
          </w:tcPr>
          <w:p>
            <w:pPr>
              <w:spacing w:after="40" w:before="40"/>
            </w:pPr>
            <w:r>
              <w:rPr>
                <w:color w:val="FFFFFF"/>
                <w:sz w:val="17"/>
              </w:rPr>
            </w:r>
            <w:r>
              <w:rPr>
                <w:b/>
                <w:color w:val="FFFFFF"/>
                <w:sz w:val="17"/>
              </w:rPr>
              <w:t>GE</w:t>
            </w:r>
          </w:p>
        </w:tc>
      </w:tr>
      <w:tr>
        <w:tc>
          <w:tcPr>
            <w:tcW w:type="dxa" w:w="823"/>
          </w:tcPr>
          <w:p>
            <w:pPr>
              <w:spacing w:after="40" w:before="40"/>
            </w:pPr>
            <w:r>
              <w:rPr>
                <w:sz w:val="17"/>
              </w:rPr>
            </w:r>
            <w:r>
              <w:rPr>
                <w:sz w:val="17"/>
              </w:rPr>
              <w:t>D1.1</w:t>
            </w:r>
          </w:p>
        </w:tc>
        <w:tc>
          <w:tcPr>
            <w:tcW w:type="dxa" w:w="6170"/>
          </w:tcPr>
          <w:p>
            <w:pPr>
              <w:spacing w:after="40" w:before="40"/>
            </w:pPr>
            <w:r>
              <w:rPr>
                <w:sz w:val="17"/>
              </w:rPr>
            </w:r>
            <w:r>
              <w:rPr>
                <w:sz w:val="17"/>
              </w:rPr>
              <w:t>Croissance et stabilité du chiffre d'affaires</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D1.2</w:t>
            </w:r>
          </w:p>
        </w:tc>
        <w:tc>
          <w:tcPr>
            <w:tcW w:type="dxa" w:w="6170"/>
            <w:shd w:val="clear" w:fill="F2F5F8"/>
          </w:tcPr>
          <w:p>
            <w:pPr>
              <w:spacing w:after="40" w:before="40"/>
            </w:pPr>
            <w:r>
              <w:rPr>
                <w:sz w:val="17"/>
              </w:rPr>
            </w:r>
            <w:r>
              <w:rPr>
                <w:sz w:val="17"/>
              </w:rPr>
              <w:t>Marge EBITDA / performance opérationnelle</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4.00 %</w:t>
            </w:r>
          </w:p>
        </w:tc>
      </w:tr>
      <w:tr>
        <w:tc>
          <w:tcPr>
            <w:tcW w:type="dxa" w:w="823"/>
          </w:tcPr>
          <w:p>
            <w:pPr>
              <w:spacing w:after="40" w:before="40"/>
            </w:pPr>
            <w:r>
              <w:rPr>
                <w:sz w:val="17"/>
              </w:rPr>
            </w:r>
            <w:r>
              <w:rPr>
                <w:sz w:val="17"/>
              </w:rPr>
              <w:t>D1.3</w:t>
            </w:r>
          </w:p>
        </w:tc>
        <w:tc>
          <w:tcPr>
            <w:tcW w:type="dxa" w:w="6170"/>
          </w:tcPr>
          <w:p>
            <w:pPr>
              <w:spacing w:after="40" w:before="40"/>
            </w:pPr>
            <w:r>
              <w:rPr>
                <w:sz w:val="17"/>
              </w:rPr>
            </w:r>
            <w:r>
              <w:rPr>
                <w:sz w:val="17"/>
              </w:rPr>
              <w:t>Rentabilité économique / ROA ajusté</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D1.4</w:t>
            </w:r>
          </w:p>
        </w:tc>
        <w:tc>
          <w:tcPr>
            <w:tcW w:type="dxa" w:w="6170"/>
            <w:shd w:val="clear" w:fill="F2F5F8"/>
          </w:tcPr>
          <w:p>
            <w:pPr>
              <w:spacing w:after="40" w:before="40"/>
            </w:pPr>
            <w:r>
              <w:rPr>
                <w:sz w:val="17"/>
              </w:rPr>
            </w:r>
            <w:r>
              <w:rPr>
                <w:sz w:val="17"/>
              </w:rPr>
              <w:t>Fonds propres tangibles / total bilan</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5.00 %</w:t>
            </w:r>
          </w:p>
        </w:tc>
        <w:tc>
          <w:tcPr>
            <w:tcW w:type="dxa" w:w="823"/>
            <w:shd w:val="clear" w:fill="F2F5F8"/>
          </w:tcPr>
          <w:p>
            <w:pPr>
              <w:spacing w:after="40" w:before="40"/>
            </w:pPr>
            <w:r>
              <w:rPr>
                <w:sz w:val="17"/>
              </w:rPr>
            </w:r>
            <w:r>
              <w:rPr>
                <w:sz w:val="17"/>
              </w:rPr>
              <w:t>4.00 %</w:t>
            </w:r>
          </w:p>
        </w:tc>
      </w:tr>
      <w:tr>
        <w:tc>
          <w:tcPr>
            <w:tcW w:type="dxa" w:w="823"/>
          </w:tcPr>
          <w:p>
            <w:pPr>
              <w:spacing w:after="40" w:before="40"/>
            </w:pPr>
            <w:r>
              <w:rPr>
                <w:sz w:val="17"/>
              </w:rPr>
            </w:r>
            <w:r>
              <w:rPr>
                <w:sz w:val="17"/>
              </w:rPr>
              <w:t>D1.5</w:t>
            </w:r>
          </w:p>
        </w:tc>
        <w:tc>
          <w:tcPr>
            <w:tcW w:type="dxa" w:w="6170"/>
          </w:tcPr>
          <w:p>
            <w:pPr>
              <w:spacing w:after="40" w:before="40"/>
            </w:pPr>
            <w:r>
              <w:rPr>
                <w:sz w:val="17"/>
              </w:rPr>
            </w:r>
            <w:r>
              <w:rPr>
                <w:sz w:val="17"/>
              </w:rPr>
              <w:t>Dette financière nette / EBITDA ajusté</w:t>
            </w:r>
          </w:p>
        </w:tc>
        <w:tc>
          <w:tcPr>
            <w:tcW w:type="dxa" w:w="823"/>
          </w:tcPr>
          <w:p>
            <w:pPr>
              <w:spacing w:after="40" w:before="40"/>
            </w:pPr>
            <w:r>
              <w:rPr>
                <w:sz w:val="17"/>
              </w:rPr>
            </w:r>
            <w:r>
              <w:rPr>
                <w:sz w:val="17"/>
              </w:rPr>
              <w:t>4.00 %</w:t>
            </w:r>
          </w:p>
        </w:tc>
        <w:tc>
          <w:tcPr>
            <w:tcW w:type="dxa" w:w="823"/>
          </w:tcPr>
          <w:p>
            <w:pPr>
              <w:spacing w:after="40" w:before="40"/>
            </w:pPr>
            <w:r>
              <w:rPr>
                <w:sz w:val="17"/>
              </w:rPr>
            </w:r>
            <w:r>
              <w:rPr>
                <w:sz w:val="17"/>
              </w:rPr>
              <w:t>5.00 %</w:t>
            </w:r>
          </w:p>
        </w:tc>
        <w:tc>
          <w:tcPr>
            <w:tcW w:type="dxa" w:w="823"/>
          </w:tcPr>
          <w:p>
            <w:pPr>
              <w:spacing w:after="40" w:before="40"/>
            </w:pPr>
            <w:r>
              <w:rPr>
                <w:sz w:val="17"/>
              </w:rPr>
            </w:r>
            <w:r>
              <w:rPr>
                <w:sz w:val="17"/>
              </w:rPr>
              <w:t>5.00 %</w:t>
            </w:r>
          </w:p>
        </w:tc>
      </w:tr>
      <w:tr>
        <w:tc>
          <w:tcPr>
            <w:tcW w:type="dxa" w:w="823"/>
            <w:shd w:val="clear" w:fill="F2F5F8"/>
          </w:tcPr>
          <w:p>
            <w:pPr>
              <w:spacing w:after="40" w:before="40"/>
            </w:pPr>
            <w:r>
              <w:rPr>
                <w:sz w:val="17"/>
              </w:rPr>
            </w:r>
            <w:r>
              <w:rPr>
                <w:sz w:val="17"/>
              </w:rPr>
              <w:t>D1.6</w:t>
            </w:r>
          </w:p>
        </w:tc>
        <w:tc>
          <w:tcPr>
            <w:tcW w:type="dxa" w:w="6170"/>
            <w:shd w:val="clear" w:fill="F2F5F8"/>
          </w:tcPr>
          <w:p>
            <w:pPr>
              <w:spacing w:after="40" w:before="40"/>
            </w:pPr>
            <w:r>
              <w:rPr>
                <w:sz w:val="17"/>
              </w:rPr>
            </w:r>
            <w:r>
              <w:rPr>
                <w:sz w:val="17"/>
              </w:rPr>
              <w:t>Liquidité court terme</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3.00 %</w:t>
            </w:r>
          </w:p>
        </w:tc>
      </w:tr>
      <w:tr>
        <w:tc>
          <w:tcPr>
            <w:tcW w:type="dxa" w:w="823"/>
          </w:tcPr>
          <w:p>
            <w:pPr>
              <w:spacing w:after="40" w:before="40"/>
            </w:pPr>
            <w:r>
              <w:rPr>
                <w:sz w:val="17"/>
              </w:rPr>
            </w:r>
            <w:r>
              <w:rPr>
                <w:sz w:val="17"/>
              </w:rPr>
              <w:t>D1.7</w:t>
            </w:r>
          </w:p>
        </w:tc>
        <w:tc>
          <w:tcPr>
            <w:tcW w:type="dxa" w:w="6170"/>
          </w:tcPr>
          <w:p>
            <w:pPr>
              <w:spacing w:after="40" w:before="40"/>
            </w:pPr>
            <w:r>
              <w:rPr>
                <w:sz w:val="17"/>
              </w:rPr>
            </w:r>
            <w:r>
              <w:rPr>
                <w:sz w:val="17"/>
              </w:rPr>
              <w:t>BFR et cycle de conversion de trésorerie</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D1.8</w:t>
            </w:r>
          </w:p>
        </w:tc>
        <w:tc>
          <w:tcPr>
            <w:tcW w:type="dxa" w:w="6170"/>
            <w:shd w:val="clear" w:fill="F2F5F8"/>
          </w:tcPr>
          <w:p>
            <w:pPr>
              <w:spacing w:after="40" w:before="40"/>
            </w:pPr>
            <w:r>
              <w:rPr>
                <w:sz w:val="17"/>
              </w:rPr>
            </w:r>
            <w:r>
              <w:rPr>
                <w:sz w:val="17"/>
              </w:rPr>
              <w:t>Conversion EBITDA en cash-flow opérationnel</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5.00 %</w:t>
            </w:r>
          </w:p>
        </w:tc>
      </w:tr>
      <w:tr>
        <w:tc>
          <w:tcPr>
            <w:tcW w:type="dxa" w:w="823"/>
          </w:tcPr>
          <w:p>
            <w:pPr>
              <w:spacing w:after="40" w:before="40"/>
            </w:pPr>
            <w:r>
              <w:rPr>
                <w:sz w:val="17"/>
              </w:rPr>
            </w:r>
            <w:r>
              <w:rPr>
                <w:sz w:val="17"/>
              </w:rPr>
              <w:t>D2.1</w:t>
            </w:r>
          </w:p>
        </w:tc>
        <w:tc>
          <w:tcPr>
            <w:tcW w:type="dxa" w:w="6170"/>
          </w:tcPr>
          <w:p>
            <w:pPr>
              <w:spacing w:after="40" w:before="40"/>
            </w:pPr>
            <w:r>
              <w:rPr>
                <w:sz w:val="17"/>
              </w:rPr>
            </w:r>
            <w:r>
              <w:rPr>
                <w:sz w:val="17"/>
              </w:rPr>
              <w:t>Couverture des intérêts</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D2.2</w:t>
            </w:r>
          </w:p>
        </w:tc>
        <w:tc>
          <w:tcPr>
            <w:tcW w:type="dxa" w:w="6170"/>
            <w:shd w:val="clear" w:fill="F2F5F8"/>
          </w:tcPr>
          <w:p>
            <w:pPr>
              <w:spacing w:after="40" w:before="40"/>
            </w:pPr>
            <w:r>
              <w:rPr>
                <w:sz w:val="17"/>
              </w:rPr>
            </w:r>
            <w:r>
              <w:rPr>
                <w:sz w:val="17"/>
              </w:rPr>
              <w:t>DSCR / couverture du service de la dette</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5.00 %</w:t>
            </w:r>
          </w:p>
        </w:tc>
      </w:tr>
      <w:tr>
        <w:tc>
          <w:tcPr>
            <w:tcW w:type="dxa" w:w="823"/>
          </w:tcPr>
          <w:p>
            <w:pPr>
              <w:spacing w:after="40" w:before="40"/>
            </w:pPr>
            <w:r>
              <w:rPr>
                <w:sz w:val="17"/>
              </w:rPr>
            </w:r>
            <w:r>
              <w:rPr>
                <w:sz w:val="17"/>
              </w:rPr>
              <w:t>D2.3</w:t>
            </w:r>
          </w:p>
        </w:tc>
        <w:tc>
          <w:tcPr>
            <w:tcW w:type="dxa" w:w="6170"/>
          </w:tcPr>
          <w:p>
            <w:pPr>
              <w:spacing w:after="40" w:before="40"/>
            </w:pPr>
            <w:r>
              <w:rPr>
                <w:sz w:val="17"/>
              </w:rPr>
            </w:r>
            <w:r>
              <w:rPr>
                <w:sz w:val="17"/>
              </w:rPr>
              <w:t>Free cash-flow / dette financière</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D2.4</w:t>
            </w:r>
          </w:p>
        </w:tc>
        <w:tc>
          <w:tcPr>
            <w:tcW w:type="dxa" w:w="6170"/>
            <w:shd w:val="clear" w:fill="F2F5F8"/>
          </w:tcPr>
          <w:p>
            <w:pPr>
              <w:spacing w:after="40" w:before="40"/>
            </w:pPr>
            <w:r>
              <w:rPr>
                <w:sz w:val="17"/>
              </w:rPr>
            </w:r>
            <w:r>
              <w:rPr>
                <w:sz w:val="17"/>
              </w:rPr>
              <w:t>Liquidité disponible et mur de dette</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3.00 %</w:t>
            </w:r>
          </w:p>
        </w:tc>
      </w:tr>
      <w:tr>
        <w:tc>
          <w:tcPr>
            <w:tcW w:type="dxa" w:w="823"/>
          </w:tcPr>
          <w:p>
            <w:pPr>
              <w:spacing w:after="40" w:before="40"/>
            </w:pPr>
            <w:r>
              <w:rPr>
                <w:sz w:val="17"/>
              </w:rPr>
            </w:r>
            <w:r>
              <w:rPr>
                <w:sz w:val="17"/>
              </w:rPr>
              <w:t>D2.5</w:t>
            </w:r>
          </w:p>
        </w:tc>
        <w:tc>
          <w:tcPr>
            <w:tcW w:type="dxa" w:w="6170"/>
          </w:tcPr>
          <w:p>
            <w:pPr>
              <w:spacing w:after="40" w:before="40"/>
            </w:pPr>
            <w:r>
              <w:rPr>
                <w:sz w:val="17"/>
              </w:rPr>
            </w:r>
            <w:r>
              <w:rPr>
                <w:sz w:val="17"/>
              </w:rPr>
              <w:t>Résistance au scénario de stress</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4.00 %</w:t>
            </w:r>
          </w:p>
        </w:tc>
      </w:tr>
      <w:tr>
        <w:tc>
          <w:tcPr>
            <w:tcW w:type="dxa" w:w="823"/>
            <w:shd w:val="clear" w:fill="F2F5F8"/>
          </w:tcPr>
          <w:p>
            <w:pPr>
              <w:spacing w:after="40" w:before="40"/>
            </w:pPr>
            <w:r>
              <w:rPr>
                <w:sz w:val="17"/>
              </w:rPr>
            </w:r>
            <w:r>
              <w:rPr>
                <w:sz w:val="17"/>
              </w:rPr>
              <w:t>D2.6</w:t>
            </w:r>
          </w:p>
        </w:tc>
        <w:tc>
          <w:tcPr>
            <w:tcW w:type="dxa" w:w="6170"/>
            <w:shd w:val="clear" w:fill="F2F5F8"/>
          </w:tcPr>
          <w:p>
            <w:pPr>
              <w:spacing w:after="40" w:before="40"/>
            </w:pPr>
            <w:r>
              <w:rPr>
                <w:sz w:val="17"/>
              </w:rPr>
            </w:r>
            <w:r>
              <w:rPr>
                <w:sz w:val="17"/>
              </w:rPr>
              <w:t>Covenants et marge de sécurité</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2.00 %</w:t>
            </w:r>
          </w:p>
        </w:tc>
      </w:tr>
      <w:tr>
        <w:tc>
          <w:tcPr>
            <w:tcW w:type="dxa" w:w="823"/>
          </w:tcPr>
          <w:p>
            <w:pPr>
              <w:spacing w:after="40" w:before="40"/>
            </w:pPr>
            <w:r>
              <w:rPr>
                <w:sz w:val="17"/>
              </w:rPr>
            </w:r>
            <w:r>
              <w:rPr>
                <w:sz w:val="17"/>
              </w:rPr>
              <w:t>D3.1</w:t>
            </w:r>
          </w:p>
        </w:tc>
        <w:tc>
          <w:tcPr>
            <w:tcW w:type="dxa" w:w="6170"/>
          </w:tcPr>
          <w:p>
            <w:pPr>
              <w:spacing w:after="40" w:before="40"/>
            </w:pPr>
            <w:r>
              <w:rPr>
                <w:sz w:val="17"/>
              </w:rPr>
            </w:r>
            <w:r>
              <w:rPr>
                <w:sz w:val="17"/>
              </w:rPr>
              <w:t>Retards de paiement / DPD</w:t>
            </w:r>
          </w:p>
        </w:tc>
        <w:tc>
          <w:tcPr>
            <w:tcW w:type="dxa" w:w="823"/>
          </w:tcPr>
          <w:p>
            <w:pPr>
              <w:spacing w:after="40" w:before="40"/>
            </w:pPr>
            <w:r>
              <w:rPr>
                <w:sz w:val="17"/>
              </w:rPr>
            </w:r>
            <w:r>
              <w:rPr>
                <w:sz w:val="17"/>
              </w:rPr>
              <w:t>6.00 %</w:t>
            </w:r>
          </w:p>
        </w:tc>
        <w:tc>
          <w:tcPr>
            <w:tcW w:type="dxa" w:w="823"/>
          </w:tcPr>
          <w:p>
            <w:pPr>
              <w:spacing w:after="40" w:before="40"/>
            </w:pPr>
            <w:r>
              <w:rPr>
                <w:sz w:val="17"/>
              </w:rPr>
            </w:r>
            <w:r>
              <w:rPr>
                <w:sz w:val="17"/>
              </w:rPr>
              <w:t>5.00 %</w:t>
            </w:r>
          </w:p>
        </w:tc>
        <w:tc>
          <w:tcPr>
            <w:tcW w:type="dxa" w:w="823"/>
          </w:tcPr>
          <w:p>
            <w:pPr>
              <w:spacing w:after="40" w:before="40"/>
            </w:pPr>
            <w:r>
              <w:rPr>
                <w:sz w:val="17"/>
              </w:rPr>
            </w:r>
            <w:r>
              <w:rPr>
                <w:sz w:val="17"/>
              </w:rPr>
              <w:t>2.50 %</w:t>
            </w:r>
          </w:p>
        </w:tc>
      </w:tr>
      <w:tr>
        <w:tc>
          <w:tcPr>
            <w:tcW w:type="dxa" w:w="823"/>
            <w:shd w:val="clear" w:fill="F2F5F8"/>
          </w:tcPr>
          <w:p>
            <w:pPr>
              <w:spacing w:after="40" w:before="40"/>
            </w:pPr>
            <w:r>
              <w:rPr>
                <w:sz w:val="17"/>
              </w:rPr>
            </w:r>
            <w:r>
              <w:rPr>
                <w:sz w:val="17"/>
              </w:rPr>
              <w:t>D3.2</w:t>
            </w:r>
          </w:p>
        </w:tc>
        <w:tc>
          <w:tcPr>
            <w:tcW w:type="dxa" w:w="6170"/>
            <w:shd w:val="clear" w:fill="F2F5F8"/>
          </w:tcPr>
          <w:p>
            <w:pPr>
              <w:spacing w:after="40" w:before="40"/>
            </w:pPr>
            <w:r>
              <w:rPr>
                <w:sz w:val="17"/>
              </w:rPr>
            </w:r>
            <w:r>
              <w:rPr>
                <w:sz w:val="17"/>
              </w:rPr>
              <w:t>Dépassements et irrégularités de compte</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D3.3</w:t>
            </w:r>
          </w:p>
        </w:tc>
        <w:tc>
          <w:tcPr>
            <w:tcW w:type="dxa" w:w="6170"/>
          </w:tcPr>
          <w:p>
            <w:pPr>
              <w:spacing w:after="40" w:before="40"/>
            </w:pPr>
            <w:r>
              <w:rPr>
                <w:sz w:val="17"/>
              </w:rPr>
            </w:r>
            <w:r>
              <w:rPr>
                <w:sz w:val="17"/>
              </w:rPr>
              <w:t>Utilisation des lignes</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D3.4</w:t>
            </w:r>
          </w:p>
        </w:tc>
        <w:tc>
          <w:tcPr>
            <w:tcW w:type="dxa" w:w="6170"/>
            <w:shd w:val="clear" w:fill="F2F5F8"/>
          </w:tcPr>
          <w:p>
            <w:pPr>
              <w:spacing w:after="40" w:before="40"/>
            </w:pPr>
            <w:r>
              <w:rPr>
                <w:sz w:val="17"/>
              </w:rPr>
            </w:r>
            <w:r>
              <w:rPr>
                <w:sz w:val="17"/>
              </w:rPr>
              <w:t>Mouvements créditeurs et domiciliation</w:t>
            </w:r>
          </w:p>
        </w:tc>
        <w:tc>
          <w:tcPr>
            <w:tcW w:type="dxa" w:w="823"/>
            <w:shd w:val="clear" w:fill="F2F5F8"/>
          </w:tcPr>
          <w:p>
            <w:pPr>
              <w:spacing w:after="40" w:before="40"/>
            </w:pPr>
            <w:r>
              <w:rPr>
                <w:sz w:val="17"/>
              </w:rPr>
            </w:r>
            <w:r>
              <w:rPr>
                <w:sz w:val="17"/>
              </w:rPr>
              <w:t>4.00 %</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D3.5</w:t>
            </w:r>
          </w:p>
        </w:tc>
        <w:tc>
          <w:tcPr>
            <w:tcW w:type="dxa" w:w="6170"/>
          </w:tcPr>
          <w:p>
            <w:pPr>
              <w:spacing w:after="40" w:before="40"/>
            </w:pPr>
            <w:r>
              <w:rPr>
                <w:sz w:val="17"/>
              </w:rPr>
            </w:r>
            <w:r>
              <w:rPr>
                <w:sz w:val="17"/>
              </w:rPr>
              <w:t>Incidents chèques et effets de commerce</w:t>
            </w:r>
          </w:p>
        </w:tc>
        <w:tc>
          <w:tcPr>
            <w:tcW w:type="dxa" w:w="823"/>
          </w:tcPr>
          <w:p>
            <w:pPr>
              <w:spacing w:after="40" w:before="40"/>
            </w:pPr>
            <w:r>
              <w:rPr>
                <w:sz w:val="17"/>
              </w:rPr>
            </w:r>
            <w:r>
              <w:rPr>
                <w:sz w:val="17"/>
              </w:rPr>
              <w:t>4.00 %</w:t>
            </w:r>
          </w:p>
        </w:tc>
        <w:tc>
          <w:tcPr>
            <w:tcW w:type="dxa" w:w="823"/>
          </w:tcPr>
          <w:p>
            <w:pPr>
              <w:spacing w:after="40" w:before="40"/>
            </w:pPr>
            <w:r>
              <w:rPr>
                <w:sz w:val="17"/>
              </w:rPr>
            </w:r>
            <w:r>
              <w:rPr>
                <w:sz w:val="17"/>
              </w:rPr>
              <w:t>3.00 %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D3.6</w:t>
            </w:r>
          </w:p>
        </w:tc>
        <w:tc>
          <w:tcPr>
            <w:tcW w:type="dxa" w:w="6170"/>
            <w:shd w:val="clear" w:fill="F2F5F8"/>
          </w:tcPr>
          <w:p>
            <w:pPr>
              <w:spacing w:after="40" w:before="40"/>
            </w:pPr>
            <w:r>
              <w:rPr>
                <w:sz w:val="17"/>
              </w:rPr>
            </w:r>
            <w:r>
              <w:rPr>
                <w:sz w:val="17"/>
              </w:rPr>
              <w:t>Restructuration et forbearance</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D3.7</w:t>
            </w:r>
          </w:p>
        </w:tc>
        <w:tc>
          <w:tcPr>
            <w:tcW w:type="dxa" w:w="6170"/>
          </w:tcPr>
          <w:p>
            <w:pPr>
              <w:spacing w:after="40" w:before="40"/>
            </w:pPr>
            <w:r>
              <w:rPr>
                <w:sz w:val="17"/>
              </w:rPr>
            </w:r>
            <w:r>
              <w:rPr>
                <w:sz w:val="17"/>
              </w:rPr>
              <w:t>Tendance de l'endettement système et groupe</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D4.1</w:t>
            </w:r>
          </w:p>
        </w:tc>
        <w:tc>
          <w:tcPr>
            <w:tcW w:type="dxa" w:w="6170"/>
            <w:shd w:val="clear" w:fill="F2F5F8"/>
          </w:tcPr>
          <w:p>
            <w:pPr>
              <w:spacing w:after="40" w:before="40"/>
            </w:pPr>
            <w:r>
              <w:rPr>
                <w:sz w:val="17"/>
              </w:rPr>
            </w:r>
            <w:r>
              <w:rPr>
                <w:sz w:val="17"/>
              </w:rPr>
              <w:t>Risque sectoriel interne</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3.00 %</w:t>
            </w:r>
          </w:p>
        </w:tc>
      </w:tr>
      <w:tr>
        <w:tc>
          <w:tcPr>
            <w:tcW w:type="dxa" w:w="823"/>
          </w:tcPr>
          <w:p>
            <w:pPr>
              <w:spacing w:after="40" w:before="40"/>
            </w:pPr>
            <w:r>
              <w:rPr>
                <w:sz w:val="17"/>
              </w:rPr>
            </w:r>
            <w:r>
              <w:rPr>
                <w:sz w:val="17"/>
              </w:rPr>
              <w:t>D4.2</w:t>
            </w:r>
          </w:p>
        </w:tc>
        <w:tc>
          <w:tcPr>
            <w:tcW w:type="dxa" w:w="6170"/>
          </w:tcPr>
          <w:p>
            <w:pPr>
              <w:spacing w:after="40" w:before="40"/>
            </w:pPr>
            <w:r>
              <w:rPr>
                <w:sz w:val="17"/>
              </w:rPr>
            </w:r>
            <w:r>
              <w:rPr>
                <w:sz w:val="17"/>
              </w:rPr>
              <w:t>Position concurrentielle</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2.50 %</w:t>
            </w:r>
          </w:p>
        </w:tc>
        <w:tc>
          <w:tcPr>
            <w:tcW w:type="dxa" w:w="823"/>
          </w:tcPr>
          <w:p>
            <w:pPr>
              <w:spacing w:after="40" w:before="40"/>
            </w:pPr>
            <w:r>
              <w:rPr>
                <w:sz w:val="17"/>
              </w:rPr>
            </w:r>
            <w:r>
              <w:rPr>
                <w:sz w:val="17"/>
              </w:rPr>
              <w:t>3.00 %</w:t>
            </w:r>
          </w:p>
        </w:tc>
      </w:tr>
      <w:tr>
        <w:tc>
          <w:tcPr>
            <w:tcW w:type="dxa" w:w="823"/>
            <w:shd w:val="clear" w:fill="F2F5F8"/>
          </w:tcPr>
          <w:p>
            <w:pPr>
              <w:spacing w:after="40" w:before="40"/>
            </w:pPr>
            <w:r>
              <w:rPr>
                <w:sz w:val="17"/>
              </w:rPr>
            </w:r>
            <w:r>
              <w:rPr>
                <w:sz w:val="17"/>
              </w:rPr>
              <w:t>D4.3</w:t>
            </w:r>
          </w:p>
        </w:tc>
        <w:tc>
          <w:tcPr>
            <w:tcW w:type="dxa" w:w="6170"/>
            <w:shd w:val="clear" w:fill="F2F5F8"/>
          </w:tcPr>
          <w:p>
            <w:pPr>
              <w:spacing w:after="40" w:before="40"/>
            </w:pPr>
            <w:r>
              <w:rPr>
                <w:sz w:val="17"/>
              </w:rPr>
            </w:r>
            <w:r>
              <w:rPr>
                <w:sz w:val="17"/>
              </w:rPr>
              <w:t>Concentration clients</w:t>
            </w:r>
          </w:p>
        </w:tc>
        <w:tc>
          <w:tcPr>
            <w:tcW w:type="dxa" w:w="823"/>
            <w:shd w:val="clear" w:fill="F2F5F8"/>
          </w:tcPr>
          <w:p>
            <w:pPr>
              <w:spacing w:after="40" w:before="40"/>
            </w:pPr>
            <w:r>
              <w:rPr>
                <w:sz w:val="17"/>
              </w:rPr>
            </w:r>
            <w:r>
              <w:rPr>
                <w:sz w:val="17"/>
              </w:rPr>
              <w:t>2.50 %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D4.4</w:t>
            </w:r>
          </w:p>
        </w:tc>
        <w:tc>
          <w:tcPr>
            <w:tcW w:type="dxa" w:w="6170"/>
          </w:tcPr>
          <w:p>
            <w:pPr>
              <w:spacing w:after="40" w:before="40"/>
            </w:pPr>
            <w:r>
              <w:rPr>
                <w:sz w:val="17"/>
              </w:rPr>
            </w:r>
            <w:r>
              <w:rPr>
                <w:sz w:val="17"/>
              </w:rPr>
              <w:t>Concentration fournisseurs</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D4.5</w:t>
            </w:r>
          </w:p>
        </w:tc>
        <w:tc>
          <w:tcPr>
            <w:tcW w:type="dxa" w:w="6170"/>
            <w:shd w:val="clear" w:fill="F2F5F8"/>
          </w:tcPr>
          <w:p>
            <w:pPr>
              <w:spacing w:after="40" w:before="40"/>
            </w:pPr>
            <w:r>
              <w:rPr>
                <w:sz w:val="17"/>
              </w:rPr>
            </w:r>
            <w:r>
              <w:rPr>
                <w:sz w:val="17"/>
              </w:rPr>
              <w:t>Visibilité des revenus / carnet de commandes</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2.00 %</w:t>
            </w:r>
          </w:p>
        </w:tc>
      </w:tr>
      <w:tr>
        <w:tc>
          <w:tcPr>
            <w:tcW w:type="dxa" w:w="823"/>
          </w:tcPr>
          <w:p>
            <w:pPr>
              <w:spacing w:after="40" w:before="40"/>
            </w:pPr>
            <w:r>
              <w:rPr>
                <w:sz w:val="17"/>
              </w:rPr>
            </w:r>
            <w:r>
              <w:rPr>
                <w:sz w:val="17"/>
              </w:rPr>
              <w:t>D4.6</w:t>
            </w:r>
          </w:p>
        </w:tc>
        <w:tc>
          <w:tcPr>
            <w:tcW w:type="dxa" w:w="6170"/>
          </w:tcPr>
          <w:p>
            <w:pPr>
              <w:spacing w:after="40" w:before="40"/>
            </w:pPr>
            <w:r>
              <w:rPr>
                <w:sz w:val="17"/>
              </w:rPr>
            </w:r>
            <w:r>
              <w:rPr>
                <w:sz w:val="17"/>
              </w:rPr>
              <w:t>Exposition pays, change et matières premières</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D4.7</w:t>
            </w:r>
          </w:p>
        </w:tc>
        <w:tc>
          <w:tcPr>
            <w:tcW w:type="dxa" w:w="6170"/>
            <w:shd w:val="clear" w:fill="F2F5F8"/>
          </w:tcPr>
          <w:p>
            <w:pPr>
              <w:spacing w:after="40" w:before="40"/>
            </w:pPr>
            <w:r>
              <w:rPr>
                <w:sz w:val="17"/>
              </w:rPr>
            </w:r>
            <w:r>
              <w:rPr>
                <w:sz w:val="17"/>
              </w:rPr>
              <w:t>Risque opérationnel, technologie et capex</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D4.8</w:t>
            </w:r>
          </w:p>
        </w:tc>
        <w:tc>
          <w:tcPr>
            <w:tcW w:type="dxa" w:w="6170"/>
          </w:tcPr>
          <w:p>
            <w:pPr>
              <w:spacing w:after="40" w:before="40"/>
            </w:pPr>
            <w:r>
              <w:rPr>
                <w:sz w:val="17"/>
              </w:rPr>
            </w:r>
            <w:r>
              <w:rPr>
                <w:sz w:val="17"/>
              </w:rPr>
              <w:t>Qualité et soutenabilité de la croissance</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D5.1</w:t>
            </w:r>
          </w:p>
        </w:tc>
        <w:tc>
          <w:tcPr>
            <w:tcW w:type="dxa" w:w="6170"/>
            <w:shd w:val="clear" w:fill="F2F5F8"/>
          </w:tcPr>
          <w:p>
            <w:pPr>
              <w:spacing w:after="40" w:before="40"/>
            </w:pPr>
            <w:r>
              <w:rPr>
                <w:sz w:val="17"/>
              </w:rPr>
            </w:r>
            <w:r>
              <w:rPr>
                <w:sz w:val="17"/>
              </w:rPr>
              <w:t>Expérience et stabilité du management</w:t>
            </w:r>
          </w:p>
        </w:tc>
        <w:tc>
          <w:tcPr>
            <w:tcW w:type="dxa" w:w="823"/>
            <w:shd w:val="clear" w:fill="F2F5F8"/>
          </w:tcPr>
          <w:p>
            <w:pPr>
              <w:spacing w:after="40" w:before="40"/>
            </w:pPr>
            <w:r>
              <w:rPr>
                <w:sz w:val="17"/>
              </w:rPr>
            </w:r>
            <w:r>
              <w:rPr>
                <w:sz w:val="17"/>
              </w:rPr>
              <w:t>3.00 %</w:t>
            </w:r>
          </w:p>
        </w:tc>
        <w:tc>
          <w:tcPr>
            <w:tcW w:type="dxa" w:w="823"/>
            <w:shd w:val="clear" w:fill="F2F5F8"/>
          </w:tcPr>
          <w:p>
            <w:pPr>
              <w:spacing w:after="40" w:before="40"/>
            </w:pPr>
            <w:r>
              <w:rPr>
                <w:sz w:val="17"/>
              </w:rPr>
            </w:r>
            <w:r>
              <w:rPr>
                <w:sz w:val="17"/>
              </w:rPr>
              <w:t>2.50 %</w:t>
            </w:r>
          </w:p>
        </w:tc>
        <w:tc>
          <w:tcPr>
            <w:tcW w:type="dxa" w:w="823"/>
            <w:shd w:val="clear" w:fill="F2F5F8"/>
          </w:tcPr>
          <w:p>
            <w:pPr>
              <w:spacing w:after="40" w:before="40"/>
            </w:pPr>
            <w:r>
              <w:rPr>
                <w:sz w:val="17"/>
              </w:rPr>
            </w:r>
            <w:r>
              <w:rPr>
                <w:sz w:val="17"/>
              </w:rPr>
              <w:t>2.50 %</w:t>
            </w:r>
          </w:p>
        </w:tc>
      </w:tr>
      <w:tr>
        <w:tc>
          <w:tcPr>
            <w:tcW w:type="dxa" w:w="823"/>
          </w:tcPr>
          <w:p>
            <w:pPr>
              <w:spacing w:after="40" w:before="40"/>
            </w:pPr>
            <w:r>
              <w:rPr>
                <w:sz w:val="17"/>
              </w:rPr>
            </w:r>
            <w:r>
              <w:rPr>
                <w:sz w:val="17"/>
              </w:rPr>
              <w:t>D5.2</w:t>
            </w:r>
          </w:p>
        </w:tc>
        <w:tc>
          <w:tcPr>
            <w:tcW w:type="dxa" w:w="6170"/>
          </w:tcPr>
          <w:p>
            <w:pPr>
              <w:spacing w:after="40" w:before="40"/>
            </w:pPr>
            <w:r>
              <w:rPr>
                <w:sz w:val="17"/>
              </w:rPr>
            </w:r>
            <w:r>
              <w:rPr>
                <w:sz w:val="17"/>
              </w:rPr>
              <w:t>Dépendance homme-clé et succession</w:t>
            </w:r>
          </w:p>
        </w:tc>
        <w:tc>
          <w:tcPr>
            <w:tcW w:type="dxa" w:w="823"/>
          </w:tcPr>
          <w:p>
            <w:pPr>
              <w:spacing w:after="40" w:before="40"/>
            </w:pPr>
            <w:r>
              <w:rPr>
                <w:sz w:val="17"/>
              </w:rPr>
            </w:r>
            <w:r>
              <w:rPr>
                <w:sz w:val="17"/>
              </w:rPr>
              <w:t>2.50 %</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D5.3</w:t>
            </w:r>
          </w:p>
        </w:tc>
        <w:tc>
          <w:tcPr>
            <w:tcW w:type="dxa" w:w="6170"/>
            <w:shd w:val="clear" w:fill="F2F5F8"/>
          </w:tcPr>
          <w:p>
            <w:pPr>
              <w:spacing w:after="40" w:before="40"/>
            </w:pPr>
            <w:r>
              <w:rPr>
                <w:sz w:val="17"/>
              </w:rPr>
            </w:r>
            <w:r>
              <w:rPr>
                <w:sz w:val="17"/>
              </w:rPr>
              <w:t>Gouvernance et contrôle interne</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3.00 %</w:t>
            </w:r>
          </w:p>
        </w:tc>
      </w:tr>
      <w:tr>
        <w:tc>
          <w:tcPr>
            <w:tcW w:type="dxa" w:w="823"/>
          </w:tcPr>
          <w:p>
            <w:pPr>
              <w:spacing w:after="40" w:before="40"/>
            </w:pPr>
            <w:r>
              <w:rPr>
                <w:sz w:val="17"/>
              </w:rPr>
            </w:r>
            <w:r>
              <w:rPr>
                <w:sz w:val="17"/>
              </w:rPr>
              <w:t>D5.4</w:t>
            </w:r>
          </w:p>
        </w:tc>
        <w:tc>
          <w:tcPr>
            <w:tcW w:type="dxa" w:w="6170"/>
          </w:tcPr>
          <w:p>
            <w:pPr>
              <w:spacing w:after="40" w:before="40"/>
            </w:pPr>
            <w:r>
              <w:rPr>
                <w:sz w:val="17"/>
              </w:rPr>
            </w:r>
            <w:r>
              <w:rPr>
                <w:sz w:val="17"/>
              </w:rPr>
              <w:t>Actionnariat, groupe et soutien</w:t>
            </w:r>
          </w:p>
        </w:tc>
        <w:tc>
          <w:tcPr>
            <w:tcW w:type="dxa" w:w="823"/>
          </w:tcPr>
          <w:p>
            <w:pPr>
              <w:spacing w:after="40" w:before="40"/>
            </w:pPr>
            <w:r>
              <w:rPr>
                <w:sz w:val="17"/>
              </w:rPr>
            </w:r>
            <w:r>
              <w:rPr>
                <w:sz w:val="17"/>
              </w:rPr>
              <w:t>2.00 %</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2.50 %</w:t>
            </w:r>
          </w:p>
        </w:tc>
      </w:tr>
      <w:tr>
        <w:tc>
          <w:tcPr>
            <w:tcW w:type="dxa" w:w="823"/>
            <w:shd w:val="clear" w:fill="F2F5F8"/>
          </w:tcPr>
          <w:p>
            <w:pPr>
              <w:spacing w:after="40" w:before="40"/>
            </w:pPr>
            <w:r>
              <w:rPr>
                <w:sz w:val="17"/>
              </w:rPr>
            </w:r>
            <w:r>
              <w:rPr>
                <w:sz w:val="17"/>
              </w:rPr>
              <w:t>D5.5</w:t>
            </w:r>
          </w:p>
        </w:tc>
        <w:tc>
          <w:tcPr>
            <w:tcW w:type="dxa" w:w="6170"/>
            <w:shd w:val="clear" w:fill="F2F5F8"/>
          </w:tcPr>
          <w:p>
            <w:pPr>
              <w:spacing w:after="40" w:before="40"/>
            </w:pPr>
            <w:r>
              <w:rPr>
                <w:sz w:val="17"/>
              </w:rPr>
            </w:r>
            <w:r>
              <w:rPr>
                <w:sz w:val="17"/>
              </w:rPr>
              <w:t>Stratégie et qualité d'exécution</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2.00 %</w:t>
            </w:r>
          </w:p>
        </w:tc>
      </w:tr>
      <w:tr>
        <w:tc>
          <w:tcPr>
            <w:tcW w:type="dxa" w:w="823"/>
          </w:tcPr>
          <w:p>
            <w:pPr>
              <w:spacing w:after="40" w:before="40"/>
            </w:pPr>
            <w:r>
              <w:rPr>
                <w:sz w:val="17"/>
              </w:rPr>
            </w:r>
            <w:r>
              <w:rPr>
                <w:sz w:val="17"/>
              </w:rPr>
              <w:t>D5.6</w:t>
            </w:r>
          </w:p>
        </w:tc>
        <w:tc>
          <w:tcPr>
            <w:tcW w:type="dxa" w:w="6170"/>
          </w:tcPr>
          <w:p>
            <w:pPr>
              <w:spacing w:after="40" w:before="40"/>
            </w:pPr>
            <w:r>
              <w:rPr>
                <w:sz w:val="17"/>
              </w:rPr>
            </w:r>
            <w:r>
              <w:rPr>
                <w:sz w:val="17"/>
              </w:rPr>
              <w:t>Transactions avec parties liées</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D5.7</w:t>
            </w:r>
          </w:p>
        </w:tc>
        <w:tc>
          <w:tcPr>
            <w:tcW w:type="dxa" w:w="6170"/>
            <w:shd w:val="clear" w:fill="F2F5F8"/>
          </w:tcPr>
          <w:p>
            <w:pPr>
              <w:spacing w:after="40" w:before="40"/>
            </w:pPr>
            <w:r>
              <w:rPr>
                <w:sz w:val="17"/>
              </w:rPr>
            </w:r>
            <w:r>
              <w:rPr>
                <w:sz w:val="17"/>
              </w:rPr>
              <w:t>Pilotage financier et culture du risque</w:t>
            </w:r>
          </w:p>
        </w:tc>
        <w:tc>
          <w:tcPr>
            <w:tcW w:type="dxa" w:w="823"/>
            <w:shd w:val="clear" w:fill="F2F5F8"/>
          </w:tcPr>
          <w:p>
            <w:pPr>
              <w:spacing w:after="40" w:before="40"/>
            </w:pPr>
            <w:r>
              <w:rPr>
                <w:sz w:val="17"/>
              </w:rPr>
            </w:r>
            <w:r>
              <w:rPr>
                <w:sz w:val="17"/>
              </w:rPr>
              <w:t>2.00 %</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2.00 %</w:t>
            </w:r>
          </w:p>
        </w:tc>
      </w:tr>
      <w:tr>
        <w:tc>
          <w:tcPr>
            <w:tcW w:type="dxa" w:w="823"/>
          </w:tcPr>
          <w:p>
            <w:pPr>
              <w:spacing w:after="40" w:before="40"/>
            </w:pPr>
            <w:r>
              <w:rPr>
                <w:sz w:val="17"/>
              </w:rPr>
            </w:r>
            <w:r>
              <w:rPr>
                <w:sz w:val="17"/>
              </w:rPr>
              <w:t>D6.1</w:t>
            </w:r>
          </w:p>
        </w:tc>
        <w:tc>
          <w:tcPr>
            <w:tcW w:type="dxa" w:w="6170"/>
          </w:tcPr>
          <w:p>
            <w:pPr>
              <w:spacing w:after="40" w:before="40"/>
            </w:pPr>
            <w:r>
              <w:rPr>
                <w:sz w:val="17"/>
              </w:rPr>
            </w:r>
            <w:r>
              <w:rPr>
                <w:sz w:val="17"/>
              </w:rPr>
              <w:t>Qualité / certification des états financiers</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1.25 %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D6.2</w:t>
            </w:r>
          </w:p>
        </w:tc>
        <w:tc>
          <w:tcPr>
            <w:tcW w:type="dxa" w:w="6170"/>
            <w:shd w:val="clear" w:fill="F2F5F8"/>
          </w:tcPr>
          <w:p>
            <w:pPr>
              <w:spacing w:after="40" w:before="40"/>
            </w:pPr>
            <w:r>
              <w:rPr>
                <w:sz w:val="17"/>
              </w:rPr>
            </w:r>
            <w:r>
              <w:rPr>
                <w:sz w:val="17"/>
              </w:rPr>
              <w:t>Délai de production de l'information</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0.75 %</w:t>
            </w:r>
          </w:p>
        </w:tc>
      </w:tr>
      <w:tr>
        <w:tc>
          <w:tcPr>
            <w:tcW w:type="dxa" w:w="823"/>
          </w:tcPr>
          <w:p>
            <w:pPr>
              <w:spacing w:after="40" w:before="40"/>
            </w:pPr>
            <w:r>
              <w:rPr>
                <w:sz w:val="17"/>
              </w:rPr>
            </w:r>
            <w:r>
              <w:rPr>
                <w:sz w:val="17"/>
              </w:rPr>
              <w:t>D6.3</w:t>
            </w:r>
          </w:p>
        </w:tc>
        <w:tc>
          <w:tcPr>
            <w:tcW w:type="dxa" w:w="6170"/>
          </w:tcPr>
          <w:p>
            <w:pPr>
              <w:spacing w:after="40" w:before="40"/>
            </w:pPr>
            <w:r>
              <w:rPr>
                <w:sz w:val="17"/>
              </w:rPr>
            </w:r>
            <w:r>
              <w:rPr>
                <w:sz w:val="17"/>
              </w:rPr>
              <w:t>Cohérence et rapprochements</w:t>
            </w:r>
          </w:p>
        </w:tc>
        <w:tc>
          <w:tcPr>
            <w:tcW w:type="dxa" w:w="823"/>
          </w:tcPr>
          <w:p>
            <w:pPr>
              <w:spacing w:after="40" w:before="40"/>
            </w:pPr>
            <w:r>
              <w:rPr>
                <w:sz w:val="17"/>
              </w:rPr>
            </w:r>
            <w:r>
              <w:rPr>
                <w:sz w:val="17"/>
              </w:rPr>
              <w:t>1.50 %</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D6.4</w:t>
            </w:r>
          </w:p>
        </w:tc>
        <w:tc>
          <w:tcPr>
            <w:tcW w:type="dxa" w:w="6170"/>
            <w:shd w:val="clear" w:fill="F2F5F8"/>
          </w:tcPr>
          <w:p>
            <w:pPr>
              <w:spacing w:after="40" w:before="40"/>
            </w:pPr>
            <w:r>
              <w:rPr>
                <w:sz w:val="17"/>
              </w:rPr>
            </w:r>
            <w:r>
              <w:rPr>
                <w:sz w:val="17"/>
              </w:rPr>
              <w:t>Situation juridique, fiscale et sociale</w:t>
            </w:r>
          </w:p>
        </w:tc>
        <w:tc>
          <w:tcPr>
            <w:tcW w:type="dxa" w:w="823"/>
            <w:shd w:val="clear" w:fill="F2F5F8"/>
          </w:tcPr>
          <w:p>
            <w:pPr>
              <w:spacing w:after="40" w:before="40"/>
            </w:pPr>
            <w:r>
              <w:rPr>
                <w:sz w:val="17"/>
              </w:rPr>
            </w:r>
            <w:r>
              <w:rPr>
                <w:sz w:val="17"/>
              </w:rPr>
              <w:t>1.50 %</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0.75 %</w:t>
            </w:r>
          </w:p>
        </w:tc>
      </w:tr>
      <w:tr>
        <w:tc>
          <w:tcPr>
            <w:tcW w:type="dxa" w:w="823"/>
          </w:tcPr>
          <w:p>
            <w:pPr>
              <w:spacing w:after="40" w:before="40"/>
            </w:pPr>
            <w:r>
              <w:rPr>
                <w:sz w:val="17"/>
              </w:rPr>
            </w:r>
            <w:r>
              <w:rPr>
                <w:sz w:val="17"/>
              </w:rPr>
              <w:t>D6.5</w:t>
            </w:r>
          </w:p>
        </w:tc>
        <w:tc>
          <w:tcPr>
            <w:tcW w:type="dxa" w:w="6170"/>
          </w:tcPr>
          <w:p>
            <w:pPr>
              <w:spacing w:after="40" w:before="40"/>
            </w:pPr>
            <w:r>
              <w:rPr>
                <w:sz w:val="17"/>
              </w:rPr>
            </w:r>
            <w:r>
              <w:rPr>
                <w:sz w:val="17"/>
              </w:rPr>
              <w:t>Transparence actionnariat et documents</w:t>
            </w:r>
          </w:p>
        </w:tc>
        <w:tc>
          <w:tcPr>
            <w:tcW w:type="dxa" w:w="823"/>
          </w:tcPr>
          <w:p>
            <w:pPr>
              <w:spacing w:after="40" w:before="40"/>
            </w:pPr>
            <w:r>
              <w:rPr>
                <w:sz w:val="17"/>
              </w:rPr>
            </w:r>
            <w:r>
              <w:rPr>
                <w:sz w:val="17"/>
              </w:rPr>
              <w:t>1.00 %</w:t>
            </w:r>
          </w:p>
        </w:tc>
        <w:tc>
          <w:tcPr>
            <w:tcW w:type="dxa" w:w="823"/>
          </w:tcPr>
          <w:p>
            <w:pPr>
              <w:spacing w:after="40" w:before="40"/>
            </w:pPr>
            <w:r>
              <w:rPr>
                <w:sz w:val="17"/>
              </w:rPr>
            </w:r>
            <w:r>
              <w:rPr>
                <w:sz w:val="17"/>
              </w:rPr>
              <w:t>0.75 %</w:t>
            </w:r>
          </w:p>
        </w:tc>
        <w:tc>
          <w:tcPr>
            <w:tcW w:type="dxa" w:w="823"/>
          </w:tcPr>
          <w:p>
            <w:pPr>
              <w:spacing w:after="40" w:before="40"/>
            </w:pPr>
            <w:r>
              <w:rPr>
                <w:sz w:val="17"/>
              </w:rPr>
            </w:r>
            <w:r>
              <w:rPr>
                <w:sz w:val="17"/>
              </w:rPr>
              <w:t>1.00 %</w:t>
            </w:r>
          </w:p>
        </w:tc>
      </w:tr>
      <w:tr>
        <w:tc>
          <w:tcPr>
            <w:tcW w:type="dxa" w:w="823"/>
            <w:shd w:val="clear" w:fill="F2F5F8"/>
          </w:tcPr>
          <w:p>
            <w:pPr>
              <w:spacing w:after="40" w:before="40"/>
            </w:pPr>
            <w:r>
              <w:rPr>
                <w:sz w:val="17"/>
              </w:rPr>
            </w:r>
            <w:r>
              <w:rPr>
                <w:sz w:val="17"/>
              </w:rPr>
              <w:t>D7.1</w:t>
            </w:r>
          </w:p>
        </w:tc>
        <w:tc>
          <w:tcPr>
            <w:tcW w:type="dxa" w:w="6170"/>
            <w:shd w:val="clear" w:fill="F2F5F8"/>
          </w:tcPr>
          <w:p>
            <w:pPr>
              <w:spacing w:after="40" w:before="40"/>
            </w:pPr>
            <w:r>
              <w:rPr>
                <w:sz w:val="17"/>
              </w:rPr>
            </w:r>
            <w:r>
              <w:rPr>
                <w:sz w:val="17"/>
              </w:rPr>
              <w:t>Risque climatique physique</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1.50 %</w:t>
            </w:r>
          </w:p>
        </w:tc>
      </w:tr>
      <w:tr>
        <w:tc>
          <w:tcPr>
            <w:tcW w:type="dxa" w:w="823"/>
          </w:tcPr>
          <w:p>
            <w:pPr>
              <w:spacing w:after="40" w:before="40"/>
            </w:pPr>
            <w:r>
              <w:rPr>
                <w:sz w:val="17"/>
              </w:rPr>
            </w:r>
            <w:r>
              <w:rPr>
                <w:sz w:val="17"/>
              </w:rPr>
              <w:t>D7.2</w:t>
            </w:r>
          </w:p>
        </w:tc>
        <w:tc>
          <w:tcPr>
            <w:tcW w:type="dxa" w:w="6170"/>
          </w:tcPr>
          <w:p>
            <w:pPr>
              <w:spacing w:after="40" w:before="40"/>
            </w:pPr>
            <w:r>
              <w:rPr>
                <w:sz w:val="17"/>
              </w:rPr>
            </w:r>
            <w:r>
              <w:rPr>
                <w:sz w:val="17"/>
              </w:rPr>
              <w:t>Risque de transition</w:t>
            </w:r>
          </w:p>
        </w:tc>
        <w:tc>
          <w:tcPr>
            <w:tcW w:type="dxa" w:w="823"/>
          </w:tcPr>
          <w:p>
            <w:pPr>
              <w:spacing w:after="40" w:before="40"/>
            </w:pPr>
            <w:r>
              <w:rPr>
                <w:sz w:val="17"/>
              </w:rPr>
            </w:r>
            <w:r>
              <w:rPr>
                <w:sz w:val="17"/>
              </w:rPr>
              <w:t>0.50 %</w:t>
            </w:r>
          </w:p>
        </w:tc>
        <w:tc>
          <w:tcPr>
            <w:tcW w:type="dxa" w:w="823"/>
          </w:tcPr>
          <w:p>
            <w:pPr>
              <w:spacing w:after="40" w:before="40"/>
            </w:pPr>
            <w:r>
              <w:rPr>
                <w:sz w:val="17"/>
              </w:rPr>
            </w:r>
            <w:r>
              <w:rPr>
                <w:sz w:val="17"/>
              </w:rPr>
              <w:t>0.75 %</w:t>
            </w:r>
          </w:p>
        </w:tc>
        <w:tc>
          <w:tcPr>
            <w:tcW w:type="dxa" w:w="823"/>
          </w:tcPr>
          <w:p>
            <w:pPr>
              <w:spacing w:after="40" w:before="40"/>
            </w:pPr>
            <w:r>
              <w:rPr>
                <w:sz w:val="17"/>
              </w:rPr>
            </w:r>
            <w:r>
              <w:rPr>
                <w:sz w:val="17"/>
              </w:rPr>
              <w:t>1.50 %</w:t>
            </w:r>
          </w:p>
        </w:tc>
      </w:tr>
      <w:tr>
        <w:tc>
          <w:tcPr>
            <w:tcW w:type="dxa" w:w="823"/>
            <w:shd w:val="clear" w:fill="F2F5F8"/>
          </w:tcPr>
          <w:p>
            <w:pPr>
              <w:spacing w:after="40" w:before="40"/>
            </w:pPr>
            <w:r>
              <w:rPr>
                <w:sz w:val="17"/>
              </w:rPr>
            </w:r>
            <w:r>
              <w:rPr>
                <w:sz w:val="17"/>
              </w:rPr>
              <w:t>D7.3</w:t>
            </w:r>
          </w:p>
        </w:tc>
        <w:tc>
          <w:tcPr>
            <w:tcW w:type="dxa" w:w="6170"/>
            <w:shd w:val="clear" w:fill="F2F5F8"/>
          </w:tcPr>
          <w:p>
            <w:pPr>
              <w:spacing w:after="40" w:before="40"/>
            </w:pPr>
            <w:r>
              <w:rPr>
                <w:sz w:val="17"/>
              </w:rPr>
            </w:r>
            <w:r>
              <w:rPr>
                <w:sz w:val="17"/>
              </w:rPr>
              <w:t>Conformité environnementale et sociale</w:t>
            </w:r>
          </w:p>
        </w:tc>
        <w:tc>
          <w:tcPr>
            <w:tcW w:type="dxa" w:w="823"/>
            <w:shd w:val="clear" w:fill="F2F5F8"/>
          </w:tcPr>
          <w:p>
            <w:pPr>
              <w:spacing w:after="40" w:before="40"/>
            </w:pPr>
            <w:r>
              <w:rPr>
                <w:sz w:val="17"/>
              </w:rPr>
            </w:r>
            <w:r>
              <w:rPr>
                <w:sz w:val="17"/>
              </w:rPr>
              <w:t>1.00 %</w:t>
            </w:r>
          </w:p>
        </w:tc>
        <w:tc>
          <w:tcPr>
            <w:tcW w:type="dxa" w:w="823"/>
            <w:shd w:val="clear" w:fill="F2F5F8"/>
          </w:tcPr>
          <w:p>
            <w:pPr>
              <w:spacing w:after="40" w:before="40"/>
            </w:pPr>
            <w:r>
              <w:rPr>
                <w:sz w:val="17"/>
              </w:rPr>
            </w:r>
            <w:r>
              <w:rPr>
                <w:sz w:val="17"/>
              </w:rPr>
              <w:t>0.75 %</w:t>
            </w:r>
          </w:p>
        </w:tc>
        <w:tc>
          <w:tcPr>
            <w:tcW w:type="dxa" w:w="823"/>
            <w:shd w:val="clear" w:fill="F2F5F8"/>
          </w:tcPr>
          <w:p>
            <w:pPr>
              <w:spacing w:after="40" w:before="40"/>
            </w:pPr>
            <w:r>
              <w:rPr>
                <w:sz w:val="17"/>
              </w:rPr>
            </w:r>
            <w:r>
              <w:rPr>
                <w:sz w:val="17"/>
              </w:rPr>
              <w:t>1.00 %</w:t>
            </w:r>
          </w:p>
        </w:tc>
      </w:tr>
      <w:tr>
        <w:tc>
          <w:tcPr>
            <w:tcW w:type="dxa" w:w="823"/>
          </w:tcPr>
          <w:p>
            <w:pPr>
              <w:spacing w:after="40" w:before="40"/>
            </w:pPr>
            <w:r>
              <w:rPr>
                <w:sz w:val="17"/>
              </w:rPr>
            </w:r>
            <w:r>
              <w:rPr>
                <w:sz w:val="17"/>
              </w:rPr>
              <w:t>D7.4</w:t>
            </w:r>
          </w:p>
        </w:tc>
        <w:tc>
          <w:tcPr>
            <w:tcW w:type="dxa" w:w="6170"/>
          </w:tcPr>
          <w:p>
            <w:pPr>
              <w:spacing w:after="40" w:before="40"/>
            </w:pPr>
            <w:r>
              <w:rPr>
                <w:sz w:val="17"/>
              </w:rPr>
            </w:r>
            <w:r>
              <w:rPr>
                <w:sz w:val="17"/>
              </w:rPr>
              <w:t>Gouvernance ESG et plan d'adaptation</w:t>
            </w:r>
          </w:p>
        </w:tc>
        <w:tc>
          <w:tcPr>
            <w:tcW w:type="dxa" w:w="823"/>
          </w:tcPr>
          <w:p>
            <w:pPr>
              <w:spacing w:after="40" w:before="40"/>
            </w:pPr>
            <w:r>
              <w:rPr>
                <w:sz w:val="17"/>
              </w:rPr>
            </w:r>
            <w:r>
              <w:rPr>
                <w:sz w:val="17"/>
              </w:rPr>
              <w:t>0.50 %</w:t>
            </w:r>
          </w:p>
        </w:tc>
        <w:tc>
          <w:tcPr>
            <w:tcW w:type="dxa" w:w="823"/>
          </w:tcPr>
          <w:p>
            <w:pPr>
              <w:spacing w:after="40" w:before="40"/>
            </w:pPr>
            <w:r>
              <w:rPr>
                <w:sz w:val="17"/>
              </w:rPr>
            </w:r>
            <w:r>
              <w:rPr>
                <w:sz w:val="17"/>
              </w:rPr>
              <w:t>0.50 %</w:t>
            </w:r>
          </w:p>
        </w:tc>
        <w:tc>
          <w:tcPr>
            <w:tcW w:type="dxa" w:w="823"/>
          </w:tcPr>
          <w:p>
            <w:pPr>
              <w:spacing w:after="40" w:before="40"/>
            </w:pPr>
            <w:r>
              <w:rPr>
                <w:sz w:val="17"/>
              </w:rPr>
            </w:r>
            <w:r>
              <w:rPr>
                <w:sz w:val="17"/>
              </w:rPr>
              <w:t>1.00 %</w:t>
            </w:r>
          </w:p>
        </w:tc>
      </w:tr>
    </w:tbl>
    <w:p>
      <w:pPr>
        <w:spacing w:after="80"/>
      </w:pPr>
    </w:p>
    <w:p>
      <w:pPr>
        <w:pStyle w:val="Heading3"/>
      </w:pPr>
      <w:r>
        <w:t>D1 — Performance financière et structure bilancielle</w:t>
      </w:r>
    </w:p>
    <w:p>
      <w:pPr>
        <w:pStyle w:val="Heading4"/>
      </w:pPr>
      <w:r>
        <w:t>D1.1 — Croissance et stabilité du chiffre d'affaires</w:t>
      </w:r>
    </w:p>
    <w:p>
      <w:r>
        <w:t>CAGR sur trois exercices, nombre d'années en baisse et volatilité vs secteur. Une croissance excessive financée par dette/BFR est examinée aussi en D4.8.</w:t>
      </w:r>
    </w:p>
    <w:p>
      <w:r>
        <w:rPr>
          <w:b/>
        </w:rPr>
        <w:t>Poids :</w:t>
      </w:r>
      <w:r>
        <w:t xml:space="preserve"> TPE 3.00 % · PME 3.00 %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CAGR +3 % à +20 %, aucune baisse annuelle &gt; 10 %, volatilité faible, ≥ médiane sectorielle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CAGR 0 % à +3 % ou +20 % à +30 % ; une baisse ponctuelle ≤ 10 % expliquée et corrigée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CAGR −5 % à 0 %, ou &gt; +30 % avec tension BFR maîtrisable, ou volatilité matérielle sans tendance durable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CAGR −15 % à −5 %, ou deux exercices consécutifs en baisse, ou écart défavorable au secteur &gt; 10 points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CAGR &lt; −15 %, effondrement récent &gt; 25 %, perte majeure de clientèle ou CA non fiable</w:t>
            </w:r>
          </w:p>
        </w:tc>
      </w:tr>
    </w:tbl>
    <w:p>
      <w:pPr>
        <w:spacing w:after="80"/>
      </w:pPr>
    </w:p>
    <w:p>
      <w:r>
        <w:rPr>
          <w:b/>
        </w:rPr>
        <w:t>Justificatifs requis :</w:t>
      </w:r>
      <w:r>
        <w:t xml:space="preserve"> États financiers N, N−1, N−2 ; Comparaison sectorielle datée.</w:t>
      </w:r>
    </w:p>
    <w:p>
      <w:pPr>
        <w:pStyle w:val="Heading4"/>
      </w:pPr>
      <w:r>
        <w:t>D1.2 — Marge EBITDA / performance opérationnelle</w:t>
      </w:r>
    </w:p>
    <w:p>
      <w:r>
        <w:t>EBITDA ajusté/CA, percentile sectoriel, tendance sur trois ans. Si l'EBITDA est non pertinent pour l'activité, utiliser un indicateur opérationnel équivalent validé.</w:t>
      </w:r>
    </w:p>
    <w:p>
      <w:r>
        <w:rPr>
          <w:b/>
        </w:rPr>
        <w:t>Poids :</w:t>
      </w:r>
      <w:r>
        <w:t xml:space="preserve"> TPE 3.00 % · PME 4.00 % · GE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Marge ≥ P75 sectoriel, positive sur trois ans et stable/améliorée de ≥ 1 point</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Marge entre P50 et P75, positive et stable à ±1 point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Marge entre P25 et P50, ou baisse de 1 à 3 points en restant positive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Marge entre P10 et P25, ou baisse &gt; 3 points, ou un exercice proche de zéro</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Marge négative au dernier exercice, &lt; P10, pertes opérationnelles récurrentes ou EBITDA non fiable</w:t>
            </w:r>
          </w:p>
        </w:tc>
      </w:tr>
    </w:tbl>
    <w:p>
      <w:pPr>
        <w:spacing w:after="80"/>
      </w:pPr>
    </w:p>
    <w:p>
      <w:r>
        <w:rPr>
          <w:b/>
        </w:rPr>
        <w:t>Justificatifs requis :</w:t>
      </w:r>
      <w:r>
        <w:t xml:space="preserve"> EBITDA ajusté et trace des retraitements ; Référentiel sectoriel daté.</w:t>
      </w:r>
    </w:p>
    <w:p>
      <w:pPr>
        <w:pStyle w:val="Heading4"/>
      </w:pPr>
      <w:r>
        <w:t>D1.3 — Rentabilité économique / ROA ajusté</w:t>
      </w:r>
    </w:p>
    <w:p>
      <w:r>
        <w:t>Résultat opérationnel après impôt normatif / actifs économiques moyens, comparaison sectorielle et volatilité.</w:t>
      </w:r>
    </w:p>
    <w:p>
      <w:r>
        <w:rPr>
          <w:b/>
        </w:rPr>
        <w:t>Poids :</w:t>
      </w:r>
      <w:r>
        <w:t xml:space="preserve"> TPE 2.00 % · PME 3.00 %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 P75 sectoriel, positif sur trois ans, sans dépendance à un produit exceptionnel</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P50 à P75, positif et stable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P25 à P50, faible mais positif, ou un exercice déficitaire non récurrent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P10 à P25, proche de zéro ou forte dépendance à des éléments non récurrents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Négatif au dernier exercice et tendance non corrigée, ou &lt; P10 sur deux exercices</w:t>
            </w:r>
          </w:p>
        </w:tc>
      </w:tr>
    </w:tbl>
    <w:p>
      <w:pPr>
        <w:spacing w:after="80"/>
      </w:pPr>
    </w:p>
    <w:p>
      <w:pPr>
        <w:pStyle w:val="Heading4"/>
      </w:pPr>
      <w:r>
        <w:t>D1.4 — Fonds propres tangibles / total bilan</w:t>
      </w:r>
    </w:p>
    <w:p>
      <w:r>
        <w:t>FP tangibles / total bilan ajusté, en %. Une réévaluation non liquide ou une créance sur associé ne vaut pas recapitalisation en cash. Comptes courants d'associés assimilés aux FP uniquement si subordination, blocage et permanence approuvés.</w:t>
      </w:r>
    </w:p>
    <w:p>
      <w:r>
        <w:rPr>
          <w:b/>
        </w:rPr>
        <w:t>Formule :</w:t>
      </w:r>
      <w:r>
        <w:t xml:space="preserve"> </w:t>
      </w:r>
      <w:r>
        <w:rPr>
          <w:rFonts w:ascii="Consolas" w:hAnsi="Consolas"/>
          <w:color w:val="8A2B2B"/>
          <w:sz w:val="18"/>
        </w:rPr>
        <w:t>FP_tangibles / total_bilan_ajusté</w:t>
      </w:r>
    </w:p>
    <w:p>
      <w:r>
        <w:rPr>
          <w:b/>
        </w:rPr>
        <w:t>Poids :</w:t>
      </w:r>
      <w:r>
        <w:t xml:space="preserve"> TPE 4.00 % · PME 5.00 % · GE 4.00 %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162"/>
            <w:shd w:val="clear" w:fill="0F3D63"/>
          </w:tcPr>
          <w:p>
            <w:pPr>
              <w:spacing w:after="40" w:before="40"/>
            </w:pPr>
            <w:r>
              <w:rPr>
                <w:color w:val="FFFFFF"/>
                <w:sz w:val="17"/>
              </w:rPr>
            </w:r>
            <w:r>
              <w:rPr>
                <w:b/>
                <w:color w:val="FFFFFF"/>
                <w:sz w:val="17"/>
              </w:rPr>
              <w:t>Segment</w:t>
            </w:r>
          </w:p>
        </w:tc>
        <w:tc>
          <w:tcPr>
            <w:tcW w:type="dxa" w:w="996"/>
            <w:shd w:val="clear" w:fill="0F3D63"/>
          </w:tcPr>
          <w:p>
            <w:pPr>
              <w:spacing w:after="40" w:before="40"/>
            </w:pPr>
            <w:r>
              <w:rPr>
                <w:color w:val="FFFFFF"/>
                <w:sz w:val="17"/>
              </w:rPr>
            </w:r>
            <w:r>
              <w:rPr>
                <w:b/>
                <w:color w:val="FFFFFF"/>
                <w:sz w:val="17"/>
              </w:rPr>
              <w:t>100</w:t>
            </w:r>
          </w:p>
        </w:tc>
        <w:tc>
          <w:tcPr>
            <w:tcW w:type="dxa" w:w="2158"/>
            <w:shd w:val="clear" w:fill="0F3D63"/>
          </w:tcPr>
          <w:p>
            <w:pPr>
              <w:spacing w:after="40" w:before="40"/>
            </w:pPr>
            <w:r>
              <w:rPr>
                <w:color w:val="FFFFFF"/>
                <w:sz w:val="17"/>
              </w:rPr>
            </w:r>
            <w:r>
              <w:rPr>
                <w:b/>
                <w:color w:val="FFFFFF"/>
                <w:sz w:val="17"/>
              </w:rPr>
              <w:t>75</w:t>
            </w:r>
          </w:p>
        </w:tc>
        <w:tc>
          <w:tcPr>
            <w:tcW w:type="dxa" w:w="2158"/>
            <w:shd w:val="clear" w:fill="0F3D63"/>
          </w:tcPr>
          <w:p>
            <w:pPr>
              <w:spacing w:after="40" w:before="40"/>
            </w:pPr>
            <w:r>
              <w:rPr>
                <w:color w:val="FFFFFF"/>
                <w:sz w:val="17"/>
              </w:rPr>
            </w:r>
            <w:r>
              <w:rPr>
                <w:b/>
                <w:color w:val="FFFFFF"/>
                <w:sz w:val="17"/>
              </w:rPr>
              <w:t>50</w:t>
            </w:r>
          </w:p>
        </w:tc>
        <w:tc>
          <w:tcPr>
            <w:tcW w:type="dxa" w:w="1992"/>
            <w:shd w:val="clear" w:fill="0F3D63"/>
          </w:tcPr>
          <w:p>
            <w:pPr>
              <w:spacing w:after="40" w:before="40"/>
            </w:pPr>
            <w:r>
              <w:rPr>
                <w:color w:val="FFFFFF"/>
                <w:sz w:val="17"/>
              </w:rPr>
            </w:r>
            <w:r>
              <w:rPr>
                <w:b/>
                <w:color w:val="FFFFFF"/>
                <w:sz w:val="17"/>
              </w:rPr>
              <w:t>25</w:t>
            </w:r>
          </w:p>
        </w:tc>
        <w:tc>
          <w:tcPr>
            <w:tcW w:type="dxa" w:w="996"/>
            <w:shd w:val="clear" w:fill="0F3D63"/>
          </w:tcPr>
          <w:p>
            <w:pPr>
              <w:spacing w:after="40" w:before="40"/>
            </w:pPr>
            <w:r>
              <w:rPr>
                <w:color w:val="FFFFFF"/>
                <w:sz w:val="17"/>
              </w:rPr>
            </w:r>
            <w:r>
              <w:rPr>
                <w:b/>
                <w:color w:val="FFFFFF"/>
                <w:sz w:val="17"/>
              </w:rPr>
              <w:t>0</w:t>
            </w:r>
          </w:p>
        </w:tc>
      </w:tr>
      <w:tr>
        <w:tc>
          <w:tcPr>
            <w:tcW w:type="dxa" w:w="1162"/>
          </w:tcPr>
          <w:p>
            <w:pPr>
              <w:spacing w:after="40" w:before="40"/>
            </w:pPr>
            <w:r>
              <w:rPr>
                <w:sz w:val="17"/>
              </w:rPr>
            </w:r>
            <w:r>
              <w:rPr>
                <w:sz w:val="17"/>
              </w:rPr>
              <w:t>TPE</w:t>
            </w:r>
          </w:p>
        </w:tc>
        <w:tc>
          <w:tcPr>
            <w:tcW w:type="dxa" w:w="996"/>
          </w:tcPr>
          <w:p>
            <w:pPr>
              <w:spacing w:after="40" w:before="40"/>
            </w:pPr>
            <w:r>
              <w:rPr>
                <w:sz w:val="17"/>
              </w:rPr>
            </w:r>
            <w:r>
              <w:rPr>
                <w:sz w:val="17"/>
              </w:rPr>
              <w:t>≥ 35 %</w:t>
            </w:r>
          </w:p>
        </w:tc>
        <w:tc>
          <w:tcPr>
            <w:tcW w:type="dxa" w:w="2158"/>
          </w:tcPr>
          <w:p>
            <w:pPr>
              <w:spacing w:after="40" w:before="40"/>
            </w:pPr>
            <w:r>
              <w:rPr>
                <w:sz w:val="17"/>
              </w:rPr>
            </w:r>
            <w:r>
              <w:rPr>
                <w:sz w:val="17"/>
              </w:rPr>
              <w:t>[25 % ; 35 %[</w:t>
            </w:r>
          </w:p>
        </w:tc>
        <w:tc>
          <w:tcPr>
            <w:tcW w:type="dxa" w:w="2158"/>
          </w:tcPr>
          <w:p>
            <w:pPr>
              <w:spacing w:after="40" w:before="40"/>
            </w:pPr>
            <w:r>
              <w:rPr>
                <w:sz w:val="17"/>
              </w:rPr>
            </w:r>
            <w:r>
              <w:rPr>
                <w:sz w:val="17"/>
              </w:rPr>
              <w:t>[15 % ; 25 %[</w:t>
            </w:r>
          </w:p>
        </w:tc>
        <w:tc>
          <w:tcPr>
            <w:tcW w:type="dxa" w:w="1992"/>
          </w:tcPr>
          <w:p>
            <w:pPr>
              <w:spacing w:after="40" w:before="40"/>
            </w:pPr>
            <w:r>
              <w:rPr>
                <w:sz w:val="17"/>
              </w:rPr>
            </w:r>
            <w:r>
              <w:rPr>
                <w:sz w:val="17"/>
              </w:rPr>
              <w:t>[5 % ; 15 %[</w:t>
            </w:r>
          </w:p>
        </w:tc>
        <w:tc>
          <w:tcPr>
            <w:tcW w:type="dxa" w:w="996"/>
          </w:tcPr>
          <w:p>
            <w:pPr>
              <w:spacing w:after="40" w:before="40"/>
            </w:pPr>
            <w:r>
              <w:rPr>
                <w:sz w:val="17"/>
              </w:rPr>
            </w:r>
            <w:r>
              <w:rPr>
                <w:sz w:val="17"/>
              </w:rPr>
              <w:t>&lt; 5 %</w:t>
            </w:r>
          </w:p>
        </w:tc>
      </w:tr>
      <w:tr>
        <w:tc>
          <w:tcPr>
            <w:tcW w:type="dxa" w:w="1162"/>
            <w:shd w:val="clear" w:fill="F2F5F8"/>
          </w:tcPr>
          <w:p>
            <w:pPr>
              <w:spacing w:after="40" w:before="40"/>
            </w:pPr>
            <w:r>
              <w:rPr>
                <w:sz w:val="17"/>
              </w:rPr>
            </w:r>
            <w:r>
              <w:rPr>
                <w:sz w:val="17"/>
              </w:rPr>
              <w:t>PME</w:t>
            </w:r>
          </w:p>
        </w:tc>
        <w:tc>
          <w:tcPr>
            <w:tcW w:type="dxa" w:w="996"/>
            <w:shd w:val="clear" w:fill="F2F5F8"/>
          </w:tcPr>
          <w:p>
            <w:pPr>
              <w:spacing w:after="40" w:before="40"/>
            </w:pPr>
            <w:r>
              <w:rPr>
                <w:sz w:val="17"/>
              </w:rPr>
            </w:r>
            <w:r>
              <w:rPr>
                <w:sz w:val="17"/>
              </w:rPr>
              <w:t>≥ 35 %</w:t>
            </w:r>
          </w:p>
        </w:tc>
        <w:tc>
          <w:tcPr>
            <w:tcW w:type="dxa" w:w="2158"/>
            <w:shd w:val="clear" w:fill="F2F5F8"/>
          </w:tcPr>
          <w:p>
            <w:pPr>
              <w:spacing w:after="40" w:before="40"/>
            </w:pPr>
            <w:r>
              <w:rPr>
                <w:sz w:val="17"/>
              </w:rPr>
            </w:r>
            <w:r>
              <w:rPr>
                <w:sz w:val="17"/>
              </w:rPr>
              <w:t>[25 % ; 35 %[</w:t>
            </w:r>
          </w:p>
        </w:tc>
        <w:tc>
          <w:tcPr>
            <w:tcW w:type="dxa" w:w="2158"/>
            <w:shd w:val="clear" w:fill="F2F5F8"/>
          </w:tcPr>
          <w:p>
            <w:pPr>
              <w:spacing w:after="40" w:before="40"/>
            </w:pPr>
            <w:r>
              <w:rPr>
                <w:sz w:val="17"/>
              </w:rPr>
            </w:r>
            <w:r>
              <w:rPr>
                <w:sz w:val="17"/>
              </w:rPr>
              <w:t>[15 % ; 25 %[</w:t>
            </w:r>
          </w:p>
        </w:tc>
        <w:tc>
          <w:tcPr>
            <w:tcW w:type="dxa" w:w="1992"/>
            <w:shd w:val="clear" w:fill="F2F5F8"/>
          </w:tcPr>
          <w:p>
            <w:pPr>
              <w:spacing w:after="40" w:before="40"/>
            </w:pPr>
            <w:r>
              <w:rPr>
                <w:sz w:val="17"/>
              </w:rPr>
            </w:r>
            <w:r>
              <w:rPr>
                <w:sz w:val="17"/>
              </w:rPr>
              <w:t>[8 % ; 15 %[</w:t>
            </w:r>
          </w:p>
        </w:tc>
        <w:tc>
          <w:tcPr>
            <w:tcW w:type="dxa" w:w="996"/>
            <w:shd w:val="clear" w:fill="F2F5F8"/>
          </w:tcPr>
          <w:p>
            <w:pPr>
              <w:spacing w:after="40" w:before="40"/>
            </w:pPr>
            <w:r>
              <w:rPr>
                <w:sz w:val="17"/>
              </w:rPr>
            </w:r>
            <w:r>
              <w:rPr>
                <w:sz w:val="17"/>
              </w:rPr>
              <w:t>&lt; 8 %</w:t>
            </w:r>
          </w:p>
        </w:tc>
      </w:tr>
      <w:tr>
        <w:tc>
          <w:tcPr>
            <w:tcW w:type="dxa" w:w="1162"/>
          </w:tcPr>
          <w:p>
            <w:pPr>
              <w:spacing w:after="40" w:before="40"/>
            </w:pPr>
            <w:r>
              <w:rPr>
                <w:sz w:val="17"/>
              </w:rPr>
            </w:r>
            <w:r>
              <w:rPr>
                <w:sz w:val="17"/>
              </w:rPr>
              <w:t>GE</w:t>
            </w:r>
          </w:p>
        </w:tc>
        <w:tc>
          <w:tcPr>
            <w:tcW w:type="dxa" w:w="996"/>
          </w:tcPr>
          <w:p>
            <w:pPr>
              <w:spacing w:after="40" w:before="40"/>
            </w:pPr>
            <w:r>
              <w:rPr>
                <w:sz w:val="17"/>
              </w:rPr>
            </w:r>
            <w:r>
              <w:rPr>
                <w:sz w:val="17"/>
              </w:rPr>
              <w:t>≥ 30 %</w:t>
            </w:r>
          </w:p>
        </w:tc>
        <w:tc>
          <w:tcPr>
            <w:tcW w:type="dxa" w:w="2158"/>
          </w:tcPr>
          <w:p>
            <w:pPr>
              <w:spacing w:after="40" w:before="40"/>
            </w:pPr>
            <w:r>
              <w:rPr>
                <w:sz w:val="17"/>
              </w:rPr>
            </w:r>
            <w:r>
              <w:rPr>
                <w:sz w:val="17"/>
              </w:rPr>
              <w:t>[20 % ; 30 %[</w:t>
            </w:r>
          </w:p>
        </w:tc>
        <w:tc>
          <w:tcPr>
            <w:tcW w:type="dxa" w:w="2158"/>
          </w:tcPr>
          <w:p>
            <w:pPr>
              <w:spacing w:after="40" w:before="40"/>
            </w:pPr>
            <w:r>
              <w:rPr>
                <w:sz w:val="17"/>
              </w:rPr>
            </w:r>
            <w:r>
              <w:rPr>
                <w:sz w:val="17"/>
              </w:rPr>
              <w:t>[12 % ; 20 %[</w:t>
            </w:r>
          </w:p>
        </w:tc>
        <w:tc>
          <w:tcPr>
            <w:tcW w:type="dxa" w:w="1992"/>
          </w:tcPr>
          <w:p>
            <w:pPr>
              <w:spacing w:after="40" w:before="40"/>
            </w:pPr>
            <w:r>
              <w:rPr>
                <w:sz w:val="17"/>
              </w:rPr>
            </w:r>
            <w:r>
              <w:rPr>
                <w:sz w:val="17"/>
              </w:rPr>
              <w:t>[5 % ; 12 %[</w:t>
            </w:r>
          </w:p>
        </w:tc>
        <w:tc>
          <w:tcPr>
            <w:tcW w:type="dxa" w:w="996"/>
          </w:tcPr>
          <w:p>
            <w:pPr>
              <w:spacing w:after="40" w:before="40"/>
            </w:pPr>
            <w:r>
              <w:rPr>
                <w:sz w:val="17"/>
              </w:rPr>
            </w:r>
            <w:r>
              <w:rPr>
                <w:sz w:val="17"/>
              </w:rPr>
              <w:t>&lt; 5 %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510"/>
            <w:shd w:val="clear" w:fill="0F3D63"/>
          </w:tcPr>
          <w:p>
            <w:pPr>
              <w:spacing w:after="40" w:before="40"/>
            </w:pPr>
            <w:r>
              <w:rPr>
                <w:color w:val="FFFFFF"/>
                <w:sz w:val="17"/>
              </w:rPr>
            </w:r>
            <w:r>
              <w:rPr>
                <w:b/>
                <w:color w:val="FFFFFF"/>
                <w:sz w:val="17"/>
              </w:rPr>
              <w:t>Code</w:t>
            </w:r>
          </w:p>
        </w:tc>
        <w:tc>
          <w:tcPr>
            <w:tcW w:type="dxa" w:w="5792"/>
            <w:shd w:val="clear" w:fill="0F3D63"/>
          </w:tcPr>
          <w:p>
            <w:pPr>
              <w:spacing w:after="40" w:before="40"/>
            </w:pPr>
            <w:r>
              <w:rPr>
                <w:color w:val="FFFFFF"/>
                <w:sz w:val="17"/>
              </w:rPr>
            </w:r>
            <w:r>
              <w:rPr>
                <w:b/>
                <w:color w:val="FFFFFF"/>
                <w:sz w:val="17"/>
              </w:rPr>
              <w:t>Cas</w:t>
            </w:r>
          </w:p>
        </w:tc>
        <w:tc>
          <w:tcPr>
            <w:tcW w:type="dxa" w:w="1158"/>
            <w:shd w:val="clear" w:fill="0F3D63"/>
          </w:tcPr>
          <w:p>
            <w:pPr>
              <w:spacing w:after="40" w:before="40"/>
            </w:pPr>
            <w:r>
              <w:rPr>
                <w:color w:val="FFFFFF"/>
                <w:sz w:val="17"/>
              </w:rPr>
            </w:r>
            <w:r>
              <w:rPr>
                <w:b/>
                <w:color w:val="FFFFFF"/>
                <w:sz w:val="17"/>
              </w:rPr>
              <w:t>Score imposé</w:t>
            </w:r>
          </w:p>
        </w:tc>
      </w:tr>
      <w:tr>
        <w:tc>
          <w:tcPr>
            <w:tcW w:type="dxa" w:w="2510"/>
          </w:tcPr>
          <w:p>
            <w:pPr>
              <w:spacing w:after="40" w:before="40"/>
            </w:pPr>
            <w:r>
              <w:rPr>
                <w:sz w:val="17"/>
              </w:rPr>
            </w:r>
            <w:r>
              <w:rPr>
                <w:rFonts w:ascii="Consolas" w:hAnsi="Consolas"/>
                <w:color w:val="8A2B2B"/>
                <w:sz w:val="17"/>
              </w:rPr>
              <w:t>NEGATIVE_TANGIBLE_EQUITY</w:t>
            </w:r>
          </w:p>
        </w:tc>
        <w:tc>
          <w:tcPr>
            <w:tcW w:type="dxa" w:w="5792"/>
          </w:tcPr>
          <w:p>
            <w:pPr>
              <w:spacing w:after="40" w:before="40"/>
            </w:pPr>
            <w:r>
              <w:rPr>
                <w:sz w:val="17"/>
              </w:rPr>
            </w:r>
            <w:r>
              <w:rPr>
                <w:sz w:val="17"/>
              </w:rPr>
              <w:t>Fonds propres tangibles négatifs — déclenche également le cap CAP02</w:t>
            </w:r>
          </w:p>
        </w:tc>
        <w:tc>
          <w:tcPr>
            <w:tcW w:type="dxa" w:w="1158"/>
          </w:tcPr>
          <w:p>
            <w:pPr>
              <w:spacing w:after="40" w:before="40"/>
            </w:pPr>
            <w:r>
              <w:rPr>
                <w:sz w:val="17"/>
              </w:rPr>
            </w:r>
            <w:r>
              <w:rPr>
                <w:sz w:val="17"/>
              </w:rPr>
              <w:t>0</w:t>
            </w:r>
          </w:p>
        </w:tc>
      </w:tr>
    </w:tbl>
    <w:p>
      <w:pPr>
        <w:spacing w:after="80"/>
      </w:pPr>
    </w:p>
    <w:p>
      <w:r>
        <w:rPr>
          <w:b/>
        </w:rPr>
        <w:t>Justificatifs requis :</w:t>
      </w:r>
      <w:r>
        <w:t xml:space="preserve"> Bilan et retraitements des incorporels/non-valeurs.</w:t>
      </w:r>
    </w:p>
    <w:p>
      <w:pPr>
        <w:pStyle w:val="Heading4"/>
      </w:pPr>
      <w:r>
        <w:t>D1.5 — Dette financière nette / EBITDA ajusté</w:t>
      </w:r>
    </w:p>
    <w:p>
      <w:r>
        <w:t>Dette nette négative : score 100 uniquement si trésorerie libre, durable, rapprochée et non affectée. Holding : look-through des flux/dividendes, pas d'application mécanique.</w:t>
      </w:r>
    </w:p>
    <w:p>
      <w:r>
        <w:rPr>
          <w:b/>
        </w:rPr>
        <w:t>Formule :</w:t>
      </w:r>
      <w:r>
        <w:t xml:space="preserve"> </w:t>
      </w:r>
      <w:r>
        <w:rPr>
          <w:rFonts w:ascii="Consolas" w:hAnsi="Consolas"/>
          <w:color w:val="8A2B2B"/>
          <w:sz w:val="18"/>
        </w:rPr>
        <w:t>dette_financière_nette / EBITDA_ajusté</w:t>
      </w:r>
    </w:p>
    <w:p>
      <w:r>
        <w:rPr>
          <w:b/>
        </w:rPr>
        <w:t>Poids :</w:t>
      </w:r>
      <w:r>
        <w:t xml:space="preserve"> TPE 4.00 % · PME 5.00 % · GE 5.00 %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142"/>
            <w:shd w:val="clear" w:fill="0F3D63"/>
          </w:tcPr>
          <w:p>
            <w:pPr>
              <w:spacing w:after="40" w:before="40"/>
            </w:pPr>
            <w:r>
              <w:rPr>
                <w:color w:val="FFFFFF"/>
                <w:sz w:val="17"/>
              </w:rPr>
            </w:r>
            <w:r>
              <w:rPr>
                <w:b/>
                <w:color w:val="FFFFFF"/>
                <w:sz w:val="17"/>
              </w:rPr>
              <w:t>Segment</w:t>
            </w:r>
          </w:p>
        </w:tc>
        <w:tc>
          <w:tcPr>
            <w:tcW w:type="dxa" w:w="979"/>
            <w:shd w:val="clear" w:fill="0F3D63"/>
          </w:tcPr>
          <w:p>
            <w:pPr>
              <w:spacing w:after="40" w:before="40"/>
            </w:pPr>
            <w:r>
              <w:rPr>
                <w:color w:val="FFFFFF"/>
                <w:sz w:val="17"/>
              </w:rPr>
            </w:r>
            <w:r>
              <w:rPr>
                <w:b/>
                <w:color w:val="FFFFFF"/>
                <w:sz w:val="17"/>
              </w:rPr>
              <w:t>100</w:t>
            </w:r>
          </w:p>
        </w:tc>
        <w:tc>
          <w:tcPr>
            <w:tcW w:type="dxa" w:w="2121"/>
            <w:shd w:val="clear" w:fill="0F3D63"/>
          </w:tcPr>
          <w:p>
            <w:pPr>
              <w:spacing w:after="40" w:before="40"/>
            </w:pPr>
            <w:r>
              <w:rPr>
                <w:color w:val="FFFFFF"/>
                <w:sz w:val="17"/>
              </w:rPr>
            </w:r>
            <w:r>
              <w:rPr>
                <w:b/>
                <w:color w:val="FFFFFF"/>
                <w:sz w:val="17"/>
              </w:rPr>
              <w:t>75</w:t>
            </w:r>
          </w:p>
        </w:tc>
        <w:tc>
          <w:tcPr>
            <w:tcW w:type="dxa" w:w="2121"/>
            <w:shd w:val="clear" w:fill="0F3D63"/>
          </w:tcPr>
          <w:p>
            <w:pPr>
              <w:spacing w:after="40" w:before="40"/>
            </w:pPr>
            <w:r>
              <w:rPr>
                <w:color w:val="FFFFFF"/>
                <w:sz w:val="17"/>
              </w:rPr>
            </w:r>
            <w:r>
              <w:rPr>
                <w:b/>
                <w:color w:val="FFFFFF"/>
                <w:sz w:val="17"/>
              </w:rPr>
              <w:t>50</w:t>
            </w:r>
          </w:p>
        </w:tc>
        <w:tc>
          <w:tcPr>
            <w:tcW w:type="dxa" w:w="2121"/>
            <w:shd w:val="clear" w:fill="0F3D63"/>
          </w:tcPr>
          <w:p>
            <w:pPr>
              <w:spacing w:after="40" w:before="40"/>
            </w:pPr>
            <w:r>
              <w:rPr>
                <w:color w:val="FFFFFF"/>
                <w:sz w:val="17"/>
              </w:rPr>
            </w:r>
            <w:r>
              <w:rPr>
                <w:b/>
                <w:color w:val="FFFFFF"/>
                <w:sz w:val="17"/>
              </w:rPr>
              <w:t>25</w:t>
            </w:r>
          </w:p>
        </w:tc>
        <w:tc>
          <w:tcPr>
            <w:tcW w:type="dxa" w:w="979"/>
            <w:shd w:val="clear" w:fill="0F3D63"/>
          </w:tcPr>
          <w:p>
            <w:pPr>
              <w:spacing w:after="40" w:before="40"/>
            </w:pPr>
            <w:r>
              <w:rPr>
                <w:color w:val="FFFFFF"/>
                <w:sz w:val="17"/>
              </w:rPr>
            </w:r>
            <w:r>
              <w:rPr>
                <w:b/>
                <w:color w:val="FFFFFF"/>
                <w:sz w:val="17"/>
              </w:rPr>
              <w:t>0</w:t>
            </w:r>
          </w:p>
        </w:tc>
      </w:tr>
      <w:tr>
        <w:tc>
          <w:tcPr>
            <w:tcW w:type="dxa" w:w="1142"/>
          </w:tcPr>
          <w:p>
            <w:pPr>
              <w:spacing w:after="40" w:before="40"/>
            </w:pPr>
            <w:r>
              <w:rPr>
                <w:sz w:val="17"/>
              </w:rPr>
            </w:r>
            <w:r>
              <w:rPr>
                <w:sz w:val="17"/>
              </w:rPr>
              <w:t>TPE</w:t>
            </w:r>
          </w:p>
        </w:tc>
        <w:tc>
          <w:tcPr>
            <w:tcW w:type="dxa" w:w="979"/>
          </w:tcPr>
          <w:p>
            <w:pPr>
              <w:spacing w:after="40" w:before="40"/>
            </w:pPr>
            <w:r>
              <w:rPr>
                <w:sz w:val="17"/>
              </w:rPr>
            </w:r>
            <w:r>
              <w:rPr>
                <w:sz w:val="17"/>
              </w:rPr>
              <w:t>≤ 1x</w:t>
            </w:r>
          </w:p>
        </w:tc>
        <w:tc>
          <w:tcPr>
            <w:tcW w:type="dxa" w:w="2121"/>
          </w:tcPr>
          <w:p>
            <w:pPr>
              <w:spacing w:after="40" w:before="40"/>
            </w:pPr>
            <w:r>
              <w:rPr>
                <w:sz w:val="17"/>
              </w:rPr>
            </w:r>
            <w:r>
              <w:rPr>
                <w:sz w:val="17"/>
              </w:rPr>
              <w:t>]1x ; 2x]</w:t>
            </w:r>
          </w:p>
        </w:tc>
        <w:tc>
          <w:tcPr>
            <w:tcW w:type="dxa" w:w="2121"/>
          </w:tcPr>
          <w:p>
            <w:pPr>
              <w:spacing w:after="40" w:before="40"/>
            </w:pPr>
            <w:r>
              <w:rPr>
                <w:sz w:val="17"/>
              </w:rPr>
            </w:r>
            <w:r>
              <w:rPr>
                <w:sz w:val="17"/>
              </w:rPr>
              <w:t>]2x ; 3.5x]</w:t>
            </w:r>
          </w:p>
        </w:tc>
        <w:tc>
          <w:tcPr>
            <w:tcW w:type="dxa" w:w="2121"/>
          </w:tcPr>
          <w:p>
            <w:pPr>
              <w:spacing w:after="40" w:before="40"/>
            </w:pPr>
            <w:r>
              <w:rPr>
                <w:sz w:val="17"/>
              </w:rPr>
            </w:r>
            <w:r>
              <w:rPr>
                <w:sz w:val="17"/>
              </w:rPr>
              <w:t>]3.5x ; 5x]</w:t>
            </w:r>
          </w:p>
        </w:tc>
        <w:tc>
          <w:tcPr>
            <w:tcW w:type="dxa" w:w="979"/>
          </w:tcPr>
          <w:p>
            <w:pPr>
              <w:spacing w:after="40" w:before="40"/>
            </w:pPr>
            <w:r>
              <w:rPr>
                <w:sz w:val="17"/>
              </w:rPr>
            </w:r>
            <w:r>
              <w:rPr>
                <w:sz w:val="17"/>
              </w:rPr>
              <w:t>&gt; 5x</w:t>
            </w:r>
          </w:p>
        </w:tc>
      </w:tr>
      <w:tr>
        <w:tc>
          <w:tcPr>
            <w:tcW w:type="dxa" w:w="1142"/>
            <w:shd w:val="clear" w:fill="F2F5F8"/>
          </w:tcPr>
          <w:p>
            <w:pPr>
              <w:spacing w:after="40" w:before="40"/>
            </w:pPr>
            <w:r>
              <w:rPr>
                <w:sz w:val="17"/>
              </w:rPr>
            </w:r>
            <w:r>
              <w:rPr>
                <w:sz w:val="17"/>
              </w:rPr>
              <w:t>PME</w:t>
            </w:r>
          </w:p>
        </w:tc>
        <w:tc>
          <w:tcPr>
            <w:tcW w:type="dxa" w:w="979"/>
            <w:shd w:val="clear" w:fill="F2F5F8"/>
          </w:tcPr>
          <w:p>
            <w:pPr>
              <w:spacing w:after="40" w:before="40"/>
            </w:pPr>
            <w:r>
              <w:rPr>
                <w:sz w:val="17"/>
              </w:rPr>
            </w:r>
            <w:r>
              <w:rPr>
                <w:sz w:val="17"/>
              </w:rPr>
              <w:t>≤ 1.5x</w:t>
            </w:r>
          </w:p>
        </w:tc>
        <w:tc>
          <w:tcPr>
            <w:tcW w:type="dxa" w:w="2121"/>
            <w:shd w:val="clear" w:fill="F2F5F8"/>
          </w:tcPr>
          <w:p>
            <w:pPr>
              <w:spacing w:after="40" w:before="40"/>
            </w:pPr>
            <w:r>
              <w:rPr>
                <w:sz w:val="17"/>
              </w:rPr>
            </w:r>
            <w:r>
              <w:rPr>
                <w:sz w:val="17"/>
              </w:rPr>
              <w:t>]1.5x ; 2.5x]</w:t>
            </w:r>
          </w:p>
        </w:tc>
        <w:tc>
          <w:tcPr>
            <w:tcW w:type="dxa" w:w="2121"/>
            <w:shd w:val="clear" w:fill="F2F5F8"/>
          </w:tcPr>
          <w:p>
            <w:pPr>
              <w:spacing w:after="40" w:before="40"/>
            </w:pPr>
            <w:r>
              <w:rPr>
                <w:sz w:val="17"/>
              </w:rPr>
            </w:r>
            <w:r>
              <w:rPr>
                <w:sz w:val="17"/>
              </w:rPr>
              <w:t>]2.5x ; 3.5x]</w:t>
            </w:r>
          </w:p>
        </w:tc>
        <w:tc>
          <w:tcPr>
            <w:tcW w:type="dxa" w:w="2121"/>
            <w:shd w:val="clear" w:fill="F2F5F8"/>
          </w:tcPr>
          <w:p>
            <w:pPr>
              <w:spacing w:after="40" w:before="40"/>
            </w:pPr>
            <w:r>
              <w:rPr>
                <w:sz w:val="17"/>
              </w:rPr>
            </w:r>
            <w:r>
              <w:rPr>
                <w:sz w:val="17"/>
              </w:rPr>
              <w:t>]3.5x ; 5x]</w:t>
            </w:r>
          </w:p>
        </w:tc>
        <w:tc>
          <w:tcPr>
            <w:tcW w:type="dxa" w:w="979"/>
            <w:shd w:val="clear" w:fill="F2F5F8"/>
          </w:tcPr>
          <w:p>
            <w:pPr>
              <w:spacing w:after="40" w:before="40"/>
            </w:pPr>
            <w:r>
              <w:rPr>
                <w:sz w:val="17"/>
              </w:rPr>
            </w:r>
            <w:r>
              <w:rPr>
                <w:sz w:val="17"/>
              </w:rPr>
              <w:t>&gt; 5x</w:t>
            </w:r>
          </w:p>
        </w:tc>
      </w:tr>
      <w:tr>
        <w:tc>
          <w:tcPr>
            <w:tcW w:type="dxa" w:w="1142"/>
          </w:tcPr>
          <w:p>
            <w:pPr>
              <w:spacing w:after="40" w:before="40"/>
            </w:pPr>
            <w:r>
              <w:rPr>
                <w:sz w:val="17"/>
              </w:rPr>
            </w:r>
            <w:r>
              <w:rPr>
                <w:sz w:val="17"/>
              </w:rPr>
              <w:t>GE</w:t>
            </w:r>
          </w:p>
        </w:tc>
        <w:tc>
          <w:tcPr>
            <w:tcW w:type="dxa" w:w="979"/>
          </w:tcPr>
          <w:p>
            <w:pPr>
              <w:spacing w:after="40" w:before="40"/>
            </w:pPr>
            <w:r>
              <w:rPr>
                <w:sz w:val="17"/>
              </w:rPr>
            </w:r>
            <w:r>
              <w:rPr>
                <w:sz w:val="17"/>
              </w:rPr>
              <w:t>≤ 1.5x</w:t>
            </w:r>
          </w:p>
        </w:tc>
        <w:tc>
          <w:tcPr>
            <w:tcW w:type="dxa" w:w="2121"/>
          </w:tcPr>
          <w:p>
            <w:pPr>
              <w:spacing w:after="40" w:before="40"/>
            </w:pPr>
            <w:r>
              <w:rPr>
                <w:sz w:val="17"/>
              </w:rPr>
            </w:r>
            <w:r>
              <w:rPr>
                <w:sz w:val="17"/>
              </w:rPr>
              <w:t>]1.5x ; 2.5x]</w:t>
            </w:r>
          </w:p>
        </w:tc>
        <w:tc>
          <w:tcPr>
            <w:tcW w:type="dxa" w:w="2121"/>
          </w:tcPr>
          <w:p>
            <w:pPr>
              <w:spacing w:after="40" w:before="40"/>
            </w:pPr>
            <w:r>
              <w:rPr>
                <w:sz w:val="17"/>
              </w:rPr>
            </w:r>
            <w:r>
              <w:rPr>
                <w:sz w:val="17"/>
              </w:rPr>
              <w:t>]2.5x ; 3.5x]</w:t>
            </w:r>
          </w:p>
        </w:tc>
        <w:tc>
          <w:tcPr>
            <w:tcW w:type="dxa" w:w="2121"/>
          </w:tcPr>
          <w:p>
            <w:pPr>
              <w:spacing w:after="40" w:before="40"/>
            </w:pPr>
            <w:r>
              <w:rPr>
                <w:sz w:val="17"/>
              </w:rPr>
            </w:r>
            <w:r>
              <w:rPr>
                <w:sz w:val="17"/>
              </w:rPr>
              <w:t>]3.5x ; 4.5x]</w:t>
            </w:r>
          </w:p>
        </w:tc>
        <w:tc>
          <w:tcPr>
            <w:tcW w:type="dxa" w:w="979"/>
          </w:tcPr>
          <w:p>
            <w:pPr>
              <w:spacing w:after="40" w:before="40"/>
            </w:pPr>
            <w:r>
              <w:rPr>
                <w:sz w:val="17"/>
              </w:rPr>
            </w:r>
            <w:r>
              <w:rPr>
                <w:sz w:val="17"/>
              </w:rPr>
              <w:t>&gt; 4.5x</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540"/>
            <w:shd w:val="clear" w:fill="0F3D63"/>
          </w:tcPr>
          <w:p>
            <w:pPr>
              <w:spacing w:after="40" w:before="40"/>
            </w:pPr>
            <w:r>
              <w:rPr>
                <w:color w:val="FFFFFF"/>
                <w:sz w:val="17"/>
              </w:rPr>
            </w:r>
            <w:r>
              <w:rPr>
                <w:b/>
                <w:color w:val="FFFFFF"/>
                <w:sz w:val="17"/>
              </w:rPr>
              <w:t>Code</w:t>
            </w:r>
          </w:p>
        </w:tc>
        <w:tc>
          <w:tcPr>
            <w:tcW w:type="dxa" w:w="6601"/>
            <w:shd w:val="clear" w:fill="0F3D63"/>
          </w:tcPr>
          <w:p>
            <w:pPr>
              <w:spacing w:after="40" w:before="40"/>
            </w:pPr>
            <w:r>
              <w:rPr>
                <w:color w:val="FFFFFF"/>
                <w:sz w:val="17"/>
              </w:rPr>
            </w:r>
            <w:r>
              <w:rPr>
                <w:b/>
                <w:color w:val="FFFFFF"/>
                <w:sz w:val="17"/>
              </w:rPr>
              <w:t>Cas</w:t>
            </w:r>
          </w:p>
        </w:tc>
        <w:tc>
          <w:tcPr>
            <w:tcW w:type="dxa" w:w="1320"/>
            <w:shd w:val="clear" w:fill="0F3D63"/>
          </w:tcPr>
          <w:p>
            <w:pPr>
              <w:spacing w:after="40" w:before="40"/>
            </w:pPr>
            <w:r>
              <w:rPr>
                <w:color w:val="FFFFFF"/>
                <w:sz w:val="17"/>
              </w:rPr>
            </w:r>
            <w:r>
              <w:rPr>
                <w:b/>
                <w:color w:val="FFFFFF"/>
                <w:sz w:val="17"/>
              </w:rPr>
              <w:t>Score imposé</w:t>
            </w:r>
          </w:p>
        </w:tc>
      </w:tr>
      <w:tr>
        <w:tc>
          <w:tcPr>
            <w:tcW w:type="dxa" w:w="1540"/>
          </w:tcPr>
          <w:p>
            <w:pPr>
              <w:spacing w:after="40" w:before="40"/>
            </w:pPr>
            <w:r>
              <w:rPr>
                <w:sz w:val="17"/>
              </w:rPr>
            </w:r>
            <w:r>
              <w:rPr>
                <w:rFonts w:ascii="Consolas" w:hAnsi="Consolas"/>
                <w:color w:val="8A2B2B"/>
                <w:sz w:val="17"/>
              </w:rPr>
              <w:t>EBITDA_LTE_0</w:t>
            </w:r>
          </w:p>
        </w:tc>
        <w:tc>
          <w:tcPr>
            <w:tcW w:type="dxa" w:w="6601"/>
          </w:tcPr>
          <w:p>
            <w:pPr>
              <w:spacing w:after="40" w:before="40"/>
            </w:pPr>
            <w:r>
              <w:rPr>
                <w:sz w:val="17"/>
              </w:rPr>
            </w:r>
            <w:r>
              <w:rPr>
                <w:sz w:val="17"/>
              </w:rPr>
              <w:t>EBITDA nul ou négatif : le levier n'est pas calculable, la situation est défavorable</w:t>
            </w:r>
          </w:p>
        </w:tc>
        <w:tc>
          <w:tcPr>
            <w:tcW w:type="dxa" w:w="1320"/>
          </w:tcPr>
          <w:p>
            <w:pPr>
              <w:spacing w:after="40" w:before="40"/>
            </w:pPr>
            <w:r>
              <w:rPr>
                <w:sz w:val="17"/>
              </w:rPr>
            </w:r>
            <w:r>
              <w:rPr>
                <w:sz w:val="17"/>
              </w:rPr>
              <w:t>0</w:t>
            </w:r>
          </w:p>
        </w:tc>
      </w:tr>
    </w:tbl>
    <w:p>
      <w:pPr>
        <w:spacing w:after="80"/>
      </w:pPr>
    </w:p>
    <w:p>
      <w:r>
        <w:rPr>
          <w:b/>
        </w:rPr>
        <w:t>Justificatifs requis :</w:t>
      </w:r>
      <w:r>
        <w:t xml:space="preserve"> États financiers ; Trace des retraitements dette/trésorerie.</w:t>
      </w:r>
    </w:p>
    <w:p>
      <w:pPr>
        <w:pStyle w:val="Heading4"/>
      </w:pPr>
      <w:r>
        <w:t>D1.6 — Liquidité court terme</w:t>
      </w:r>
    </w:p>
    <w:p>
      <w:r>
        <w:t>Actif circulant réalisable CT / passif circulant exigible, stocks obsolètes et créances douteuses retraités. Secteurs à BFR structurellement négatif : sous-modèle cash/stress validé.</w:t>
      </w:r>
    </w:p>
    <w:p>
      <w:r>
        <w:rPr>
          <w:b/>
        </w:rPr>
        <w:t>Poids :</w:t>
      </w:r>
      <w:r>
        <w:t xml:space="preserve"> TPE 4.00 % · PME 4.00 % · GE 3.00 %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142"/>
            <w:shd w:val="clear" w:fill="0F3D63"/>
          </w:tcPr>
          <w:p>
            <w:pPr>
              <w:spacing w:after="40" w:before="40"/>
            </w:pPr>
            <w:r>
              <w:rPr>
                <w:color w:val="FFFFFF"/>
                <w:sz w:val="17"/>
              </w:rPr>
            </w:r>
            <w:r>
              <w:rPr>
                <w:b/>
                <w:color w:val="FFFFFF"/>
                <w:sz w:val="17"/>
              </w:rPr>
              <w:t>Segment</w:t>
            </w:r>
          </w:p>
        </w:tc>
        <w:tc>
          <w:tcPr>
            <w:tcW w:type="dxa" w:w="979"/>
            <w:shd w:val="clear" w:fill="0F3D63"/>
          </w:tcPr>
          <w:p>
            <w:pPr>
              <w:spacing w:after="40" w:before="40"/>
            </w:pPr>
            <w:r>
              <w:rPr>
                <w:color w:val="FFFFFF"/>
                <w:sz w:val="17"/>
              </w:rPr>
            </w:r>
            <w:r>
              <w:rPr>
                <w:b/>
                <w:color w:val="FFFFFF"/>
                <w:sz w:val="17"/>
              </w:rPr>
              <w:t>100</w:t>
            </w:r>
          </w:p>
        </w:tc>
        <w:tc>
          <w:tcPr>
            <w:tcW w:type="dxa" w:w="2284"/>
            <w:shd w:val="clear" w:fill="0F3D63"/>
          </w:tcPr>
          <w:p>
            <w:pPr>
              <w:spacing w:after="40" w:before="40"/>
            </w:pPr>
            <w:r>
              <w:rPr>
                <w:color w:val="FFFFFF"/>
                <w:sz w:val="17"/>
              </w:rPr>
            </w:r>
            <w:r>
              <w:rPr>
                <w:b/>
                <w:color w:val="FFFFFF"/>
                <w:sz w:val="17"/>
              </w:rPr>
              <w:t>75</w:t>
            </w:r>
          </w:p>
        </w:tc>
        <w:tc>
          <w:tcPr>
            <w:tcW w:type="dxa" w:w="1957"/>
            <w:shd w:val="clear" w:fill="0F3D63"/>
          </w:tcPr>
          <w:p>
            <w:pPr>
              <w:spacing w:after="40" w:before="40"/>
            </w:pPr>
            <w:r>
              <w:rPr>
                <w:color w:val="FFFFFF"/>
                <w:sz w:val="17"/>
              </w:rPr>
            </w:r>
            <w:r>
              <w:rPr>
                <w:b/>
                <w:color w:val="FFFFFF"/>
                <w:sz w:val="17"/>
              </w:rPr>
              <w:t>50</w:t>
            </w:r>
          </w:p>
        </w:tc>
        <w:tc>
          <w:tcPr>
            <w:tcW w:type="dxa" w:w="1957"/>
            <w:shd w:val="clear" w:fill="0F3D63"/>
          </w:tcPr>
          <w:p>
            <w:pPr>
              <w:spacing w:after="40" w:before="40"/>
            </w:pPr>
            <w:r>
              <w:rPr>
                <w:color w:val="FFFFFF"/>
                <w:sz w:val="17"/>
              </w:rPr>
            </w:r>
            <w:r>
              <w:rPr>
                <w:b/>
                <w:color w:val="FFFFFF"/>
                <w:sz w:val="17"/>
              </w:rPr>
              <w:t>25</w:t>
            </w:r>
          </w:p>
        </w:tc>
        <w:tc>
          <w:tcPr>
            <w:tcW w:type="dxa" w:w="1142"/>
            <w:shd w:val="clear" w:fill="0F3D63"/>
          </w:tcPr>
          <w:p>
            <w:pPr>
              <w:spacing w:after="40" w:before="40"/>
            </w:pPr>
            <w:r>
              <w:rPr>
                <w:color w:val="FFFFFF"/>
                <w:sz w:val="17"/>
              </w:rPr>
            </w:r>
            <w:r>
              <w:rPr>
                <w:b/>
                <w:color w:val="FFFFFF"/>
                <w:sz w:val="17"/>
              </w:rPr>
              <w:t>0</w:t>
            </w:r>
          </w:p>
        </w:tc>
      </w:tr>
      <w:tr>
        <w:tc>
          <w:tcPr>
            <w:tcW w:type="dxa" w:w="1142"/>
          </w:tcPr>
          <w:p>
            <w:pPr>
              <w:spacing w:after="40" w:before="40"/>
            </w:pPr>
            <w:r>
              <w:rPr>
                <w:sz w:val="17"/>
              </w:rPr>
            </w:r>
            <w:r>
              <w:rPr>
                <w:sz w:val="17"/>
              </w:rPr>
              <w:t>TPE</w:t>
            </w:r>
          </w:p>
        </w:tc>
        <w:tc>
          <w:tcPr>
            <w:tcW w:type="dxa" w:w="979"/>
          </w:tcPr>
          <w:p>
            <w:pPr>
              <w:spacing w:after="40" w:before="40"/>
            </w:pPr>
            <w:r>
              <w:rPr>
                <w:sz w:val="17"/>
              </w:rPr>
            </w:r>
            <w:r>
              <w:rPr>
                <w:sz w:val="17"/>
              </w:rPr>
              <w:t>≥ 1.5x</w:t>
            </w:r>
          </w:p>
        </w:tc>
        <w:tc>
          <w:tcPr>
            <w:tcW w:type="dxa" w:w="2284"/>
          </w:tcPr>
          <w:p>
            <w:pPr>
              <w:spacing w:after="40" w:before="40"/>
            </w:pPr>
            <w:r>
              <w:rPr>
                <w:sz w:val="17"/>
              </w:rPr>
            </w:r>
            <w:r>
              <w:rPr>
                <w:sz w:val="17"/>
              </w:rPr>
              <w:t>[1.25x ; 1.5x[</w:t>
            </w:r>
          </w:p>
        </w:tc>
        <w:tc>
          <w:tcPr>
            <w:tcW w:type="dxa" w:w="1957"/>
          </w:tcPr>
          <w:p>
            <w:pPr>
              <w:spacing w:after="40" w:before="40"/>
            </w:pPr>
            <w:r>
              <w:rPr>
                <w:sz w:val="17"/>
              </w:rPr>
            </w:r>
            <w:r>
              <w:rPr>
                <w:sz w:val="17"/>
              </w:rPr>
              <w:t>[1x ; 1.25x[</w:t>
            </w:r>
          </w:p>
        </w:tc>
        <w:tc>
          <w:tcPr>
            <w:tcW w:type="dxa" w:w="1957"/>
          </w:tcPr>
          <w:p>
            <w:pPr>
              <w:spacing w:after="40" w:before="40"/>
            </w:pPr>
            <w:r>
              <w:rPr>
                <w:sz w:val="17"/>
              </w:rPr>
            </w:r>
            <w:r>
              <w:rPr>
                <w:sz w:val="17"/>
              </w:rPr>
              <w:t>[0.8x ; 1x[</w:t>
            </w:r>
          </w:p>
        </w:tc>
        <w:tc>
          <w:tcPr>
            <w:tcW w:type="dxa" w:w="1142"/>
          </w:tcPr>
          <w:p>
            <w:pPr>
              <w:spacing w:after="40" w:before="40"/>
            </w:pPr>
            <w:r>
              <w:rPr>
                <w:sz w:val="17"/>
              </w:rPr>
            </w:r>
            <w:r>
              <w:rPr>
                <w:sz w:val="17"/>
              </w:rPr>
              <w:t>&lt; 0.8x</w:t>
            </w:r>
          </w:p>
        </w:tc>
      </w:tr>
      <w:tr>
        <w:tc>
          <w:tcPr>
            <w:tcW w:type="dxa" w:w="1142"/>
            <w:shd w:val="clear" w:fill="F2F5F8"/>
          </w:tcPr>
          <w:p>
            <w:pPr>
              <w:spacing w:after="40" w:before="40"/>
            </w:pPr>
            <w:r>
              <w:rPr>
                <w:sz w:val="17"/>
              </w:rPr>
            </w:r>
            <w:r>
              <w:rPr>
                <w:sz w:val="17"/>
              </w:rPr>
              <w:t>PME</w:t>
            </w:r>
          </w:p>
        </w:tc>
        <w:tc>
          <w:tcPr>
            <w:tcW w:type="dxa" w:w="979"/>
            <w:shd w:val="clear" w:fill="F2F5F8"/>
          </w:tcPr>
          <w:p>
            <w:pPr>
              <w:spacing w:after="40" w:before="40"/>
            </w:pPr>
            <w:r>
              <w:rPr>
                <w:sz w:val="17"/>
              </w:rPr>
            </w:r>
            <w:r>
              <w:rPr>
                <w:sz w:val="17"/>
              </w:rPr>
              <w:t>≥ 1.5x</w:t>
            </w:r>
          </w:p>
        </w:tc>
        <w:tc>
          <w:tcPr>
            <w:tcW w:type="dxa" w:w="2284"/>
            <w:shd w:val="clear" w:fill="F2F5F8"/>
          </w:tcPr>
          <w:p>
            <w:pPr>
              <w:spacing w:after="40" w:before="40"/>
            </w:pPr>
            <w:r>
              <w:rPr>
                <w:sz w:val="17"/>
              </w:rPr>
            </w:r>
            <w:r>
              <w:rPr>
                <w:sz w:val="17"/>
              </w:rPr>
              <w:t>[1.25x ; 1.5x[</w:t>
            </w:r>
          </w:p>
        </w:tc>
        <w:tc>
          <w:tcPr>
            <w:tcW w:type="dxa" w:w="1957"/>
            <w:shd w:val="clear" w:fill="F2F5F8"/>
          </w:tcPr>
          <w:p>
            <w:pPr>
              <w:spacing w:after="40" w:before="40"/>
            </w:pPr>
            <w:r>
              <w:rPr>
                <w:sz w:val="17"/>
              </w:rPr>
            </w:r>
            <w:r>
              <w:rPr>
                <w:sz w:val="17"/>
              </w:rPr>
              <w:t>[1x ; 1.25x[</w:t>
            </w:r>
          </w:p>
        </w:tc>
        <w:tc>
          <w:tcPr>
            <w:tcW w:type="dxa" w:w="1957"/>
            <w:shd w:val="clear" w:fill="F2F5F8"/>
          </w:tcPr>
          <w:p>
            <w:pPr>
              <w:spacing w:after="40" w:before="40"/>
            </w:pPr>
            <w:r>
              <w:rPr>
                <w:sz w:val="17"/>
              </w:rPr>
            </w:r>
            <w:r>
              <w:rPr>
                <w:sz w:val="17"/>
              </w:rPr>
              <w:t>[0.8x ; 1x[</w:t>
            </w:r>
          </w:p>
        </w:tc>
        <w:tc>
          <w:tcPr>
            <w:tcW w:type="dxa" w:w="1142"/>
            <w:shd w:val="clear" w:fill="F2F5F8"/>
          </w:tcPr>
          <w:p>
            <w:pPr>
              <w:spacing w:after="40" w:before="40"/>
            </w:pPr>
            <w:r>
              <w:rPr>
                <w:sz w:val="17"/>
              </w:rPr>
            </w:r>
            <w:r>
              <w:rPr>
                <w:sz w:val="17"/>
              </w:rPr>
              <w:t>&lt; 0.8x</w:t>
            </w:r>
          </w:p>
        </w:tc>
      </w:tr>
      <w:tr>
        <w:tc>
          <w:tcPr>
            <w:tcW w:type="dxa" w:w="1142"/>
          </w:tcPr>
          <w:p>
            <w:pPr>
              <w:spacing w:after="40" w:before="40"/>
            </w:pPr>
            <w:r>
              <w:rPr>
                <w:sz w:val="17"/>
              </w:rPr>
            </w:r>
            <w:r>
              <w:rPr>
                <w:sz w:val="17"/>
              </w:rPr>
              <w:t>GE</w:t>
            </w:r>
          </w:p>
        </w:tc>
        <w:tc>
          <w:tcPr>
            <w:tcW w:type="dxa" w:w="979"/>
          </w:tcPr>
          <w:p>
            <w:pPr>
              <w:spacing w:after="40" w:before="40"/>
            </w:pPr>
            <w:r>
              <w:rPr>
                <w:sz w:val="17"/>
              </w:rPr>
            </w:r>
            <w:r>
              <w:rPr>
                <w:sz w:val="17"/>
              </w:rPr>
              <w:t>≥ 1.4x</w:t>
            </w:r>
          </w:p>
        </w:tc>
        <w:tc>
          <w:tcPr>
            <w:tcW w:type="dxa" w:w="2284"/>
          </w:tcPr>
          <w:p>
            <w:pPr>
              <w:spacing w:after="40" w:before="40"/>
            </w:pPr>
            <w:r>
              <w:rPr>
                <w:sz w:val="17"/>
              </w:rPr>
            </w:r>
            <w:r>
              <w:rPr>
                <w:sz w:val="17"/>
              </w:rPr>
              <w:t>[1.2x ; 1.4x[</w:t>
            </w:r>
          </w:p>
        </w:tc>
        <w:tc>
          <w:tcPr>
            <w:tcW w:type="dxa" w:w="1957"/>
          </w:tcPr>
          <w:p>
            <w:pPr>
              <w:spacing w:after="40" w:before="40"/>
            </w:pPr>
            <w:r>
              <w:rPr>
                <w:sz w:val="17"/>
              </w:rPr>
            </w:r>
            <w:r>
              <w:rPr>
                <w:sz w:val="17"/>
              </w:rPr>
              <w:t>[1x ; 1.2x[</w:t>
            </w:r>
          </w:p>
        </w:tc>
        <w:tc>
          <w:tcPr>
            <w:tcW w:type="dxa" w:w="1957"/>
          </w:tcPr>
          <w:p>
            <w:pPr>
              <w:spacing w:after="40" w:before="40"/>
            </w:pPr>
            <w:r>
              <w:rPr>
                <w:sz w:val="17"/>
              </w:rPr>
            </w:r>
            <w:r>
              <w:rPr>
                <w:sz w:val="17"/>
              </w:rPr>
              <w:t>[0.85x ; 1x[</w:t>
            </w:r>
          </w:p>
        </w:tc>
        <w:tc>
          <w:tcPr>
            <w:tcW w:type="dxa" w:w="1142"/>
          </w:tcPr>
          <w:p>
            <w:pPr>
              <w:spacing w:after="40" w:before="40"/>
            </w:pPr>
            <w:r>
              <w:rPr>
                <w:sz w:val="17"/>
              </w:rPr>
            </w:r>
            <w:r>
              <w:rPr>
                <w:sz w:val="17"/>
              </w:rPr>
              <w:t>&lt; 0.85x</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695"/>
            <w:shd w:val="clear" w:fill="0F3D63"/>
          </w:tcPr>
          <w:p>
            <w:pPr>
              <w:spacing w:after="40" w:before="40"/>
            </w:pPr>
            <w:r>
              <w:rPr>
                <w:color w:val="FFFFFF"/>
                <w:sz w:val="17"/>
              </w:rPr>
            </w:r>
            <w:r>
              <w:rPr>
                <w:b/>
                <w:color w:val="FFFFFF"/>
                <w:sz w:val="17"/>
              </w:rPr>
              <w:t>Code</w:t>
            </w:r>
          </w:p>
        </w:tc>
        <w:tc>
          <w:tcPr>
            <w:tcW w:type="dxa" w:w="6072"/>
            <w:shd w:val="clear" w:fill="0F3D63"/>
          </w:tcPr>
          <w:p>
            <w:pPr>
              <w:spacing w:after="40" w:before="40"/>
            </w:pPr>
            <w:r>
              <w:rPr>
                <w:color w:val="FFFFFF"/>
                <w:sz w:val="17"/>
              </w:rPr>
            </w:r>
            <w:r>
              <w:rPr>
                <w:b/>
                <w:color w:val="FFFFFF"/>
                <w:sz w:val="17"/>
              </w:rPr>
              <w:t>Cas</w:t>
            </w:r>
          </w:p>
        </w:tc>
        <w:tc>
          <w:tcPr>
            <w:tcW w:type="dxa" w:w="1695"/>
            <w:shd w:val="clear" w:fill="0F3D63"/>
          </w:tcPr>
          <w:p>
            <w:pPr>
              <w:spacing w:after="40" w:before="40"/>
            </w:pPr>
            <w:r>
              <w:rPr>
                <w:color w:val="FFFFFF"/>
                <w:sz w:val="17"/>
              </w:rPr>
            </w:r>
            <w:r>
              <w:rPr>
                <w:b/>
                <w:color w:val="FFFFFF"/>
                <w:sz w:val="17"/>
              </w:rPr>
              <w:t>Score imposé</w:t>
            </w:r>
          </w:p>
        </w:tc>
      </w:tr>
      <w:tr>
        <w:tc>
          <w:tcPr>
            <w:tcW w:type="dxa" w:w="1695"/>
          </w:tcPr>
          <w:p>
            <w:pPr>
              <w:spacing w:after="40" w:before="40"/>
            </w:pPr>
            <w:r>
              <w:rPr>
                <w:sz w:val="17"/>
              </w:rPr>
            </w:r>
            <w:r>
              <w:rPr>
                <w:rFonts w:ascii="Consolas" w:hAnsi="Consolas"/>
                <w:color w:val="8A2B2B"/>
                <w:sz w:val="17"/>
              </w:rPr>
              <w:t>CASH_BREAK</w:t>
            </w:r>
          </w:p>
        </w:tc>
        <w:tc>
          <w:tcPr>
            <w:tcW w:type="dxa" w:w="6072"/>
          </w:tcPr>
          <w:p>
            <w:pPr>
              <w:spacing w:after="40" w:before="40"/>
            </w:pPr>
            <w:r>
              <w:rPr>
                <w:sz w:val="17"/>
              </w:rPr>
            </w:r>
            <w:r>
              <w:rPr>
                <w:sz w:val="17"/>
              </w:rPr>
              <w:t>Rupture de trésorerie avérée sur la période</w:t>
            </w:r>
          </w:p>
        </w:tc>
        <w:tc>
          <w:tcPr>
            <w:tcW w:type="dxa" w:w="1695"/>
          </w:tcPr>
          <w:p>
            <w:pPr>
              <w:spacing w:after="40" w:before="40"/>
            </w:pPr>
            <w:r>
              <w:rPr>
                <w:sz w:val="17"/>
              </w:rPr>
            </w:r>
            <w:r>
              <w:rPr>
                <w:sz w:val="17"/>
              </w:rPr>
              <w:t>0</w:t>
            </w:r>
          </w:p>
        </w:tc>
      </w:tr>
    </w:tbl>
    <w:p>
      <w:pPr>
        <w:spacing w:after="80"/>
      </w:pPr>
    </w:p>
    <w:p>
      <w:pPr>
        <w:pStyle w:val="Heading4"/>
      </w:pPr>
      <w:r>
        <w:t>D1.7 — BFR et cycle de conversion de trésorerie</w:t>
      </w:r>
    </w:p>
    <w:p>
      <w:r>
        <w:t>DSO + DIO − DPO, évolution en jours et percentile sectoriel. Un DPO artificiellement élevé lié à des fournisseurs impayés est défavorable.</w:t>
      </w:r>
    </w:p>
    <w:p>
      <w:r>
        <w:rPr>
          <w:b/>
        </w:rPr>
        <w:t>Poids :</w:t>
      </w:r>
      <w:r>
        <w:t xml:space="preserve"> TPE 3.00 % · PME 3.00 %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Cycle ≤ P25 sectoriel, stable ou amélioré ; aucune tension fournisseur</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Entre P25 et P50 ; détérioration ≤ 5 jours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Entre P50 et P75 ou détérioration de 6 à 15 jours, financée sans dépassement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&gt; P75 ou détérioration de 16 à 45 jours ; stocks/créances vieillissants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P90 avec détérioration &gt; 45 jours, actifs non recouvrables, fournisseurs durablement impayés ou BFR non finançable</w:t>
            </w:r>
          </w:p>
        </w:tc>
      </w:tr>
    </w:tbl>
    <w:p>
      <w:pPr>
        <w:spacing w:after="80"/>
      </w:pPr>
    </w:p>
    <w:p>
      <w:pPr>
        <w:pStyle w:val="Heading4"/>
      </w:pPr>
      <w:r>
        <w:t>D1.8 — Conversion EBITDA en cash-flow opérationnel</w:t>
      </w:r>
    </w:p>
    <w:p>
      <w:r>
        <w:t>Moyenne pondérée sur trois ans de CFO ajusté / EBITDA ajusté (50 % N, 30 % N−1, 20 % N−2), en %. Si EBITDA ≤ 0 : score 0 sauf règle spécifique documentée.</w:t>
      </w:r>
    </w:p>
    <w:p>
      <w:r>
        <w:rPr>
          <w:b/>
        </w:rPr>
        <w:t>Formule :</w:t>
      </w:r>
      <w:r>
        <w:t xml:space="preserve"> </w:t>
      </w:r>
      <w:r>
        <w:rPr>
          <w:rFonts w:ascii="Consolas" w:hAnsi="Consolas"/>
          <w:color w:val="8A2B2B"/>
          <w:sz w:val="18"/>
        </w:rPr>
        <w:t>0,5×(CFO/EBITDA)_N + 0,3×(CFO/EBITDA)_N−1 + 0,2×(CFO/EBITDA)_N−2</w:t>
      </w:r>
    </w:p>
    <w:p>
      <w:r>
        <w:rPr>
          <w:b/>
        </w:rPr>
        <w:t>Poids :</w:t>
      </w:r>
      <w:r>
        <w:t xml:space="preserve"> TPE 2.00 % · PME 3.00 % · GE 5.00 %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90 %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[70 % ; 90 %[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[50 % ; 70 %[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[20 % ; 50 %[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&lt; 20 %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540"/>
            <w:shd w:val="clear" w:fill="0F3D63"/>
          </w:tcPr>
          <w:p>
            <w:pPr>
              <w:spacing w:after="40" w:before="40"/>
            </w:pPr>
            <w:r>
              <w:rPr>
                <w:color w:val="FFFFFF"/>
                <w:sz w:val="17"/>
              </w:rPr>
            </w:r>
            <w:r>
              <w:rPr>
                <w:b/>
                <w:color w:val="FFFFFF"/>
                <w:sz w:val="17"/>
              </w:rPr>
              <w:t>Code</w:t>
            </w:r>
          </w:p>
        </w:tc>
        <w:tc>
          <w:tcPr>
            <w:tcW w:type="dxa" w:w="6601"/>
            <w:shd w:val="clear" w:fill="0F3D63"/>
          </w:tcPr>
          <w:p>
            <w:pPr>
              <w:spacing w:after="40" w:before="40"/>
            </w:pPr>
            <w:r>
              <w:rPr>
                <w:color w:val="FFFFFF"/>
                <w:sz w:val="17"/>
              </w:rPr>
            </w:r>
            <w:r>
              <w:rPr>
                <w:b/>
                <w:color w:val="FFFFFF"/>
                <w:sz w:val="17"/>
              </w:rPr>
              <w:t>Cas</w:t>
            </w:r>
          </w:p>
        </w:tc>
        <w:tc>
          <w:tcPr>
            <w:tcW w:type="dxa" w:w="1320"/>
            <w:shd w:val="clear" w:fill="0F3D63"/>
          </w:tcPr>
          <w:p>
            <w:pPr>
              <w:spacing w:after="40" w:before="40"/>
            </w:pPr>
            <w:r>
              <w:rPr>
                <w:color w:val="FFFFFF"/>
                <w:sz w:val="17"/>
              </w:rPr>
            </w:r>
            <w:r>
              <w:rPr>
                <w:b/>
                <w:color w:val="FFFFFF"/>
                <w:sz w:val="17"/>
              </w:rPr>
              <w:t>Score imposé</w:t>
            </w:r>
          </w:p>
        </w:tc>
      </w:tr>
      <w:tr>
        <w:tc>
          <w:tcPr>
            <w:tcW w:type="dxa" w:w="1540"/>
          </w:tcPr>
          <w:p>
            <w:pPr>
              <w:spacing w:after="40" w:before="40"/>
            </w:pPr>
            <w:r>
              <w:rPr>
                <w:sz w:val="17"/>
              </w:rPr>
            </w:r>
            <w:r>
              <w:rPr>
                <w:rFonts w:ascii="Consolas" w:hAnsi="Consolas"/>
                <w:color w:val="8A2B2B"/>
                <w:sz w:val="17"/>
              </w:rPr>
              <w:t>EBITDA_LTE_0</w:t>
            </w:r>
          </w:p>
        </w:tc>
        <w:tc>
          <w:tcPr>
            <w:tcW w:type="dxa" w:w="6601"/>
          </w:tcPr>
          <w:p>
            <w:pPr>
              <w:spacing w:after="40" w:before="40"/>
            </w:pPr>
            <w:r>
              <w:rPr>
                <w:sz w:val="17"/>
              </w:rPr>
            </w:r>
            <w:r>
              <w:rPr>
                <w:sz w:val="17"/>
              </w:rPr>
              <w:t>EBITDA nul ou négatif : la conversion en trésorerie n'est pas mesurable</w:t>
            </w:r>
          </w:p>
        </w:tc>
        <w:tc>
          <w:tcPr>
            <w:tcW w:type="dxa" w:w="1320"/>
          </w:tcPr>
          <w:p>
            <w:pPr>
              <w:spacing w:after="40" w:before="40"/>
            </w:pPr>
            <w:r>
              <w:rPr>
                <w:sz w:val="17"/>
              </w:rPr>
            </w:r>
            <w:r>
              <w:rPr>
                <w:sz w:val="17"/>
              </w:rPr>
              <w:t>0</w:t>
            </w:r>
          </w:p>
        </w:tc>
      </w:tr>
    </w:tbl>
    <w:p>
      <w:pPr>
        <w:spacing w:after="80"/>
      </w:pPr>
    </w:p>
    <w:p>
      <w:pPr>
        <w:pStyle w:val="Heading3"/>
      </w:pPr>
      <w:r>
        <w:t>D2 — Capacité de remboursement et stress</w:t>
      </w:r>
    </w:p>
    <w:p>
      <w:pPr>
        <w:pStyle w:val="Heading4"/>
      </w:pPr>
      <w:r>
        <w:t>D2.1 — Couverture des intérêts</w:t>
      </w:r>
    </w:p>
    <w:p>
      <w:r>
        <w:t>EBITDA ajusté / charges financières cash ajustées. Holding : cash-flow récurrent disponible / intérêts.</w:t>
      </w:r>
    </w:p>
    <w:p>
      <w:r>
        <w:rPr>
          <w:b/>
        </w:rPr>
        <w:t>Poids :</w:t>
      </w:r>
      <w:r>
        <w:t xml:space="preserve"> TPE 1.50 % · PME 2.00 % · GE 3.00 %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274"/>
            <w:shd w:val="clear" w:fill="0F3D63"/>
          </w:tcPr>
          <w:p>
            <w:pPr>
              <w:spacing w:after="40" w:before="40"/>
            </w:pPr>
            <w:r>
              <w:rPr>
                <w:color w:val="FFFFFF"/>
                <w:sz w:val="17"/>
              </w:rPr>
            </w:r>
            <w:r>
              <w:rPr>
                <w:b/>
                <w:color w:val="FFFFFF"/>
                <w:sz w:val="17"/>
              </w:rPr>
              <w:t>Segment</w:t>
            </w:r>
          </w:p>
        </w:tc>
        <w:tc>
          <w:tcPr>
            <w:tcW w:type="dxa" w:w="1092"/>
            <w:shd w:val="clear" w:fill="0F3D63"/>
          </w:tcPr>
          <w:p>
            <w:pPr>
              <w:spacing w:after="40" w:before="40"/>
            </w:pPr>
            <w:r>
              <w:rPr>
                <w:color w:val="FFFFFF"/>
                <w:sz w:val="17"/>
              </w:rPr>
            </w:r>
            <w:r>
              <w:rPr>
                <w:b/>
                <w:color w:val="FFFFFF"/>
                <w:sz w:val="17"/>
              </w:rPr>
              <w:t>100</w:t>
            </w:r>
          </w:p>
        </w:tc>
        <w:tc>
          <w:tcPr>
            <w:tcW w:type="dxa" w:w="1637"/>
            <w:shd w:val="clear" w:fill="0F3D63"/>
          </w:tcPr>
          <w:p>
            <w:pPr>
              <w:spacing w:after="40" w:before="40"/>
            </w:pPr>
            <w:r>
              <w:rPr>
                <w:color w:val="FFFFFF"/>
                <w:sz w:val="17"/>
              </w:rPr>
            </w:r>
            <w:r>
              <w:rPr>
                <w:b/>
                <w:color w:val="FFFFFF"/>
                <w:sz w:val="17"/>
              </w:rPr>
              <w:t>75</w:t>
            </w:r>
          </w:p>
        </w:tc>
        <w:tc>
          <w:tcPr>
            <w:tcW w:type="dxa" w:w="2001"/>
            <w:shd w:val="clear" w:fill="0F3D63"/>
          </w:tcPr>
          <w:p>
            <w:pPr>
              <w:spacing w:after="40" w:before="40"/>
            </w:pPr>
            <w:r>
              <w:rPr>
                <w:color w:val="FFFFFF"/>
                <w:sz w:val="17"/>
              </w:rPr>
            </w:r>
            <w:r>
              <w:rPr>
                <w:b/>
                <w:color w:val="FFFFFF"/>
                <w:sz w:val="17"/>
              </w:rPr>
              <w:t>50</w:t>
            </w:r>
          </w:p>
        </w:tc>
        <w:tc>
          <w:tcPr>
            <w:tcW w:type="dxa" w:w="2365"/>
            <w:shd w:val="clear" w:fill="0F3D63"/>
          </w:tcPr>
          <w:p>
            <w:pPr>
              <w:spacing w:after="40" w:before="40"/>
            </w:pPr>
            <w:r>
              <w:rPr>
                <w:color w:val="FFFFFF"/>
                <w:sz w:val="17"/>
              </w:rPr>
            </w:r>
            <w:r>
              <w:rPr>
                <w:b/>
                <w:color w:val="FFFFFF"/>
                <w:sz w:val="17"/>
              </w:rPr>
              <w:t>25</w:t>
            </w:r>
          </w:p>
        </w:tc>
        <w:tc>
          <w:tcPr>
            <w:tcW w:type="dxa" w:w="1092"/>
            <w:shd w:val="clear" w:fill="0F3D63"/>
          </w:tcPr>
          <w:p>
            <w:pPr>
              <w:spacing w:after="40" w:before="40"/>
            </w:pPr>
            <w:r>
              <w:rPr>
                <w:color w:val="FFFFFF"/>
                <w:sz w:val="17"/>
              </w:rPr>
            </w:r>
            <w:r>
              <w:rPr>
                <w:b/>
                <w:color w:val="FFFFFF"/>
                <w:sz w:val="17"/>
              </w:rPr>
              <w:t>0</w:t>
            </w:r>
          </w:p>
        </w:tc>
      </w:tr>
      <w:tr>
        <w:tc>
          <w:tcPr>
            <w:tcW w:type="dxa" w:w="1274"/>
          </w:tcPr>
          <w:p>
            <w:pPr>
              <w:spacing w:after="40" w:before="40"/>
            </w:pPr>
            <w:r>
              <w:rPr>
                <w:sz w:val="17"/>
              </w:rPr>
            </w:r>
            <w:r>
              <w:rPr>
                <w:sz w:val="17"/>
              </w:rPr>
              <w:t>TPE</w:t>
            </w:r>
          </w:p>
        </w:tc>
        <w:tc>
          <w:tcPr>
            <w:tcW w:type="dxa" w:w="1092"/>
          </w:tcPr>
          <w:p>
            <w:pPr>
              <w:spacing w:after="40" w:before="40"/>
            </w:pPr>
            <w:r>
              <w:rPr>
                <w:sz w:val="17"/>
              </w:rPr>
            </w:r>
            <w:r>
              <w:rPr>
                <w:sz w:val="17"/>
              </w:rPr>
              <w:t>≥ 5x</w:t>
            </w:r>
          </w:p>
        </w:tc>
        <w:tc>
          <w:tcPr>
            <w:tcW w:type="dxa" w:w="1637"/>
          </w:tcPr>
          <w:p>
            <w:pPr>
              <w:spacing w:after="40" w:before="40"/>
            </w:pPr>
            <w:r>
              <w:rPr>
                <w:sz w:val="17"/>
              </w:rPr>
            </w:r>
            <w:r>
              <w:rPr>
                <w:sz w:val="17"/>
              </w:rPr>
              <w:t>[3x ; 5x[</w:t>
            </w:r>
          </w:p>
        </w:tc>
        <w:tc>
          <w:tcPr>
            <w:tcW w:type="dxa" w:w="2001"/>
          </w:tcPr>
          <w:p>
            <w:pPr>
              <w:spacing w:after="40" w:before="40"/>
            </w:pPr>
            <w:r>
              <w:rPr>
                <w:sz w:val="17"/>
              </w:rPr>
            </w:r>
            <w:r>
              <w:rPr>
                <w:sz w:val="17"/>
              </w:rPr>
              <w:t>[2x ; 3x[</w:t>
            </w:r>
          </w:p>
        </w:tc>
        <w:tc>
          <w:tcPr>
            <w:tcW w:type="dxa" w:w="2365"/>
          </w:tcPr>
          <w:p>
            <w:pPr>
              <w:spacing w:after="40" w:before="40"/>
            </w:pPr>
            <w:r>
              <w:rPr>
                <w:sz w:val="17"/>
              </w:rPr>
            </w:r>
            <w:r>
              <w:rPr>
                <w:sz w:val="17"/>
              </w:rPr>
              <w:t>[1x ; 2x[</w:t>
            </w:r>
          </w:p>
        </w:tc>
        <w:tc>
          <w:tcPr>
            <w:tcW w:type="dxa" w:w="1092"/>
          </w:tcPr>
          <w:p>
            <w:pPr>
              <w:spacing w:after="40" w:before="40"/>
            </w:pPr>
            <w:r>
              <w:rPr>
                <w:sz w:val="17"/>
              </w:rPr>
            </w:r>
            <w:r>
              <w:rPr>
                <w:sz w:val="17"/>
              </w:rPr>
              <w:t>&lt; 1x</w:t>
            </w:r>
          </w:p>
        </w:tc>
      </w:tr>
      <w:tr>
        <w:tc>
          <w:tcPr>
            <w:tcW w:type="dxa" w:w="1274"/>
            <w:shd w:val="clear" w:fill="F2F5F8"/>
          </w:tcPr>
          <w:p>
            <w:pPr>
              <w:spacing w:after="40" w:before="40"/>
            </w:pPr>
            <w:r>
              <w:rPr>
                <w:sz w:val="17"/>
              </w:rPr>
            </w:r>
            <w:r>
              <w:rPr>
                <w:sz w:val="17"/>
              </w:rPr>
              <w:t>PME</w:t>
            </w:r>
          </w:p>
        </w:tc>
        <w:tc>
          <w:tcPr>
            <w:tcW w:type="dxa" w:w="1092"/>
            <w:shd w:val="clear" w:fill="F2F5F8"/>
          </w:tcPr>
          <w:p>
            <w:pPr>
              <w:spacing w:after="40" w:before="40"/>
            </w:pPr>
            <w:r>
              <w:rPr>
                <w:sz w:val="17"/>
              </w:rPr>
            </w:r>
            <w:r>
              <w:rPr>
                <w:sz w:val="17"/>
              </w:rPr>
              <w:t>≥ 5x</w:t>
            </w:r>
          </w:p>
        </w:tc>
        <w:tc>
          <w:tcPr>
            <w:tcW w:type="dxa" w:w="1637"/>
            <w:shd w:val="clear" w:fill="F2F5F8"/>
          </w:tcPr>
          <w:p>
            <w:pPr>
              <w:spacing w:after="40" w:before="40"/>
            </w:pPr>
            <w:r>
              <w:rPr>
                <w:sz w:val="17"/>
              </w:rPr>
            </w:r>
            <w:r>
              <w:rPr>
                <w:sz w:val="17"/>
              </w:rPr>
              <w:t>[3x ; 5x[</w:t>
            </w:r>
          </w:p>
        </w:tc>
        <w:tc>
          <w:tcPr>
            <w:tcW w:type="dxa" w:w="2001"/>
            <w:shd w:val="clear" w:fill="F2F5F8"/>
          </w:tcPr>
          <w:p>
            <w:pPr>
              <w:spacing w:after="40" w:before="40"/>
            </w:pPr>
            <w:r>
              <w:rPr>
                <w:sz w:val="17"/>
              </w:rPr>
            </w:r>
            <w:r>
              <w:rPr>
                <w:sz w:val="17"/>
              </w:rPr>
              <w:t>[2x ; 3x[</w:t>
            </w:r>
          </w:p>
        </w:tc>
        <w:tc>
          <w:tcPr>
            <w:tcW w:type="dxa" w:w="2365"/>
            <w:shd w:val="clear" w:fill="F2F5F8"/>
          </w:tcPr>
          <w:p>
            <w:pPr>
              <w:spacing w:after="40" w:before="40"/>
            </w:pPr>
            <w:r>
              <w:rPr>
                <w:sz w:val="17"/>
              </w:rPr>
            </w:r>
            <w:r>
              <w:rPr>
                <w:sz w:val="17"/>
              </w:rPr>
              <w:t>[1.2x ; 2x[</w:t>
            </w:r>
          </w:p>
        </w:tc>
        <w:tc>
          <w:tcPr>
            <w:tcW w:type="dxa" w:w="1092"/>
            <w:shd w:val="clear" w:fill="F2F5F8"/>
          </w:tcPr>
          <w:p>
            <w:pPr>
              <w:spacing w:after="40" w:before="40"/>
            </w:pPr>
            <w:r>
              <w:rPr>
                <w:sz w:val="17"/>
              </w:rPr>
            </w:r>
            <w:r>
              <w:rPr>
                <w:sz w:val="17"/>
              </w:rPr>
              <w:t>&lt; 1.2x</w:t>
            </w:r>
          </w:p>
        </w:tc>
      </w:tr>
      <w:tr>
        <w:tc>
          <w:tcPr>
            <w:tcW w:type="dxa" w:w="1274"/>
          </w:tcPr>
          <w:p>
            <w:pPr>
              <w:spacing w:after="40" w:before="40"/>
            </w:pPr>
            <w:r>
              <w:rPr>
                <w:sz w:val="17"/>
              </w:rPr>
            </w:r>
            <w:r>
              <w:rPr>
                <w:sz w:val="17"/>
              </w:rPr>
              <w:t>GE</w:t>
            </w:r>
          </w:p>
        </w:tc>
        <w:tc>
          <w:tcPr>
            <w:tcW w:type="dxa" w:w="1092"/>
          </w:tcPr>
          <w:p>
            <w:pPr>
              <w:spacing w:after="40" w:before="40"/>
            </w:pPr>
            <w:r>
              <w:rPr>
                <w:sz w:val="17"/>
              </w:rPr>
            </w:r>
            <w:r>
              <w:rPr>
                <w:sz w:val="17"/>
              </w:rPr>
              <w:t>≥ 6x</w:t>
            </w:r>
          </w:p>
        </w:tc>
        <w:tc>
          <w:tcPr>
            <w:tcW w:type="dxa" w:w="1637"/>
          </w:tcPr>
          <w:p>
            <w:pPr>
              <w:spacing w:after="40" w:before="40"/>
            </w:pPr>
            <w:r>
              <w:rPr>
                <w:sz w:val="17"/>
              </w:rPr>
            </w:r>
            <w:r>
              <w:rPr>
                <w:sz w:val="17"/>
              </w:rPr>
              <w:t>[4x ; 6x[</w:t>
            </w:r>
          </w:p>
        </w:tc>
        <w:tc>
          <w:tcPr>
            <w:tcW w:type="dxa" w:w="2001"/>
          </w:tcPr>
          <w:p>
            <w:pPr>
              <w:spacing w:after="40" w:before="40"/>
            </w:pPr>
            <w:r>
              <w:rPr>
                <w:sz w:val="17"/>
              </w:rPr>
            </w:r>
            <w:r>
              <w:rPr>
                <w:sz w:val="17"/>
              </w:rPr>
              <w:t>[2.5x ; 4x[</w:t>
            </w:r>
          </w:p>
        </w:tc>
        <w:tc>
          <w:tcPr>
            <w:tcW w:type="dxa" w:w="2365"/>
          </w:tcPr>
          <w:p>
            <w:pPr>
              <w:spacing w:after="40" w:before="40"/>
            </w:pPr>
            <w:r>
              <w:rPr>
                <w:sz w:val="17"/>
              </w:rPr>
            </w:r>
            <w:r>
              <w:rPr>
                <w:sz w:val="17"/>
              </w:rPr>
              <w:t>[1.5x ; 2.5x[</w:t>
            </w:r>
          </w:p>
        </w:tc>
        <w:tc>
          <w:tcPr>
            <w:tcW w:type="dxa" w:w="1092"/>
          </w:tcPr>
          <w:p>
            <w:pPr>
              <w:spacing w:after="40" w:before="40"/>
            </w:pPr>
            <w:r>
              <w:rPr>
                <w:sz w:val="17"/>
              </w:rPr>
            </w:r>
            <w:r>
              <w:rPr>
                <w:sz w:val="17"/>
              </w:rPr>
              <w:t>&lt; 1.5x</w:t>
            </w:r>
          </w:p>
        </w:tc>
      </w:tr>
    </w:tbl>
    <w:p>
      <w:pPr>
        <w:spacing w:after="80"/>
      </w:pPr>
    </w:p>
    <w:p>
      <w:pPr>
        <w:pStyle w:val="Heading4"/>
      </w:pPr>
      <w:r>
        <w:t>D2.2 — DSCR / couverture du service de la dette</w:t>
      </w:r>
    </w:p>
    <w:p>
      <w:r>
        <w:t>CFADS / (intérêts + principal exigibles), service de dette complet y compris leasing et dette assimilée. Revolving sans amortissement : convention de conversion documentée.</w:t>
      </w:r>
    </w:p>
    <w:p>
      <w:r>
        <w:rPr>
          <w:b/>
        </w:rPr>
        <w:t>Poids :</w:t>
      </w:r>
      <w:r>
        <w:t xml:space="preserve"> TPE 3.00 % · PME 4.00 % · GE 5.00 %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104"/>
            <w:shd w:val="clear" w:fill="0F3D63"/>
          </w:tcPr>
          <w:p>
            <w:pPr>
              <w:spacing w:after="40" w:before="40"/>
            </w:pPr>
            <w:r>
              <w:rPr>
                <w:color w:val="FFFFFF"/>
                <w:sz w:val="17"/>
              </w:rPr>
            </w:r>
            <w:r>
              <w:rPr>
                <w:b/>
                <w:color w:val="FFFFFF"/>
                <w:sz w:val="17"/>
              </w:rPr>
              <w:t>Segment</w:t>
            </w:r>
          </w:p>
        </w:tc>
        <w:tc>
          <w:tcPr>
            <w:tcW w:type="dxa" w:w="1104"/>
            <w:shd w:val="clear" w:fill="0F3D63"/>
          </w:tcPr>
          <w:p>
            <w:pPr>
              <w:spacing w:after="40" w:before="40"/>
            </w:pPr>
            <w:r>
              <w:rPr>
                <w:color w:val="FFFFFF"/>
                <w:sz w:val="17"/>
              </w:rPr>
            </w:r>
            <w:r>
              <w:rPr>
                <w:b/>
                <w:color w:val="FFFFFF"/>
                <w:sz w:val="17"/>
              </w:rPr>
              <w:t>100</w:t>
            </w:r>
          </w:p>
        </w:tc>
        <w:tc>
          <w:tcPr>
            <w:tcW w:type="dxa" w:w="2208"/>
            <w:shd w:val="clear" w:fill="0F3D63"/>
          </w:tcPr>
          <w:p>
            <w:pPr>
              <w:spacing w:after="40" w:before="40"/>
            </w:pPr>
            <w:r>
              <w:rPr>
                <w:color w:val="FFFFFF"/>
                <w:sz w:val="17"/>
              </w:rPr>
            </w:r>
            <w:r>
              <w:rPr>
                <w:b/>
                <w:color w:val="FFFFFF"/>
                <w:sz w:val="17"/>
              </w:rPr>
              <w:t>75</w:t>
            </w:r>
          </w:p>
        </w:tc>
        <w:tc>
          <w:tcPr>
            <w:tcW w:type="dxa" w:w="2208"/>
            <w:shd w:val="clear" w:fill="0F3D63"/>
          </w:tcPr>
          <w:p>
            <w:pPr>
              <w:spacing w:after="40" w:before="40"/>
            </w:pPr>
            <w:r>
              <w:rPr>
                <w:color w:val="FFFFFF"/>
                <w:sz w:val="17"/>
              </w:rPr>
            </w:r>
            <w:r>
              <w:rPr>
                <w:b/>
                <w:color w:val="FFFFFF"/>
                <w:sz w:val="17"/>
              </w:rPr>
              <w:t>50</w:t>
            </w:r>
          </w:p>
        </w:tc>
        <w:tc>
          <w:tcPr>
            <w:tcW w:type="dxa" w:w="1892"/>
            <w:shd w:val="clear" w:fill="0F3D63"/>
          </w:tcPr>
          <w:p>
            <w:pPr>
              <w:spacing w:after="40" w:before="40"/>
            </w:pPr>
            <w:r>
              <w:rPr>
                <w:color w:val="FFFFFF"/>
                <w:sz w:val="17"/>
              </w:rPr>
            </w:r>
            <w:r>
              <w:rPr>
                <w:b/>
                <w:color w:val="FFFFFF"/>
                <w:sz w:val="17"/>
              </w:rPr>
              <w:t>25</w:t>
            </w:r>
          </w:p>
        </w:tc>
        <w:tc>
          <w:tcPr>
            <w:tcW w:type="dxa" w:w="946"/>
            <w:shd w:val="clear" w:fill="0F3D63"/>
          </w:tcPr>
          <w:p>
            <w:pPr>
              <w:spacing w:after="40" w:before="40"/>
            </w:pPr>
            <w:r>
              <w:rPr>
                <w:color w:val="FFFFFF"/>
                <w:sz w:val="17"/>
              </w:rPr>
            </w:r>
            <w:r>
              <w:rPr>
                <w:b/>
                <w:color w:val="FFFFFF"/>
                <w:sz w:val="17"/>
              </w:rPr>
              <w:t>0</w:t>
            </w:r>
          </w:p>
        </w:tc>
      </w:tr>
      <w:tr>
        <w:tc>
          <w:tcPr>
            <w:tcW w:type="dxa" w:w="1104"/>
          </w:tcPr>
          <w:p>
            <w:pPr>
              <w:spacing w:after="40" w:before="40"/>
            </w:pPr>
            <w:r>
              <w:rPr>
                <w:sz w:val="17"/>
              </w:rPr>
            </w:r>
            <w:r>
              <w:rPr>
                <w:sz w:val="17"/>
              </w:rPr>
              <w:t>TPE</w:t>
            </w:r>
          </w:p>
        </w:tc>
        <w:tc>
          <w:tcPr>
            <w:tcW w:type="dxa" w:w="1104"/>
          </w:tcPr>
          <w:p>
            <w:pPr>
              <w:spacing w:after="40" w:before="40"/>
            </w:pPr>
            <w:r>
              <w:rPr>
                <w:sz w:val="17"/>
              </w:rPr>
            </w:r>
            <w:r>
              <w:rPr>
                <w:sz w:val="17"/>
              </w:rPr>
              <w:t>≥ 1.5x</w:t>
            </w:r>
          </w:p>
        </w:tc>
        <w:tc>
          <w:tcPr>
            <w:tcW w:type="dxa" w:w="2208"/>
          </w:tcPr>
          <w:p>
            <w:pPr>
              <w:spacing w:after="40" w:before="40"/>
            </w:pPr>
            <w:r>
              <w:rPr>
                <w:sz w:val="17"/>
              </w:rPr>
            </w:r>
            <w:r>
              <w:rPr>
                <w:sz w:val="17"/>
              </w:rPr>
              <w:t>[1.3x ; 1.5x[</w:t>
            </w:r>
          </w:p>
        </w:tc>
        <w:tc>
          <w:tcPr>
            <w:tcW w:type="dxa" w:w="2208"/>
          </w:tcPr>
          <w:p>
            <w:pPr>
              <w:spacing w:after="40" w:before="40"/>
            </w:pPr>
            <w:r>
              <w:rPr>
                <w:sz w:val="17"/>
              </w:rPr>
            </w:r>
            <w:r>
              <w:rPr>
                <w:sz w:val="17"/>
              </w:rPr>
              <w:t>[1.15x ; 1.3x[</w:t>
            </w:r>
          </w:p>
        </w:tc>
        <w:tc>
          <w:tcPr>
            <w:tcW w:type="dxa" w:w="1892"/>
          </w:tcPr>
          <w:p>
            <w:pPr>
              <w:spacing w:after="40" w:before="40"/>
            </w:pPr>
            <w:r>
              <w:rPr>
                <w:sz w:val="17"/>
              </w:rPr>
            </w:r>
            <w:r>
              <w:rPr>
                <w:sz w:val="17"/>
              </w:rPr>
              <w:t>[1x ; 1.15x[</w:t>
            </w:r>
          </w:p>
        </w:tc>
        <w:tc>
          <w:tcPr>
            <w:tcW w:type="dxa" w:w="946"/>
          </w:tcPr>
          <w:p>
            <w:pPr>
              <w:spacing w:after="40" w:before="40"/>
            </w:pPr>
            <w:r>
              <w:rPr>
                <w:sz w:val="17"/>
              </w:rPr>
            </w:r>
            <w:r>
              <w:rPr>
                <w:sz w:val="17"/>
              </w:rPr>
              <w:t>&lt; 1x</w:t>
            </w:r>
          </w:p>
        </w:tc>
      </w:tr>
      <w:tr>
        <w:tc>
          <w:tcPr>
            <w:tcW w:type="dxa" w:w="1104"/>
            <w:shd w:val="clear" w:fill="F2F5F8"/>
          </w:tcPr>
          <w:p>
            <w:pPr>
              <w:spacing w:after="40" w:before="40"/>
            </w:pPr>
            <w:r>
              <w:rPr>
                <w:sz w:val="17"/>
              </w:rPr>
            </w:r>
            <w:r>
              <w:rPr>
                <w:sz w:val="17"/>
              </w:rPr>
              <w:t>PME</w:t>
            </w:r>
          </w:p>
        </w:tc>
        <w:tc>
          <w:tcPr>
            <w:tcW w:type="dxa" w:w="1104"/>
            <w:shd w:val="clear" w:fill="F2F5F8"/>
          </w:tcPr>
          <w:p>
            <w:pPr>
              <w:spacing w:after="40" w:before="40"/>
            </w:pPr>
            <w:r>
              <w:rPr>
                <w:sz w:val="17"/>
              </w:rPr>
            </w:r>
            <w:r>
              <w:rPr>
                <w:sz w:val="17"/>
              </w:rPr>
              <w:t>≥ 1.6x</w:t>
            </w:r>
          </w:p>
        </w:tc>
        <w:tc>
          <w:tcPr>
            <w:tcW w:type="dxa" w:w="2208"/>
            <w:shd w:val="clear" w:fill="F2F5F8"/>
          </w:tcPr>
          <w:p>
            <w:pPr>
              <w:spacing w:after="40" w:before="40"/>
            </w:pPr>
            <w:r>
              <w:rPr>
                <w:sz w:val="17"/>
              </w:rPr>
            </w:r>
            <w:r>
              <w:rPr>
                <w:sz w:val="17"/>
              </w:rPr>
              <w:t>[1.35x ; 1.6x[</w:t>
            </w:r>
          </w:p>
        </w:tc>
        <w:tc>
          <w:tcPr>
            <w:tcW w:type="dxa" w:w="2208"/>
            <w:shd w:val="clear" w:fill="F2F5F8"/>
          </w:tcPr>
          <w:p>
            <w:pPr>
              <w:spacing w:after="40" w:before="40"/>
            </w:pPr>
            <w:r>
              <w:rPr>
                <w:sz w:val="17"/>
              </w:rPr>
            </w:r>
            <w:r>
              <w:rPr>
                <w:sz w:val="17"/>
              </w:rPr>
              <w:t>[1.2x ; 1.35x[</w:t>
            </w:r>
          </w:p>
        </w:tc>
        <w:tc>
          <w:tcPr>
            <w:tcW w:type="dxa" w:w="1892"/>
            <w:shd w:val="clear" w:fill="F2F5F8"/>
          </w:tcPr>
          <w:p>
            <w:pPr>
              <w:spacing w:after="40" w:before="40"/>
            </w:pPr>
            <w:r>
              <w:rPr>
                <w:sz w:val="17"/>
              </w:rPr>
            </w:r>
            <w:r>
              <w:rPr>
                <w:sz w:val="17"/>
              </w:rPr>
              <w:t>[1x ; 1.2x[</w:t>
            </w:r>
          </w:p>
        </w:tc>
        <w:tc>
          <w:tcPr>
            <w:tcW w:type="dxa" w:w="946"/>
            <w:shd w:val="clear" w:fill="F2F5F8"/>
          </w:tcPr>
          <w:p>
            <w:pPr>
              <w:spacing w:after="40" w:before="40"/>
            </w:pPr>
            <w:r>
              <w:rPr>
                <w:sz w:val="17"/>
              </w:rPr>
            </w:r>
            <w:r>
              <w:rPr>
                <w:sz w:val="17"/>
              </w:rPr>
              <w:t>&lt; 1x</w:t>
            </w:r>
          </w:p>
        </w:tc>
      </w:tr>
      <w:tr>
        <w:tc>
          <w:tcPr>
            <w:tcW w:type="dxa" w:w="1104"/>
          </w:tcPr>
          <w:p>
            <w:pPr>
              <w:spacing w:after="40" w:before="40"/>
            </w:pPr>
            <w:r>
              <w:rPr>
                <w:sz w:val="17"/>
              </w:rPr>
            </w:r>
            <w:r>
              <w:rPr>
                <w:sz w:val="17"/>
              </w:rPr>
              <w:t>GE</w:t>
            </w:r>
          </w:p>
        </w:tc>
        <w:tc>
          <w:tcPr>
            <w:tcW w:type="dxa" w:w="1104"/>
          </w:tcPr>
          <w:p>
            <w:pPr>
              <w:spacing w:after="40" w:before="40"/>
            </w:pPr>
            <w:r>
              <w:rPr>
                <w:sz w:val="17"/>
              </w:rPr>
            </w:r>
            <w:r>
              <w:rPr>
                <w:sz w:val="17"/>
              </w:rPr>
              <w:t>≥ 1.75x</w:t>
            </w:r>
          </w:p>
        </w:tc>
        <w:tc>
          <w:tcPr>
            <w:tcW w:type="dxa" w:w="2208"/>
          </w:tcPr>
          <w:p>
            <w:pPr>
              <w:spacing w:after="40" w:before="40"/>
            </w:pPr>
            <w:r>
              <w:rPr>
                <w:sz w:val="17"/>
              </w:rPr>
            </w:r>
            <w:r>
              <w:rPr>
                <w:sz w:val="17"/>
              </w:rPr>
              <w:t>[1.4x ; 1.75x[</w:t>
            </w:r>
          </w:p>
        </w:tc>
        <w:tc>
          <w:tcPr>
            <w:tcW w:type="dxa" w:w="2208"/>
          </w:tcPr>
          <w:p>
            <w:pPr>
              <w:spacing w:after="40" w:before="40"/>
            </w:pPr>
            <w:r>
              <w:rPr>
                <w:sz w:val="17"/>
              </w:rPr>
            </w:r>
            <w:r>
              <w:rPr>
                <w:sz w:val="17"/>
              </w:rPr>
              <w:t>[1.2x ; 1.4x[</w:t>
            </w:r>
          </w:p>
        </w:tc>
        <w:tc>
          <w:tcPr>
            <w:tcW w:type="dxa" w:w="1892"/>
          </w:tcPr>
          <w:p>
            <w:pPr>
              <w:spacing w:after="40" w:before="40"/>
            </w:pPr>
            <w:r>
              <w:rPr>
                <w:sz w:val="17"/>
              </w:rPr>
            </w:r>
            <w:r>
              <w:rPr>
                <w:sz w:val="17"/>
              </w:rPr>
              <w:t>[1x ; 1.2x[</w:t>
            </w:r>
          </w:p>
        </w:tc>
        <w:tc>
          <w:tcPr>
            <w:tcW w:type="dxa" w:w="946"/>
          </w:tcPr>
          <w:p>
            <w:pPr>
              <w:spacing w:after="40" w:before="40"/>
            </w:pPr>
            <w:r>
              <w:rPr>
                <w:sz w:val="17"/>
              </w:rPr>
            </w:r>
            <w:r>
              <w:rPr>
                <w:sz w:val="17"/>
              </w:rPr>
              <w:t>&lt; 1x</w:t>
            </w:r>
          </w:p>
        </w:tc>
      </w:tr>
    </w:tbl>
    <w:p>
      <w:pPr>
        <w:spacing w:after="80"/>
      </w:pPr>
    </w:p>
    <w:p>
      <w:r>
        <w:rPr>
          <w:b/>
        </w:rPr>
        <w:t>Justificatifs requis :</w:t>
      </w:r>
      <w:r>
        <w:t xml:space="preserve"> Échéancier complet de la dette ; CFADS et retraitements.</w:t>
      </w:r>
    </w:p>
    <w:p>
      <w:pPr>
        <w:pStyle w:val="Heading4"/>
      </w:pPr>
      <w:r>
        <w:t>D2.3 — Free cash-flow / dette financière</w:t>
      </w:r>
    </w:p>
    <w:p>
      <w:r>
        <w:t>FCF récurrent / dette financière brute moyenne, en %. Un ratio élevé dû à des capex de maintien artificiellement faibles doit être retraité.</w:t>
      </w:r>
    </w:p>
    <w:p>
      <w:r>
        <w:rPr>
          <w:b/>
        </w:rPr>
        <w:t>Poids :</w:t>
      </w:r>
      <w:r>
        <w:t xml:space="preserve"> TPE 1.00 % · PME 2.00 % · GE 3.00 %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20 %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[12 % ; 20 %[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[5 % ; 12 %[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[0 % ; 5 %[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&lt; 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580"/>
            <w:shd w:val="clear" w:fill="0F3D63"/>
          </w:tcPr>
          <w:p>
            <w:pPr>
              <w:spacing w:after="40" w:before="40"/>
            </w:pPr>
            <w:r>
              <w:rPr>
                <w:color w:val="FFFFFF"/>
                <w:sz w:val="17"/>
              </w:rPr>
            </w:r>
            <w:r>
              <w:rPr>
                <w:b/>
                <w:color w:val="FFFFFF"/>
                <w:sz w:val="17"/>
              </w:rPr>
              <w:t>Code</w:t>
            </w:r>
          </w:p>
        </w:tc>
        <w:tc>
          <w:tcPr>
            <w:tcW w:type="dxa" w:w="5406"/>
            <w:shd w:val="clear" w:fill="0F3D63"/>
          </w:tcPr>
          <w:p>
            <w:pPr>
              <w:spacing w:after="40" w:before="40"/>
            </w:pPr>
            <w:r>
              <w:rPr>
                <w:color w:val="FFFFFF"/>
                <w:sz w:val="17"/>
              </w:rPr>
            </w:r>
            <w:r>
              <w:rPr>
                <w:b/>
                <w:color w:val="FFFFFF"/>
                <w:sz w:val="17"/>
              </w:rPr>
              <w:t>Cas</w:t>
            </w:r>
          </w:p>
        </w:tc>
        <w:tc>
          <w:tcPr>
            <w:tcW w:type="dxa" w:w="1474"/>
            <w:shd w:val="clear" w:fill="0F3D63"/>
          </w:tcPr>
          <w:p>
            <w:pPr>
              <w:spacing w:after="40" w:before="40"/>
            </w:pPr>
            <w:r>
              <w:rPr>
                <w:color w:val="FFFFFF"/>
                <w:sz w:val="17"/>
              </w:rPr>
            </w:r>
            <w:r>
              <w:rPr>
                <w:b/>
                <w:color w:val="FFFFFF"/>
                <w:sz w:val="17"/>
              </w:rPr>
              <w:t>Score imposé</w:t>
            </w:r>
          </w:p>
        </w:tc>
      </w:tr>
      <w:tr>
        <w:tc>
          <w:tcPr>
            <w:tcW w:type="dxa" w:w="2580"/>
          </w:tcPr>
          <w:p>
            <w:pPr>
              <w:spacing w:after="40" w:before="40"/>
            </w:pPr>
            <w:r>
              <w:rPr>
                <w:sz w:val="17"/>
              </w:rPr>
            </w:r>
            <w:r>
              <w:rPr>
                <w:rFonts w:ascii="Consolas" w:hAnsi="Consolas"/>
                <w:color w:val="8A2B2B"/>
                <w:sz w:val="17"/>
              </w:rPr>
              <w:t>FCF_NEGATIVE_2_OF_3</w:t>
            </w:r>
          </w:p>
        </w:tc>
        <w:tc>
          <w:tcPr>
            <w:tcW w:type="dxa" w:w="5406"/>
          </w:tcPr>
          <w:p>
            <w:pPr>
              <w:spacing w:after="40" w:before="40"/>
            </w:pPr>
            <w:r>
              <w:rPr>
                <w:sz w:val="17"/>
              </w:rPr>
            </w:r>
            <w:r>
              <w:rPr>
                <w:sz w:val="17"/>
              </w:rPr>
              <w:t>Free cash-flow négatif deux années sur trois</w:t>
            </w:r>
          </w:p>
        </w:tc>
        <w:tc>
          <w:tcPr>
            <w:tcW w:type="dxa" w:w="1474"/>
          </w:tcPr>
          <w:p>
            <w:pPr>
              <w:spacing w:after="40" w:before="40"/>
            </w:pPr>
            <w:r>
              <w:rPr>
                <w:sz w:val="17"/>
              </w:rPr>
            </w:r>
            <w:r>
              <w:rPr>
                <w:sz w:val="17"/>
              </w:rPr>
              <w:t>0</w:t>
            </w:r>
          </w:p>
        </w:tc>
      </w:tr>
    </w:tbl>
    <w:p>
      <w:pPr>
        <w:spacing w:after="80"/>
      </w:pPr>
    </w:p>
    <w:p>
      <w:pPr>
        <w:pStyle w:val="Heading4"/>
      </w:pPr>
      <w:r>
        <w:t>D2.4 — Liquidité disponible et mur de dette</w:t>
      </w:r>
    </w:p>
    <w:p>
      <w:r>
        <w:t>Cash libre + lignes confirmées disponibles rapportés aux besoins et échéances des 12 prochains mois.</w:t>
      </w:r>
    </w:p>
    <w:p>
      <w:r>
        <w:rPr>
          <w:b/>
        </w:rPr>
        <w:t>Poids :</w:t>
      </w:r>
      <w:r>
        <w:t xml:space="preserve"> TPE 1.50 % · PME 2.00 %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Couverture ≥ 12 mois, headroom ≥ 30 %, aucune échéance concentrée non financée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Couverture 9–12 mois, headroom 20–30 %, refinancement très probable et documenté</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Couverture 6–9 mois, headroom 10–20 %, dépendance modérée au renouvellement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Couverture 3–6 mois, headroom &lt; 10 %, mur de dette proche ou lignes non confirmées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Couverture &lt; 3 mois, gap avéré, refinancement non sécurisé ou rupture prévisible</w:t>
            </w:r>
          </w:p>
        </w:tc>
      </w:tr>
    </w:tbl>
    <w:p>
      <w:pPr>
        <w:spacing w:after="80"/>
      </w:pPr>
    </w:p>
    <w:p>
      <w:pPr>
        <w:pStyle w:val="Heading4"/>
      </w:pPr>
      <w:r>
        <w:t>D2.5 — Résistance au scénario de stress</w:t>
      </w:r>
    </w:p>
    <w:p>
      <w:r>
        <w:t>DSCR minimal sous choc combiné seed (CA −10 %, marge −2 pts, taux +200 pb, DSO +15 j, change) — chocs définitifs calibrés sur l'historique et les stress BAM/internes (Directive 2/G/10).</w:t>
      </w:r>
    </w:p>
    <w:p>
      <w:r>
        <w:rPr>
          <w:b/>
        </w:rPr>
        <w:t>Poids :</w:t>
      </w:r>
      <w:r>
        <w:t xml:space="preserve"> TPE 2.00 % · PME 3.00 % · GE 4.00 %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1.4x</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[1.2x ; 1.4x[</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[1x ; 1.2x[</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[0.8x ; 1x[</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&lt; 0.8x</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365"/>
            <w:shd w:val="clear" w:fill="0F3D63"/>
          </w:tcPr>
          <w:p>
            <w:pPr>
              <w:spacing w:after="40" w:before="40"/>
            </w:pPr>
            <w:r>
              <w:rPr>
                <w:color w:val="FFFFFF"/>
                <w:sz w:val="17"/>
              </w:rPr>
            </w:r>
            <w:r>
              <w:rPr>
                <w:b/>
                <w:color w:val="FFFFFF"/>
                <w:sz w:val="17"/>
              </w:rPr>
              <w:t>Code</w:t>
            </w:r>
          </w:p>
        </w:tc>
        <w:tc>
          <w:tcPr>
            <w:tcW w:type="dxa" w:w="5913"/>
            <w:shd w:val="clear" w:fill="0F3D63"/>
          </w:tcPr>
          <w:p>
            <w:pPr>
              <w:spacing w:after="40" w:before="40"/>
            </w:pPr>
            <w:r>
              <w:rPr>
                <w:color w:val="FFFFFF"/>
                <w:sz w:val="17"/>
              </w:rPr>
            </w:r>
            <w:r>
              <w:rPr>
                <w:b/>
                <w:color w:val="FFFFFF"/>
                <w:sz w:val="17"/>
              </w:rPr>
              <w:t>Cas</w:t>
            </w:r>
          </w:p>
        </w:tc>
        <w:tc>
          <w:tcPr>
            <w:tcW w:type="dxa" w:w="1183"/>
            <w:shd w:val="clear" w:fill="0F3D63"/>
          </w:tcPr>
          <w:p>
            <w:pPr>
              <w:spacing w:after="40" w:before="40"/>
            </w:pPr>
            <w:r>
              <w:rPr>
                <w:color w:val="FFFFFF"/>
                <w:sz w:val="17"/>
              </w:rPr>
            </w:r>
            <w:r>
              <w:rPr>
                <w:b/>
                <w:color w:val="FFFFFF"/>
                <w:sz w:val="17"/>
              </w:rPr>
              <w:t>Score imposé</w:t>
            </w:r>
          </w:p>
        </w:tc>
      </w:tr>
      <w:tr>
        <w:tc>
          <w:tcPr>
            <w:tcW w:type="dxa" w:w="2365"/>
          </w:tcPr>
          <w:p>
            <w:pPr>
              <w:spacing w:after="40" w:before="40"/>
            </w:pPr>
            <w:r>
              <w:rPr>
                <w:sz w:val="17"/>
              </w:rPr>
            </w:r>
            <w:r>
              <w:rPr>
                <w:rFonts w:ascii="Consolas" w:hAnsi="Consolas"/>
                <w:color w:val="8A2B2B"/>
                <w:sz w:val="17"/>
              </w:rPr>
              <w:t>STRESS_LIQUIDITY_BREAK</w:t>
            </w:r>
          </w:p>
        </w:tc>
        <w:tc>
          <w:tcPr>
            <w:tcW w:type="dxa" w:w="5913"/>
          </w:tcPr>
          <w:p>
            <w:pPr>
              <w:spacing w:after="40" w:before="40"/>
            </w:pPr>
            <w:r>
              <w:rPr>
                <w:sz w:val="17"/>
              </w:rPr>
            </w:r>
            <w:r>
              <w:rPr>
                <w:sz w:val="17"/>
              </w:rPr>
              <w:t>Rupture de liquidité sous stress, sans mesure de redressement crédible</w:t>
            </w:r>
          </w:p>
        </w:tc>
        <w:tc>
          <w:tcPr>
            <w:tcW w:type="dxa" w:w="1183"/>
          </w:tcPr>
          <w:p>
            <w:pPr>
              <w:spacing w:after="40" w:before="40"/>
            </w:pPr>
            <w:r>
              <w:rPr>
                <w:sz w:val="17"/>
              </w:rPr>
            </w:r>
            <w:r>
              <w:rPr>
                <w:sz w:val="17"/>
              </w:rPr>
              <w:t>0</w:t>
            </w:r>
          </w:p>
        </w:tc>
      </w:tr>
    </w:tbl>
    <w:p>
      <w:pPr>
        <w:spacing w:after="80"/>
      </w:pPr>
    </w:p>
    <w:p>
      <w:pPr>
        <w:pStyle w:val="Heading4"/>
      </w:pPr>
      <w:r>
        <w:t>D2.6 — Covenants et marge de sécurité</w:t>
      </w:r>
    </w:p>
    <w:p>
      <w:r>
        <w:rPr>
          <w:b/>
        </w:rPr>
        <w:t>Poids :</w:t>
      </w:r>
      <w:r>
        <w:t xml:space="preserve"> TPE 1.00 % · PME 2.00 % · GE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Aucun covenant financier ou marge ≥ 30 % sur tous les covenants ; reporting à jour</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Marge entre 20 % et 30 % ; aucune tendance de rupture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Marge entre 10 % et 20 % ou waiver ancien régularisé</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Marge entre 0 % et 10 %, waiver en cours ou reporting incomplet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Covenant rompu non régularisé, information dissimulée ou accélération possible de dette</w:t>
            </w:r>
          </w:p>
        </w:tc>
      </w:tr>
    </w:tbl>
    <w:p>
      <w:pPr>
        <w:spacing w:after="80"/>
      </w:pPr>
    </w:p>
    <w:p>
      <w:pPr>
        <w:pStyle w:val="Heading3"/>
      </w:pPr>
      <w:r>
        <w:t>D3 — Comportement bancaire et historique de crédit</w:t>
      </w:r>
    </w:p>
    <w:p>
      <w:pPr>
        <w:pStyle w:val="Heading4"/>
      </w:pPr>
      <w:r>
        <w:t>D3.1 — Retards de paiement / DPD</w:t>
      </w:r>
    </w:p>
    <w:p>
      <w:r>
        <w:t>Maximum de jours de retard sur 12 mois (fréquence et 24 mois pour récidive en analyse). La définition de défaut et la classification réglementaire s'appliquent séparément.</w:t>
      </w:r>
    </w:p>
    <w:p>
      <w:r>
        <w:rPr>
          <w:b/>
        </w:rPr>
        <w:t>Poids :</w:t>
      </w:r>
      <w:r>
        <w:t xml:space="preserve"> TPE 6.00 % · PME 5.00 % · GE 2.50 %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0 j</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]0 j ; 7 j]</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]7 j ; 30 j]</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]30 j ; 60 j]</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60 j</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892"/>
            <w:shd w:val="clear" w:fill="0F3D63"/>
          </w:tcPr>
          <w:p>
            <w:pPr>
              <w:spacing w:after="40" w:before="40"/>
            </w:pPr>
            <w:r>
              <w:rPr>
                <w:color w:val="FFFFFF"/>
                <w:sz w:val="17"/>
              </w:rPr>
            </w:r>
            <w:r>
              <w:rPr>
                <w:b/>
                <w:color w:val="FFFFFF"/>
                <w:sz w:val="17"/>
              </w:rPr>
              <w:t>Code</w:t>
            </w:r>
          </w:p>
        </w:tc>
        <w:tc>
          <w:tcPr>
            <w:tcW w:type="dxa" w:w="6307"/>
            <w:shd w:val="clear" w:fill="0F3D63"/>
          </w:tcPr>
          <w:p>
            <w:pPr>
              <w:spacing w:after="40" w:before="40"/>
            </w:pPr>
            <w:r>
              <w:rPr>
                <w:color w:val="FFFFFF"/>
                <w:sz w:val="17"/>
              </w:rPr>
            </w:r>
            <w:r>
              <w:rPr>
                <w:b/>
                <w:color w:val="FFFFFF"/>
                <w:sz w:val="17"/>
              </w:rPr>
              <w:t>Cas</w:t>
            </w:r>
          </w:p>
        </w:tc>
        <w:tc>
          <w:tcPr>
            <w:tcW w:type="dxa" w:w="1261"/>
            <w:shd w:val="clear" w:fill="0F3D63"/>
          </w:tcPr>
          <w:p>
            <w:pPr>
              <w:spacing w:after="40" w:before="40"/>
            </w:pPr>
            <w:r>
              <w:rPr>
                <w:color w:val="FFFFFF"/>
                <w:sz w:val="17"/>
              </w:rPr>
            </w:r>
            <w:r>
              <w:rPr>
                <w:b/>
                <w:color w:val="FFFFFF"/>
                <w:sz w:val="17"/>
              </w:rPr>
              <w:t>Score imposé</w:t>
            </w:r>
          </w:p>
        </w:tc>
      </w:tr>
      <w:tr>
        <w:tc>
          <w:tcPr>
            <w:tcW w:type="dxa" w:w="1892"/>
          </w:tcPr>
          <w:p>
            <w:pPr>
              <w:spacing w:after="40" w:before="40"/>
            </w:pPr>
            <w:r>
              <w:rPr>
                <w:sz w:val="17"/>
              </w:rPr>
            </w:r>
            <w:r>
              <w:rPr>
                <w:rFonts w:ascii="Consolas" w:hAnsi="Consolas"/>
                <w:color w:val="8A2B2B"/>
                <w:sz w:val="17"/>
              </w:rPr>
              <w:t>UNPAID_NOT_CURED</w:t>
            </w:r>
          </w:p>
        </w:tc>
        <w:tc>
          <w:tcPr>
            <w:tcW w:type="dxa" w:w="6307"/>
          </w:tcPr>
          <w:p>
            <w:pPr>
              <w:spacing w:after="40" w:before="40"/>
            </w:pPr>
            <w:r>
              <w:rPr>
                <w:sz w:val="17"/>
              </w:rPr>
            </w:r>
            <w:r>
              <w:rPr>
                <w:sz w:val="17"/>
              </w:rPr>
              <w:t>Impayé non régularisé — à instruire avec RF06/RF07</w:t>
            </w:r>
          </w:p>
        </w:tc>
        <w:tc>
          <w:tcPr>
            <w:tcW w:type="dxa" w:w="1261"/>
          </w:tcPr>
          <w:p>
            <w:pPr>
              <w:spacing w:after="40" w:before="40"/>
            </w:pPr>
            <w:r>
              <w:rPr>
                <w:sz w:val="17"/>
              </w:rPr>
            </w:r>
            <w:r>
              <w:rPr>
                <w:sz w:val="17"/>
              </w:rPr>
              <w:t>0</w:t>
            </w:r>
          </w:p>
        </w:tc>
      </w:tr>
      <w:tr>
        <w:tc>
          <w:tcPr>
            <w:tcW w:type="dxa" w:w="1892"/>
            <w:shd w:val="clear" w:fill="F2F5F8"/>
          </w:tcPr>
          <w:p>
            <w:pPr>
              <w:spacing w:after="40" w:before="40"/>
            </w:pPr>
            <w:r>
              <w:rPr>
                <w:sz w:val="17"/>
              </w:rPr>
            </w:r>
            <w:r>
              <w:rPr>
                <w:rFonts w:ascii="Consolas" w:hAnsi="Consolas"/>
                <w:color w:val="8A2B2B"/>
                <w:sz w:val="17"/>
              </w:rPr>
              <w:t>UNLIKELY_TO_PAY</w:t>
            </w:r>
          </w:p>
        </w:tc>
        <w:tc>
          <w:tcPr>
            <w:tcW w:type="dxa" w:w="6307"/>
            <w:shd w:val="clear" w:fill="F2F5F8"/>
          </w:tcPr>
          <w:p>
            <w:pPr>
              <w:spacing w:after="40" w:before="40"/>
            </w:pPr>
            <w:r>
              <w:rPr>
                <w:sz w:val="17"/>
              </w:rPr>
            </w:r>
            <w:r>
              <w:rPr>
                <w:sz w:val="17"/>
              </w:rPr>
              <w:t>Signal d'incapacité probable de payer — à instruire avec RF06</w:t>
            </w:r>
          </w:p>
        </w:tc>
        <w:tc>
          <w:tcPr>
            <w:tcW w:type="dxa" w:w="1261"/>
            <w:shd w:val="clear" w:fill="F2F5F8"/>
          </w:tcPr>
          <w:p>
            <w:pPr>
              <w:spacing w:after="40" w:before="40"/>
            </w:pPr>
            <w:r>
              <w:rPr>
                <w:sz w:val="17"/>
              </w:rPr>
            </w:r>
            <w:r>
              <w:rPr>
                <w:sz w:val="17"/>
              </w:rPr>
              <w:t>0</w:t>
            </w:r>
          </w:p>
        </w:tc>
      </w:tr>
    </w:tbl>
    <w:p>
      <w:pPr>
        <w:spacing w:after="80"/>
      </w:pPr>
    </w:p>
    <w:p>
      <w:r>
        <w:rPr>
          <w:b/>
        </w:rPr>
        <w:t>Justificatifs requis :</w:t>
      </w:r>
      <w:r>
        <w:t xml:space="preserve"> Système autoritatif DPD banque.</w:t>
      </w:r>
    </w:p>
    <w:p>
      <w:pPr>
        <w:pStyle w:val="Heading4"/>
      </w:pPr>
      <w:r>
        <w:t>D3.2 — Dépassements et irrégularités de compte</w:t>
      </w:r>
    </w:p>
    <w:p>
      <w:r>
        <w:t>Sur 12 mois glissants.</w:t>
      </w:r>
    </w:p>
    <w:p>
      <w:r>
        <w:rPr>
          <w:b/>
        </w:rPr>
        <w:t>Poids :</w:t>
      </w:r>
      <w:r>
        <w:t xml:space="preserve"> TPE 4.00 % · PME 3.00 %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Aucun dépassement non autorisé</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Un dépassement ≤ 3 jours et ≤ 5 % de la ligne, régularisé spontanément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4–15 jours cumulés ou 2–3 épisodes, montant ≤ 10 % de la ligne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16–30 jours cumulés, épisodes mensuels ou montant &gt; 10 %</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30 jours, dépassement permanent, compte bloqué ou absence d'autorisation</w:t>
            </w:r>
          </w:p>
        </w:tc>
      </w:tr>
    </w:tbl>
    <w:p>
      <w:pPr>
        <w:spacing w:after="80"/>
      </w:pPr>
    </w:p>
    <w:p>
      <w:pPr>
        <w:pStyle w:val="Heading4"/>
      </w:pPr>
      <w:r>
        <w:t>D3.3 — Utilisation des lignes</w:t>
      </w:r>
    </w:p>
    <w:p>
      <w:r>
        <w:t>Moyenne, maximum, saisonnalité et variation de l'utilisation des lignes confirmées. Une utilisation moyenne saine se situe entre 20 % et 70 %.</w:t>
      </w:r>
    </w:p>
    <w:p>
      <w:r>
        <w:rPr>
          <w:b/>
        </w:rPr>
        <w:t>Poids :</w:t>
      </w:r>
      <w:r>
        <w:t xml:space="preserve"> TPE 3.00 % · PME 2.00 %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Utilisation moyenne 20–70 %, pics cohérents avec la saisonnalité, marge disponible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10–20 % ou 70–85 %, utilisation stable et justifiée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85–95 %, ou hausse &gt; 20 points sur six mois, sans dépassement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&gt; 95 % pendant plus de trois mois, pics fréquents ou dépendance au renouvellement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100 % non autorisé, ligne saturée sans capacité de réduction ou besoin structurel non financé</w:t>
            </w:r>
          </w:p>
        </w:tc>
      </w:tr>
    </w:tbl>
    <w:p>
      <w:pPr>
        <w:spacing w:after="80"/>
      </w:pPr>
    </w:p>
    <w:p>
      <w:pPr>
        <w:pStyle w:val="Heading4"/>
      </w:pPr>
      <w:r>
        <w:t>D3.4 — Mouvements créditeurs et domiciliation</w:t>
      </w:r>
    </w:p>
    <w:p>
      <w:r>
        <w:t>Mouvements créditeurs observés / flux attendus (%), tendance 12 mois et part des flux domiciliés. Virements circulaires et mouvements artificiels exclus.</w:t>
      </w:r>
    </w:p>
    <w:p>
      <w:r>
        <w:rPr>
          <w:b/>
        </w:rPr>
        <w:t>Poids :</w:t>
      </w:r>
      <w:r>
        <w:t xml:space="preserve"> TPE 4.00 % · PME 3.00 % · GE 1.50 %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838"/>
            <w:shd w:val="clear" w:fill="0F3D63"/>
          </w:tcPr>
          <w:p>
            <w:pPr>
              <w:spacing w:after="40" w:before="40"/>
            </w:pPr>
            <w:r>
              <w:rPr>
                <w:color w:val="FFFFFF"/>
                <w:sz w:val="17"/>
              </w:rPr>
            </w:r>
            <w:r>
              <w:rPr>
                <w:b/>
                <w:color w:val="FFFFFF"/>
                <w:sz w:val="17"/>
              </w:rPr>
              <w:t>Score</w:t>
            </w:r>
          </w:p>
        </w:tc>
        <w:tc>
          <w:tcPr>
            <w:tcW w:type="dxa" w:w="6623"/>
            <w:shd w:val="clear" w:fill="0F3D63"/>
          </w:tcPr>
          <w:p>
            <w:pPr>
              <w:spacing w:after="40" w:before="40"/>
            </w:pPr>
            <w:r>
              <w:rPr>
                <w:color w:val="FFFFFF"/>
                <w:sz w:val="17"/>
              </w:rPr>
            </w:r>
            <w:r>
              <w:rPr>
                <w:b/>
                <w:color w:val="FFFFFF"/>
                <w:sz w:val="17"/>
              </w:rPr>
              <w:t>Bande</w:t>
            </w:r>
          </w:p>
        </w:tc>
      </w:tr>
      <w:tr>
        <w:tc>
          <w:tcPr>
            <w:tcW w:type="dxa" w:w="2838"/>
          </w:tcPr>
          <w:p>
            <w:pPr>
              <w:spacing w:after="40" w:before="40"/>
            </w:pPr>
            <w:r>
              <w:rPr>
                <w:sz w:val="17"/>
              </w:rPr>
            </w:r>
            <w:r>
              <w:rPr>
                <w:sz w:val="17"/>
              </w:rPr>
              <w:t>100</w:t>
            </w:r>
          </w:p>
        </w:tc>
        <w:tc>
          <w:tcPr>
            <w:tcW w:type="dxa" w:w="6623"/>
          </w:tcPr>
          <w:p>
            <w:pPr>
              <w:spacing w:after="40" w:before="40"/>
            </w:pPr>
            <w:r>
              <w:rPr>
                <w:sz w:val="17"/>
              </w:rPr>
            </w:r>
            <w:r>
              <w:rPr>
                <w:sz w:val="17"/>
              </w:rPr>
              <w:t>≥ 110 %</w:t>
            </w:r>
          </w:p>
        </w:tc>
      </w:tr>
      <w:tr>
        <w:tc>
          <w:tcPr>
            <w:tcW w:type="dxa" w:w="2838"/>
            <w:shd w:val="clear" w:fill="F2F5F8"/>
          </w:tcPr>
          <w:p>
            <w:pPr>
              <w:spacing w:after="40" w:before="40"/>
            </w:pPr>
            <w:r>
              <w:rPr>
                <w:sz w:val="17"/>
              </w:rPr>
            </w:r>
            <w:r>
              <w:rPr>
                <w:sz w:val="17"/>
              </w:rPr>
              <w:t>75</w:t>
            </w:r>
          </w:p>
        </w:tc>
        <w:tc>
          <w:tcPr>
            <w:tcW w:type="dxa" w:w="6623"/>
            <w:shd w:val="clear" w:fill="F2F5F8"/>
          </w:tcPr>
          <w:p>
            <w:pPr>
              <w:spacing w:after="40" w:before="40"/>
            </w:pPr>
            <w:r>
              <w:rPr>
                <w:sz w:val="17"/>
              </w:rPr>
            </w:r>
            <w:r>
              <w:rPr>
                <w:sz w:val="17"/>
              </w:rPr>
              <w:t>[90 % ; 110 %[</w:t>
            </w:r>
          </w:p>
        </w:tc>
      </w:tr>
      <w:tr>
        <w:tc>
          <w:tcPr>
            <w:tcW w:type="dxa" w:w="2838"/>
          </w:tcPr>
          <w:p>
            <w:pPr>
              <w:spacing w:after="40" w:before="40"/>
            </w:pPr>
            <w:r>
              <w:rPr>
                <w:sz w:val="17"/>
              </w:rPr>
            </w:r>
            <w:r>
              <w:rPr>
                <w:sz w:val="17"/>
              </w:rPr>
              <w:t>50</w:t>
            </w:r>
          </w:p>
        </w:tc>
        <w:tc>
          <w:tcPr>
            <w:tcW w:type="dxa" w:w="6623"/>
          </w:tcPr>
          <w:p>
            <w:pPr>
              <w:spacing w:after="40" w:before="40"/>
            </w:pPr>
            <w:r>
              <w:rPr>
                <w:sz w:val="17"/>
              </w:rPr>
            </w:r>
            <w:r>
              <w:rPr>
                <w:sz w:val="17"/>
              </w:rPr>
              <w:t>[70 % ; 90 %[</w:t>
            </w:r>
          </w:p>
        </w:tc>
      </w:tr>
      <w:tr>
        <w:tc>
          <w:tcPr>
            <w:tcW w:type="dxa" w:w="2838"/>
            <w:shd w:val="clear" w:fill="F2F5F8"/>
          </w:tcPr>
          <w:p>
            <w:pPr>
              <w:spacing w:after="40" w:before="40"/>
            </w:pPr>
            <w:r>
              <w:rPr>
                <w:sz w:val="17"/>
              </w:rPr>
            </w:r>
            <w:r>
              <w:rPr>
                <w:sz w:val="17"/>
              </w:rPr>
              <w:t>25</w:t>
            </w:r>
          </w:p>
        </w:tc>
        <w:tc>
          <w:tcPr>
            <w:tcW w:type="dxa" w:w="6623"/>
            <w:shd w:val="clear" w:fill="F2F5F8"/>
          </w:tcPr>
          <w:p>
            <w:pPr>
              <w:spacing w:after="40" w:before="40"/>
            </w:pPr>
            <w:r>
              <w:rPr>
                <w:sz w:val="17"/>
              </w:rPr>
            </w:r>
            <w:r>
              <w:rPr>
                <w:sz w:val="17"/>
              </w:rPr>
              <w:t>[50 % ; 70 %[</w:t>
            </w:r>
          </w:p>
        </w:tc>
      </w:tr>
      <w:tr>
        <w:tc>
          <w:tcPr>
            <w:tcW w:type="dxa" w:w="2838"/>
          </w:tcPr>
          <w:p>
            <w:pPr>
              <w:spacing w:after="40" w:before="40"/>
            </w:pPr>
            <w:r>
              <w:rPr>
                <w:sz w:val="17"/>
              </w:rPr>
            </w:r>
            <w:r>
              <w:rPr>
                <w:sz w:val="17"/>
              </w:rPr>
              <w:t>0</w:t>
            </w:r>
          </w:p>
        </w:tc>
        <w:tc>
          <w:tcPr>
            <w:tcW w:type="dxa" w:w="6623"/>
          </w:tcPr>
          <w:p>
            <w:pPr>
              <w:spacing w:after="40" w:before="40"/>
            </w:pPr>
            <w:r>
              <w:rPr>
                <w:sz w:val="17"/>
              </w:rPr>
            </w:r>
            <w:r>
              <w:rPr>
                <w:sz w:val="17"/>
              </w:rPr>
              <w:t>&lt; 50 %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510"/>
            <w:shd w:val="clear" w:fill="0F3D63"/>
          </w:tcPr>
          <w:p>
            <w:pPr>
              <w:spacing w:after="40" w:before="40"/>
            </w:pPr>
            <w:r>
              <w:rPr>
                <w:color w:val="FFFFFF"/>
                <w:sz w:val="17"/>
              </w:rPr>
            </w:r>
            <w:r>
              <w:rPr>
                <w:b/>
                <w:color w:val="FFFFFF"/>
                <w:sz w:val="17"/>
              </w:rPr>
              <w:t>Code</w:t>
            </w:r>
          </w:p>
        </w:tc>
        <w:tc>
          <w:tcPr>
            <w:tcW w:type="dxa" w:w="5792"/>
            <w:shd w:val="clear" w:fill="0F3D63"/>
          </w:tcPr>
          <w:p>
            <w:pPr>
              <w:spacing w:after="40" w:before="40"/>
            </w:pPr>
            <w:r>
              <w:rPr>
                <w:color w:val="FFFFFF"/>
                <w:sz w:val="17"/>
              </w:rPr>
            </w:r>
            <w:r>
              <w:rPr>
                <w:b/>
                <w:color w:val="FFFFFF"/>
                <w:sz w:val="17"/>
              </w:rPr>
              <w:t>Cas</w:t>
            </w:r>
          </w:p>
        </w:tc>
        <w:tc>
          <w:tcPr>
            <w:tcW w:type="dxa" w:w="1158"/>
            <w:shd w:val="clear" w:fill="0F3D63"/>
          </w:tcPr>
          <w:p>
            <w:pPr>
              <w:spacing w:after="40" w:before="40"/>
            </w:pPr>
            <w:r>
              <w:rPr>
                <w:color w:val="FFFFFF"/>
                <w:sz w:val="17"/>
              </w:rPr>
            </w:r>
            <w:r>
              <w:rPr>
                <w:b/>
                <w:color w:val="FFFFFF"/>
                <w:sz w:val="17"/>
              </w:rPr>
              <w:t>Score imposé</w:t>
            </w:r>
          </w:p>
        </w:tc>
      </w:tr>
      <w:tr>
        <w:tc>
          <w:tcPr>
            <w:tcW w:type="dxa" w:w="2510"/>
          </w:tcPr>
          <w:p>
            <w:pPr>
              <w:spacing w:after="40" w:before="40"/>
            </w:pPr>
            <w:r>
              <w:rPr>
                <w:sz w:val="17"/>
              </w:rPr>
            </w:r>
            <w:r>
              <w:rPr>
                <w:rFonts w:ascii="Consolas" w:hAnsi="Consolas"/>
                <w:color w:val="8A2B2B"/>
                <w:sz w:val="17"/>
              </w:rPr>
              <w:t>ARTIFICIAL_FLOWS</w:t>
            </w:r>
          </w:p>
        </w:tc>
        <w:tc>
          <w:tcPr>
            <w:tcW w:type="dxa" w:w="5792"/>
          </w:tcPr>
          <w:p>
            <w:pPr>
              <w:spacing w:after="40" w:before="40"/>
            </w:pPr>
            <w:r>
              <w:rPr>
                <w:sz w:val="17"/>
              </w:rPr>
            </w:r>
            <w:r>
              <w:rPr>
                <w:sz w:val="17"/>
              </w:rPr>
              <w:t>Mouvements créditeurs artificiels (virements circulaires, allers-retours)</w:t>
            </w:r>
          </w:p>
        </w:tc>
        <w:tc>
          <w:tcPr>
            <w:tcW w:type="dxa" w:w="1158"/>
          </w:tcPr>
          <w:p>
            <w:pPr>
              <w:spacing w:after="40" w:before="40"/>
            </w:pPr>
            <w:r>
              <w:rPr>
                <w:sz w:val="17"/>
              </w:rPr>
            </w:r>
            <w:r>
              <w:rPr>
                <w:sz w:val="17"/>
              </w:rPr>
              <w:t>0</w:t>
            </w:r>
          </w:p>
        </w:tc>
      </w:tr>
      <w:tr>
        <w:tc>
          <w:tcPr>
            <w:tcW w:type="dxa" w:w="2510"/>
            <w:shd w:val="clear" w:fill="F2F5F8"/>
          </w:tcPr>
          <w:p>
            <w:pPr>
              <w:spacing w:after="40" w:before="40"/>
            </w:pPr>
            <w:r>
              <w:rPr>
                <w:sz w:val="17"/>
              </w:rPr>
            </w:r>
            <w:r>
              <w:rPr>
                <w:rFonts w:ascii="Consolas" w:hAnsi="Consolas"/>
                <w:color w:val="8A2B2B"/>
                <w:sz w:val="17"/>
              </w:rPr>
              <w:t>BANKING_ACTIVITY_STOPPED</w:t>
            </w:r>
          </w:p>
        </w:tc>
        <w:tc>
          <w:tcPr>
            <w:tcW w:type="dxa" w:w="5792"/>
            <w:shd w:val="clear" w:fill="F2F5F8"/>
          </w:tcPr>
          <w:p>
            <w:pPr>
              <w:spacing w:after="40" w:before="40"/>
            </w:pPr>
            <w:r>
              <w:rPr>
                <w:sz w:val="17"/>
              </w:rPr>
            </w:r>
            <w:r>
              <w:rPr>
                <w:sz w:val="17"/>
              </w:rPr>
              <w:t>Activité bancaire quasi arrêtée sur la période</w:t>
            </w:r>
          </w:p>
        </w:tc>
        <w:tc>
          <w:tcPr>
            <w:tcW w:type="dxa" w:w="1158"/>
            <w:shd w:val="clear" w:fill="F2F5F8"/>
          </w:tcPr>
          <w:p>
            <w:pPr>
              <w:spacing w:after="40" w:before="40"/>
            </w:pPr>
            <w:r>
              <w:rPr>
                <w:sz w:val="17"/>
              </w:rPr>
            </w:r>
            <w:r>
              <w:rPr>
                <w:sz w:val="17"/>
              </w:rPr>
              <w:t>0</w:t>
            </w:r>
          </w:p>
        </w:tc>
      </w:tr>
    </w:tbl>
    <w:p>
      <w:pPr>
        <w:spacing w:after="80"/>
      </w:pPr>
    </w:p>
    <w:p>
      <w:pPr>
        <w:pStyle w:val="Heading4"/>
      </w:pPr>
      <w:r>
        <w:t>D3.5 — Incidents chèques et effets de commerce</w:t>
      </w:r>
    </w:p>
    <w:p>
      <w:r>
        <w:t>Sur 24 mois, sources autorisées (SCIP/centrale des incidents).</w:t>
      </w:r>
    </w:p>
    <w:p>
      <w:r>
        <w:rPr>
          <w:b/>
        </w:rPr>
        <w:t>Poids :</w:t>
      </w:r>
      <w:r>
        <w:t xml:space="preserve"> TPE 4.00 % · PME 3.00 %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Absence d'incident vérifiée auprès des sources autorisées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Un incident mineur, erreur technique démontrée, régularisé ≤ 5 jours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Un à deux incidents régularisés ≤ 30 jours, montant non matériel</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Incidents récurrents, régularisation tardive ou incident matériel</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Incident grave/non régularisé, interdiction ou signal bloquant selon dispositif applicable</w:t>
            </w:r>
          </w:p>
        </w:tc>
      </w:tr>
    </w:tbl>
    <w:p>
      <w:pPr>
        <w:spacing w:after="80"/>
      </w:pPr>
    </w:p>
    <w:p>
      <w:pPr>
        <w:pStyle w:val="Heading4"/>
      </w:pPr>
      <w:r>
        <w:t>D3.6 — Restructuration et forbearance</w:t>
      </w:r>
    </w:p>
    <w:p>
      <w:r>
        <w:rPr>
          <w:b/>
        </w:rPr>
        <w:t>Poids :</w:t>
      </w:r>
      <w:r>
        <w:t xml:space="preserve"> TPE 2.00 % · PME 2.00 %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Aucune restructuration ni concession liée à une difficulté financière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Restructuration ancienne &gt; 36 mois, période probatoire achevée, performance durable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Restructuration entre 24 et 36 mois, paiements réguliers, surveillance en cours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Restructuration &lt; 24 mois, concession significative ou dépendance à un moratoire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Échec de restructuration, seconde concession, impayé post-restructuration ou défaut</w:t>
            </w:r>
          </w:p>
        </w:tc>
      </w:tr>
    </w:tbl>
    <w:p>
      <w:pPr>
        <w:spacing w:after="80"/>
      </w:pPr>
    </w:p>
    <w:p>
      <w:pPr>
        <w:pStyle w:val="Heading4"/>
      </w:pPr>
      <w:r>
        <w:t>D3.7 — Tendance de l'endettement système et groupe</w:t>
      </w:r>
    </w:p>
    <w:p>
      <w:r>
        <w:t>Données centrale des risques et vision groupe, dans les limites légales.</w:t>
      </w:r>
    </w:p>
    <w:p>
      <w:r>
        <w:rPr>
          <w:b/>
        </w:rPr>
        <w:t>Poids :</w:t>
      </w:r>
      <w:r>
        <w:t xml:space="preserve"> TPE 2.00 % · PME 2.00 %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Endettement stable/en baisse, aucun incident groupe, capacité consolidée confortable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Hausse ≤ 10 % cohérente avec croissance et cash-flow</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Hausse de 10–25 %, nouvelle banque/ligne ou concentration accrue mais justifiée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Hausse &gt; 25 %, dette non expliquée, multiplication de demandes ou dégradation d'une entité liée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Cross-default, contagion applicable, dette cachée, incident majeur groupe ou soutien inversé non soutenable</w:t>
            </w:r>
          </w:p>
        </w:tc>
      </w:tr>
    </w:tbl>
    <w:p>
      <w:pPr>
        <w:spacing w:after="80"/>
      </w:pPr>
    </w:p>
    <w:p>
      <w:pPr>
        <w:pStyle w:val="Heading3"/>
      </w:pPr>
      <w:r>
        <w:t>D4 — Activité, secteur et positionnement</w:t>
      </w:r>
    </w:p>
    <w:p>
      <w:pPr>
        <w:pStyle w:val="Heading4"/>
      </w:pPr>
      <w:r>
        <w:t>D4.1 — Risque sectoriel interne</w:t>
      </w:r>
    </w:p>
    <w:p>
      <w:r>
        <w:t>Grade issu du référentiel sectoriel interne séparé, daté et approuvé (S1=100, S2=75, S3=50, S4=25, S5=0). Jamais saisi librement par l'analyste.</w:t>
      </w:r>
    </w:p>
    <w:p>
      <w:r>
        <w:rPr>
          <w:b/>
        </w:rPr>
        <w:t>Poids :</w:t>
      </w:r>
      <w:r>
        <w:t xml:space="preserve"> TPE 3.00 % · PME 3.00 %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071"/>
            <w:shd w:val="clear" w:fill="0F3D63"/>
          </w:tcPr>
          <w:p>
            <w:pPr>
              <w:spacing w:after="40" w:before="40"/>
            </w:pPr>
            <w:r>
              <w:rPr>
                <w:color w:val="FFFFFF"/>
                <w:sz w:val="17"/>
              </w:rPr>
            </w:r>
            <w:r>
              <w:rPr>
                <w:b/>
                <w:color w:val="FFFFFF"/>
                <w:sz w:val="17"/>
              </w:rPr>
              <w:t>Score</w:t>
            </w:r>
          </w:p>
        </w:tc>
        <w:tc>
          <w:tcPr>
            <w:tcW w:type="dxa" w:w="8390"/>
            <w:shd w:val="clear" w:fill="0F3D63"/>
          </w:tcPr>
          <w:p>
            <w:pPr>
              <w:spacing w:after="40" w:before="40"/>
            </w:pPr>
            <w:r>
              <w:rPr>
                <w:color w:val="FFFFFF"/>
                <w:sz w:val="17"/>
              </w:rPr>
            </w:r>
            <w:r>
              <w:rPr>
                <w:b/>
                <w:color w:val="FFFFFF"/>
                <w:sz w:val="17"/>
              </w:rPr>
              <w:t>Ancrage et preuves attendues</w:t>
            </w:r>
          </w:p>
        </w:tc>
      </w:tr>
      <w:tr>
        <w:tc>
          <w:tcPr>
            <w:tcW w:type="dxa" w:w="1071"/>
          </w:tcPr>
          <w:p>
            <w:pPr>
              <w:spacing w:after="40" w:before="40"/>
            </w:pPr>
            <w:r>
              <w:rPr>
                <w:sz w:val="17"/>
              </w:rPr>
            </w:r>
            <w:r>
              <w:rPr>
                <w:sz w:val="17"/>
              </w:rPr>
              <w:t>100</w:t>
            </w:r>
          </w:p>
        </w:tc>
        <w:tc>
          <w:tcPr>
            <w:tcW w:type="dxa" w:w="8390"/>
          </w:tcPr>
          <w:p>
            <w:pPr>
              <w:spacing w:after="40" w:before="40"/>
            </w:pPr>
            <w:r>
              <w:rPr>
                <w:sz w:val="17"/>
              </w:rPr>
            </w:r>
            <w:r>
              <w:rPr>
                <w:sz w:val="17"/>
              </w:rPr>
              <w:t>S1 — secteur très résilient</w:t>
            </w:r>
          </w:p>
        </w:tc>
      </w:tr>
      <w:tr>
        <w:tc>
          <w:tcPr>
            <w:tcW w:type="dxa" w:w="1071"/>
            <w:shd w:val="clear" w:fill="F2F5F8"/>
          </w:tcPr>
          <w:p>
            <w:pPr>
              <w:spacing w:after="40" w:before="40"/>
            </w:pPr>
            <w:r>
              <w:rPr>
                <w:sz w:val="17"/>
              </w:rPr>
            </w:r>
            <w:r>
              <w:rPr>
                <w:sz w:val="17"/>
              </w:rPr>
              <w:t>75</w:t>
            </w:r>
          </w:p>
        </w:tc>
        <w:tc>
          <w:tcPr>
            <w:tcW w:type="dxa" w:w="8390"/>
            <w:shd w:val="clear" w:fill="F2F5F8"/>
          </w:tcPr>
          <w:p>
            <w:pPr>
              <w:spacing w:after="40" w:before="40"/>
            </w:pPr>
            <w:r>
              <w:rPr>
                <w:sz w:val="17"/>
              </w:rPr>
            </w:r>
            <w:r>
              <w:rPr>
                <w:sz w:val="17"/>
              </w:rPr>
              <w:t>S2 — secteur résilient</w:t>
            </w:r>
          </w:p>
        </w:tc>
      </w:tr>
      <w:tr>
        <w:tc>
          <w:tcPr>
            <w:tcW w:type="dxa" w:w="1071"/>
          </w:tcPr>
          <w:p>
            <w:pPr>
              <w:spacing w:after="40" w:before="40"/>
            </w:pPr>
            <w:r>
              <w:rPr>
                <w:sz w:val="17"/>
              </w:rPr>
            </w:r>
            <w:r>
              <w:rPr>
                <w:sz w:val="17"/>
              </w:rPr>
              <w:t>50</w:t>
            </w:r>
          </w:p>
        </w:tc>
        <w:tc>
          <w:tcPr>
            <w:tcW w:type="dxa" w:w="8390"/>
          </w:tcPr>
          <w:p>
            <w:pPr>
              <w:spacing w:after="40" w:before="40"/>
            </w:pPr>
            <w:r>
              <w:rPr>
                <w:sz w:val="17"/>
              </w:rPr>
            </w:r>
            <w:r>
              <w:rPr>
                <w:sz w:val="17"/>
              </w:rPr>
              <w:t>S3 — secteur moyen/cyclique maîtrisable</w:t>
            </w:r>
          </w:p>
        </w:tc>
      </w:tr>
      <w:tr>
        <w:tc>
          <w:tcPr>
            <w:tcW w:type="dxa" w:w="1071"/>
            <w:shd w:val="clear" w:fill="F2F5F8"/>
          </w:tcPr>
          <w:p>
            <w:pPr>
              <w:spacing w:after="40" w:before="40"/>
            </w:pPr>
            <w:r>
              <w:rPr>
                <w:sz w:val="17"/>
              </w:rPr>
            </w:r>
            <w:r>
              <w:rPr>
                <w:sz w:val="17"/>
              </w:rPr>
              <w:t>25</w:t>
            </w:r>
          </w:p>
        </w:tc>
        <w:tc>
          <w:tcPr>
            <w:tcW w:type="dxa" w:w="8390"/>
            <w:shd w:val="clear" w:fill="F2F5F8"/>
          </w:tcPr>
          <w:p>
            <w:pPr>
              <w:spacing w:after="40" w:before="40"/>
            </w:pPr>
            <w:r>
              <w:rPr>
                <w:sz w:val="17"/>
              </w:rPr>
            </w:r>
            <w:r>
              <w:rPr>
                <w:sz w:val="17"/>
              </w:rPr>
              <w:t>S4 — secteur vulnérable/sous surveillance</w:t>
            </w:r>
          </w:p>
        </w:tc>
      </w:tr>
      <w:tr>
        <w:tc>
          <w:tcPr>
            <w:tcW w:type="dxa" w:w="1071"/>
          </w:tcPr>
          <w:p>
            <w:pPr>
              <w:spacing w:after="40" w:before="40"/>
            </w:pPr>
            <w:r>
              <w:rPr>
                <w:sz w:val="17"/>
              </w:rPr>
            </w:r>
            <w:r>
              <w:rPr>
                <w:sz w:val="17"/>
              </w:rPr>
              <w:t>0</w:t>
            </w:r>
          </w:p>
        </w:tc>
        <w:tc>
          <w:tcPr>
            <w:tcW w:type="dxa" w:w="8390"/>
          </w:tcPr>
          <w:p>
            <w:pPr>
              <w:spacing w:after="40" w:before="40"/>
            </w:pPr>
            <w:r>
              <w:rPr>
                <w:sz w:val="17"/>
              </w:rPr>
            </w:r>
            <w:r>
              <w:rPr>
                <w:sz w:val="17"/>
              </w:rPr>
              <w:t>S5 — secteur très vulnérable/crise structurelle</w:t>
            </w:r>
          </w:p>
        </w:tc>
      </w:tr>
    </w:tbl>
    <w:p>
      <w:pPr>
        <w:spacing w:after="80"/>
      </w:pPr>
    </w:p>
    <w:p>
      <w:r>
        <w:rPr>
          <w:b/>
        </w:rPr>
        <w:t>Justificatifs requis :</w:t>
      </w:r>
      <w:r>
        <w:t xml:space="preserve"> Référentiel sectoriel interne daté et version.</w:t>
      </w:r>
    </w:p>
    <w:p>
      <w:pPr>
        <w:pStyle w:val="Heading4"/>
      </w:pPr>
      <w:r>
        <w:t>D4.2 — Position concurrentielle</w:t>
      </w:r>
    </w:p>
    <w:p>
      <w:r>
        <w:rPr>
          <w:b/>
        </w:rPr>
        <w:t>Poids :</w:t>
      </w:r>
      <w:r>
        <w:t xml:space="preserve"> TPE 2.00 % · PME 2.50 %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Leader ou niche dominante ; avantages défendables ; pouvoir de prix ; preuves de parts de marché</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Position forte ; différenciation claire ; bonne fidélité ; marges au moins sectorielles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Position moyenne ; offre comparable au marché ; pression concurrentielle normale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Position faible ; perte de parts/clients ; pression prix élevée ; dépendance à un canal</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Position marginale/non viable ; produit obsolète ; rupture de licence ; perte du marché essentiel</w:t>
            </w:r>
          </w:p>
        </w:tc>
      </w:tr>
    </w:tbl>
    <w:p>
      <w:pPr>
        <w:spacing w:after="80"/>
      </w:pPr>
    </w:p>
    <w:p>
      <w:pPr>
        <w:pStyle w:val="Heading4"/>
      </w:pPr>
      <w:r>
        <w:t>D4.3 — Concentration clients</w:t>
      </w:r>
    </w:p>
    <w:p>
      <w:r>
        <w:t>Part du premier client (ou groupe client) dans le chiffre d'affaires, en %, après élimination des ventes liées et circulaires. Le barème est appliqué par le moteur : l'analyste renseigne une mesure, il ne choisit pas un niveau. Une mitigation contractuelle documentée peut relever d'un cran au maximum, via une dérogation tracée.</w:t>
      </w:r>
    </w:p>
    <w:p>
      <w:r>
        <w:rPr>
          <w:b/>
        </w:rPr>
        <w:t>Formule :</w:t>
      </w:r>
      <w:r>
        <w:t xml:space="preserve"> </w:t>
      </w:r>
      <w:r>
        <w:rPr>
          <w:rFonts w:ascii="Consolas" w:hAnsi="Consolas"/>
          <w:color w:val="8A2B2B"/>
          <w:sz w:val="18"/>
        </w:rPr>
        <w:t>CA_premier_client / CA_total</w:t>
      </w:r>
    </w:p>
    <w:p>
      <w:r>
        <w:rPr>
          <w:b/>
        </w:rPr>
        <w:t>Poids :</w:t>
      </w:r>
      <w:r>
        <w:t xml:space="preserve"> TPE 2.50 % · PME 2.00 % · GE 1.50 %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142"/>
            <w:shd w:val="clear" w:fill="0F3D63"/>
          </w:tcPr>
          <w:p>
            <w:pPr>
              <w:spacing w:after="40" w:before="40"/>
            </w:pPr>
            <w:r>
              <w:rPr>
                <w:color w:val="FFFFFF"/>
                <w:sz w:val="17"/>
              </w:rPr>
            </w:r>
            <w:r>
              <w:rPr>
                <w:b/>
                <w:color w:val="FFFFFF"/>
                <w:sz w:val="17"/>
              </w:rPr>
              <w:t>Segment</w:t>
            </w:r>
          </w:p>
        </w:tc>
        <w:tc>
          <w:tcPr>
            <w:tcW w:type="dxa" w:w="979"/>
            <w:shd w:val="clear" w:fill="0F3D63"/>
          </w:tcPr>
          <w:p>
            <w:pPr>
              <w:spacing w:after="40" w:before="40"/>
            </w:pPr>
            <w:r>
              <w:rPr>
                <w:color w:val="FFFFFF"/>
                <w:sz w:val="17"/>
              </w:rPr>
            </w:r>
            <w:r>
              <w:rPr>
                <w:b/>
                <w:color w:val="FFFFFF"/>
                <w:sz w:val="17"/>
              </w:rPr>
              <w:t>100</w:t>
            </w:r>
          </w:p>
        </w:tc>
        <w:tc>
          <w:tcPr>
            <w:tcW w:type="dxa" w:w="2121"/>
            <w:shd w:val="clear" w:fill="0F3D63"/>
          </w:tcPr>
          <w:p>
            <w:pPr>
              <w:spacing w:after="40" w:before="40"/>
            </w:pPr>
            <w:r>
              <w:rPr>
                <w:color w:val="FFFFFF"/>
                <w:sz w:val="17"/>
              </w:rPr>
            </w:r>
            <w:r>
              <w:rPr>
                <w:b/>
                <w:color w:val="FFFFFF"/>
                <w:sz w:val="17"/>
              </w:rPr>
              <w:t>75</w:t>
            </w:r>
          </w:p>
        </w:tc>
        <w:tc>
          <w:tcPr>
            <w:tcW w:type="dxa" w:w="2121"/>
            <w:shd w:val="clear" w:fill="0F3D63"/>
          </w:tcPr>
          <w:p>
            <w:pPr>
              <w:spacing w:after="40" w:before="40"/>
            </w:pPr>
            <w:r>
              <w:rPr>
                <w:color w:val="FFFFFF"/>
                <w:sz w:val="17"/>
              </w:rPr>
            </w:r>
            <w:r>
              <w:rPr>
                <w:b/>
                <w:color w:val="FFFFFF"/>
                <w:sz w:val="17"/>
              </w:rPr>
              <w:t>50</w:t>
            </w:r>
          </w:p>
        </w:tc>
        <w:tc>
          <w:tcPr>
            <w:tcW w:type="dxa" w:w="2121"/>
            <w:shd w:val="clear" w:fill="0F3D63"/>
          </w:tcPr>
          <w:p>
            <w:pPr>
              <w:spacing w:after="40" w:before="40"/>
            </w:pPr>
            <w:r>
              <w:rPr>
                <w:color w:val="FFFFFF"/>
                <w:sz w:val="17"/>
              </w:rPr>
            </w:r>
            <w:r>
              <w:rPr>
                <w:b/>
                <w:color w:val="FFFFFF"/>
                <w:sz w:val="17"/>
              </w:rPr>
              <w:t>25</w:t>
            </w:r>
          </w:p>
        </w:tc>
        <w:tc>
          <w:tcPr>
            <w:tcW w:type="dxa" w:w="979"/>
            <w:shd w:val="clear" w:fill="0F3D63"/>
          </w:tcPr>
          <w:p>
            <w:pPr>
              <w:spacing w:after="40" w:before="40"/>
            </w:pPr>
            <w:r>
              <w:rPr>
                <w:color w:val="FFFFFF"/>
                <w:sz w:val="17"/>
              </w:rPr>
            </w:r>
            <w:r>
              <w:rPr>
                <w:b/>
                <w:color w:val="FFFFFF"/>
                <w:sz w:val="17"/>
              </w:rPr>
              <w:t>0</w:t>
            </w:r>
          </w:p>
        </w:tc>
      </w:tr>
      <w:tr>
        <w:tc>
          <w:tcPr>
            <w:tcW w:type="dxa" w:w="1142"/>
          </w:tcPr>
          <w:p>
            <w:pPr>
              <w:spacing w:after="40" w:before="40"/>
            </w:pPr>
            <w:r>
              <w:rPr>
                <w:sz w:val="17"/>
              </w:rPr>
            </w:r>
            <w:r>
              <w:rPr>
                <w:sz w:val="17"/>
              </w:rPr>
              <w:t>TPE</w:t>
            </w:r>
          </w:p>
        </w:tc>
        <w:tc>
          <w:tcPr>
            <w:tcW w:type="dxa" w:w="979"/>
          </w:tcPr>
          <w:p>
            <w:pPr>
              <w:spacing w:after="40" w:before="40"/>
            </w:pPr>
            <w:r>
              <w:rPr>
                <w:sz w:val="17"/>
              </w:rPr>
            </w:r>
            <w:r>
              <w:rPr>
                <w:sz w:val="17"/>
              </w:rPr>
              <w:t>≤ 15 %</w:t>
            </w:r>
          </w:p>
        </w:tc>
        <w:tc>
          <w:tcPr>
            <w:tcW w:type="dxa" w:w="2121"/>
          </w:tcPr>
          <w:p>
            <w:pPr>
              <w:spacing w:after="40" w:before="40"/>
            </w:pPr>
            <w:r>
              <w:rPr>
                <w:sz w:val="17"/>
              </w:rPr>
            </w:r>
            <w:r>
              <w:rPr>
                <w:sz w:val="17"/>
              </w:rPr>
              <w:t>]15 % ; 25 %]</w:t>
            </w:r>
          </w:p>
        </w:tc>
        <w:tc>
          <w:tcPr>
            <w:tcW w:type="dxa" w:w="2121"/>
          </w:tcPr>
          <w:p>
            <w:pPr>
              <w:spacing w:after="40" w:before="40"/>
            </w:pPr>
            <w:r>
              <w:rPr>
                <w:sz w:val="17"/>
              </w:rPr>
            </w:r>
            <w:r>
              <w:rPr>
                <w:sz w:val="17"/>
              </w:rPr>
              <w:t>]25 % ; 35 %]</w:t>
            </w:r>
          </w:p>
        </w:tc>
        <w:tc>
          <w:tcPr>
            <w:tcW w:type="dxa" w:w="2121"/>
          </w:tcPr>
          <w:p>
            <w:pPr>
              <w:spacing w:after="40" w:before="40"/>
            </w:pPr>
            <w:r>
              <w:rPr>
                <w:sz w:val="17"/>
              </w:rPr>
            </w:r>
            <w:r>
              <w:rPr>
                <w:sz w:val="17"/>
              </w:rPr>
              <w:t>]35 % ; 50 %]</w:t>
            </w:r>
          </w:p>
        </w:tc>
        <w:tc>
          <w:tcPr>
            <w:tcW w:type="dxa" w:w="979"/>
          </w:tcPr>
          <w:p>
            <w:pPr>
              <w:spacing w:after="40" w:before="40"/>
            </w:pPr>
            <w:r>
              <w:rPr>
                <w:sz w:val="17"/>
              </w:rPr>
            </w:r>
            <w:r>
              <w:rPr>
                <w:sz w:val="17"/>
              </w:rPr>
              <w:t>&gt; 50 %</w:t>
            </w:r>
          </w:p>
        </w:tc>
      </w:tr>
      <w:tr>
        <w:tc>
          <w:tcPr>
            <w:tcW w:type="dxa" w:w="1142"/>
            <w:shd w:val="clear" w:fill="F2F5F8"/>
          </w:tcPr>
          <w:p>
            <w:pPr>
              <w:spacing w:after="40" w:before="40"/>
            </w:pPr>
            <w:r>
              <w:rPr>
                <w:sz w:val="17"/>
              </w:rPr>
            </w:r>
            <w:r>
              <w:rPr>
                <w:sz w:val="17"/>
              </w:rPr>
              <w:t>PME</w:t>
            </w:r>
          </w:p>
        </w:tc>
        <w:tc>
          <w:tcPr>
            <w:tcW w:type="dxa" w:w="979"/>
            <w:shd w:val="clear" w:fill="F2F5F8"/>
          </w:tcPr>
          <w:p>
            <w:pPr>
              <w:spacing w:after="40" w:before="40"/>
            </w:pPr>
            <w:r>
              <w:rPr>
                <w:sz w:val="17"/>
              </w:rPr>
            </w:r>
            <w:r>
              <w:rPr>
                <w:sz w:val="17"/>
              </w:rPr>
              <w:t>≤ 10 %</w:t>
            </w:r>
          </w:p>
        </w:tc>
        <w:tc>
          <w:tcPr>
            <w:tcW w:type="dxa" w:w="2121"/>
            <w:shd w:val="clear" w:fill="F2F5F8"/>
          </w:tcPr>
          <w:p>
            <w:pPr>
              <w:spacing w:after="40" w:before="40"/>
            </w:pPr>
            <w:r>
              <w:rPr>
                <w:sz w:val="17"/>
              </w:rPr>
            </w:r>
            <w:r>
              <w:rPr>
                <w:sz w:val="17"/>
              </w:rPr>
              <w:t>]10 % ; 20 %]</w:t>
            </w:r>
          </w:p>
        </w:tc>
        <w:tc>
          <w:tcPr>
            <w:tcW w:type="dxa" w:w="2121"/>
            <w:shd w:val="clear" w:fill="F2F5F8"/>
          </w:tcPr>
          <w:p>
            <w:pPr>
              <w:spacing w:after="40" w:before="40"/>
            </w:pPr>
            <w:r>
              <w:rPr>
                <w:sz w:val="17"/>
              </w:rPr>
            </w:r>
            <w:r>
              <w:rPr>
                <w:sz w:val="17"/>
              </w:rPr>
              <w:t>]20 % ; 30 %]</w:t>
            </w:r>
          </w:p>
        </w:tc>
        <w:tc>
          <w:tcPr>
            <w:tcW w:type="dxa" w:w="2121"/>
            <w:shd w:val="clear" w:fill="F2F5F8"/>
          </w:tcPr>
          <w:p>
            <w:pPr>
              <w:spacing w:after="40" w:before="40"/>
            </w:pPr>
            <w:r>
              <w:rPr>
                <w:sz w:val="17"/>
              </w:rPr>
            </w:r>
            <w:r>
              <w:rPr>
                <w:sz w:val="17"/>
              </w:rPr>
              <w:t>]30 % ; 45 %]</w:t>
            </w:r>
          </w:p>
        </w:tc>
        <w:tc>
          <w:tcPr>
            <w:tcW w:type="dxa" w:w="979"/>
            <w:shd w:val="clear" w:fill="F2F5F8"/>
          </w:tcPr>
          <w:p>
            <w:pPr>
              <w:spacing w:after="40" w:before="40"/>
            </w:pPr>
            <w:r>
              <w:rPr>
                <w:sz w:val="17"/>
              </w:rPr>
            </w:r>
            <w:r>
              <w:rPr>
                <w:sz w:val="17"/>
              </w:rPr>
              <w:t>&gt; 45 %</w:t>
            </w:r>
          </w:p>
        </w:tc>
      </w:tr>
      <w:tr>
        <w:tc>
          <w:tcPr>
            <w:tcW w:type="dxa" w:w="1142"/>
          </w:tcPr>
          <w:p>
            <w:pPr>
              <w:spacing w:after="40" w:before="40"/>
            </w:pPr>
            <w:r>
              <w:rPr>
                <w:sz w:val="17"/>
              </w:rPr>
            </w:r>
            <w:r>
              <w:rPr>
                <w:sz w:val="17"/>
              </w:rPr>
              <w:t>GE</w:t>
            </w:r>
          </w:p>
        </w:tc>
        <w:tc>
          <w:tcPr>
            <w:tcW w:type="dxa" w:w="979"/>
          </w:tcPr>
          <w:p>
            <w:pPr>
              <w:spacing w:after="40" w:before="40"/>
            </w:pPr>
            <w:r>
              <w:rPr>
                <w:sz w:val="17"/>
              </w:rPr>
            </w:r>
            <w:r>
              <w:rPr>
                <w:sz w:val="17"/>
              </w:rPr>
              <w:t>≤ 10 %</w:t>
            </w:r>
          </w:p>
        </w:tc>
        <w:tc>
          <w:tcPr>
            <w:tcW w:type="dxa" w:w="2121"/>
          </w:tcPr>
          <w:p>
            <w:pPr>
              <w:spacing w:after="40" w:before="40"/>
            </w:pPr>
            <w:r>
              <w:rPr>
                <w:sz w:val="17"/>
              </w:rPr>
            </w:r>
            <w:r>
              <w:rPr>
                <w:sz w:val="17"/>
              </w:rPr>
              <w:t>]10 % ; 15 %]</w:t>
            </w:r>
          </w:p>
        </w:tc>
        <w:tc>
          <w:tcPr>
            <w:tcW w:type="dxa" w:w="2121"/>
          </w:tcPr>
          <w:p>
            <w:pPr>
              <w:spacing w:after="40" w:before="40"/>
            </w:pPr>
            <w:r>
              <w:rPr>
                <w:sz w:val="17"/>
              </w:rPr>
            </w:r>
            <w:r>
              <w:rPr>
                <w:sz w:val="17"/>
              </w:rPr>
              <w:t>]15 % ; 25 %]</w:t>
            </w:r>
          </w:p>
        </w:tc>
        <w:tc>
          <w:tcPr>
            <w:tcW w:type="dxa" w:w="2121"/>
          </w:tcPr>
          <w:p>
            <w:pPr>
              <w:spacing w:after="40" w:before="40"/>
            </w:pPr>
            <w:r>
              <w:rPr>
                <w:sz w:val="17"/>
              </w:rPr>
            </w:r>
            <w:r>
              <w:rPr>
                <w:sz w:val="17"/>
              </w:rPr>
              <w:t>]25 % ; 40 %]</w:t>
            </w:r>
          </w:p>
        </w:tc>
        <w:tc>
          <w:tcPr>
            <w:tcW w:type="dxa" w:w="979"/>
          </w:tcPr>
          <w:p>
            <w:pPr>
              <w:spacing w:after="40" w:before="40"/>
            </w:pPr>
            <w:r>
              <w:rPr>
                <w:sz w:val="17"/>
              </w:rPr>
            </w:r>
            <w:r>
              <w:rPr>
                <w:sz w:val="17"/>
              </w:rPr>
              <w:t>&gt; 40 %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438"/>
            <w:shd w:val="clear" w:fill="0F3D63"/>
          </w:tcPr>
          <w:p>
            <w:pPr>
              <w:spacing w:after="40" w:before="40"/>
            </w:pPr>
            <w:r>
              <w:rPr>
                <w:color w:val="FFFFFF"/>
                <w:sz w:val="17"/>
              </w:rPr>
            </w:r>
            <w:r>
              <w:rPr>
                <w:b/>
                <w:color w:val="FFFFFF"/>
                <w:sz w:val="17"/>
              </w:rPr>
              <w:t>Code</w:t>
            </w:r>
          </w:p>
        </w:tc>
        <w:tc>
          <w:tcPr>
            <w:tcW w:type="dxa" w:w="5852"/>
            <w:shd w:val="clear" w:fill="0F3D63"/>
          </w:tcPr>
          <w:p>
            <w:pPr>
              <w:spacing w:after="40" w:before="40"/>
            </w:pPr>
            <w:r>
              <w:rPr>
                <w:color w:val="FFFFFF"/>
                <w:sz w:val="17"/>
              </w:rPr>
            </w:r>
            <w:r>
              <w:rPr>
                <w:b/>
                <w:color w:val="FFFFFF"/>
                <w:sz w:val="17"/>
              </w:rPr>
              <w:t>Cas</w:t>
            </w:r>
          </w:p>
        </w:tc>
        <w:tc>
          <w:tcPr>
            <w:tcW w:type="dxa" w:w="1170"/>
            <w:shd w:val="clear" w:fill="0F3D63"/>
          </w:tcPr>
          <w:p>
            <w:pPr>
              <w:spacing w:after="40" w:before="40"/>
            </w:pPr>
            <w:r>
              <w:rPr>
                <w:color w:val="FFFFFF"/>
                <w:sz w:val="17"/>
              </w:rPr>
            </w:r>
            <w:r>
              <w:rPr>
                <w:b/>
                <w:color w:val="FFFFFF"/>
                <w:sz w:val="17"/>
              </w:rPr>
              <w:t>Score imposé</w:t>
            </w:r>
          </w:p>
        </w:tc>
      </w:tr>
      <w:tr>
        <w:tc>
          <w:tcPr>
            <w:tcW w:type="dxa" w:w="2438"/>
          </w:tcPr>
          <w:p>
            <w:pPr>
              <w:spacing w:after="40" w:before="40"/>
            </w:pPr>
            <w:r>
              <w:rPr>
                <w:sz w:val="17"/>
              </w:rPr>
            </w:r>
            <w:r>
              <w:rPr>
                <w:rFonts w:ascii="Consolas" w:hAnsi="Consolas"/>
                <w:color w:val="8A2B2B"/>
                <w:sz w:val="17"/>
              </w:rPr>
              <w:t>MAIN_CLIENT_LOSS_LIKELY</w:t>
            </w:r>
          </w:p>
        </w:tc>
        <w:tc>
          <w:tcPr>
            <w:tcW w:type="dxa" w:w="5852"/>
          </w:tcPr>
          <w:p>
            <w:pPr>
              <w:spacing w:after="40" w:before="40"/>
            </w:pPr>
            <w:r>
              <w:rPr>
                <w:sz w:val="17"/>
              </w:rPr>
            </w:r>
            <w:r>
              <w:rPr>
                <w:sz w:val="17"/>
              </w:rPr>
              <w:t>Perte probable du client principal (préavis reçu, appel d'offres perdu)</w:t>
            </w:r>
          </w:p>
        </w:tc>
        <w:tc>
          <w:tcPr>
            <w:tcW w:type="dxa" w:w="1170"/>
          </w:tcPr>
          <w:p>
            <w:pPr>
              <w:spacing w:after="40" w:before="40"/>
            </w:pPr>
            <w:r>
              <w:rPr>
                <w:sz w:val="17"/>
              </w:rPr>
            </w:r>
            <w:r>
              <w:rPr>
                <w:sz w:val="17"/>
              </w:rPr>
              <w:t>0</w:t>
            </w:r>
          </w:p>
        </w:tc>
      </w:tr>
    </w:tbl>
    <w:p>
      <w:pPr>
        <w:spacing w:after="80"/>
      </w:pPr>
    </w:p>
    <w:p>
      <w:r>
        <w:rPr>
          <w:b/>
        </w:rPr>
        <w:t>Justificatifs requis :</w:t>
      </w:r>
      <w:r>
        <w:t xml:space="preserve"> Balance clients ; Élimination des ventes intragroupe.</w:t>
      </w:r>
    </w:p>
    <w:p>
      <w:pPr>
        <w:pStyle w:val="Heading4"/>
      </w:pPr>
      <w:r>
        <w:t>D4.4 — Concentration fournisseurs</w:t>
      </w:r>
    </w:p>
    <w:p>
      <w:r>
        <w:t>Part du premier fournisseur dans les achats, en %. La substituabilité et le délai de remplacement sont appréciés séparément en D4.7 (risque opérationnel) : le présent critère mesure la dépendance, pas sa mitigation.</w:t>
      </w:r>
    </w:p>
    <w:p>
      <w:r>
        <w:rPr>
          <w:b/>
        </w:rPr>
        <w:t>Formule :</w:t>
      </w:r>
      <w:r>
        <w:t xml:space="preserve"> </w:t>
      </w:r>
      <w:r>
        <w:rPr>
          <w:rFonts w:ascii="Consolas" w:hAnsi="Consolas"/>
          <w:color w:val="8A2B2B"/>
          <w:sz w:val="18"/>
        </w:rPr>
        <w:t>achats_premier_fournisseur / achats_totaux</w:t>
      </w:r>
    </w:p>
    <w:p>
      <w:r>
        <w:rPr>
          <w:b/>
        </w:rPr>
        <w:t>Poids :</w:t>
      </w:r>
      <w:r>
        <w:t xml:space="preserve"> TPE 2.00 % · PME 1.50 % · GE 1.50 %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15 %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]15 % ; 25 %]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]25 % ; 40 %]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]40 % ; 60 %]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60 %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136"/>
            <w:shd w:val="clear" w:fill="0F3D63"/>
          </w:tcPr>
          <w:p>
            <w:pPr>
              <w:spacing w:after="40" w:before="40"/>
            </w:pPr>
            <w:r>
              <w:rPr>
                <w:color w:val="FFFFFF"/>
                <w:sz w:val="17"/>
              </w:rPr>
            </w:r>
            <w:r>
              <w:rPr>
                <w:b/>
                <w:color w:val="FFFFFF"/>
                <w:sz w:val="17"/>
              </w:rPr>
              <w:t>Code</w:t>
            </w:r>
          </w:p>
        </w:tc>
        <w:tc>
          <w:tcPr>
            <w:tcW w:type="dxa" w:w="6104"/>
            <w:shd w:val="clear" w:fill="0F3D63"/>
          </w:tcPr>
          <w:p>
            <w:pPr>
              <w:spacing w:after="40" w:before="40"/>
            </w:pPr>
            <w:r>
              <w:rPr>
                <w:color w:val="FFFFFF"/>
                <w:sz w:val="17"/>
              </w:rPr>
            </w:r>
            <w:r>
              <w:rPr>
                <w:b/>
                <w:color w:val="FFFFFF"/>
                <w:sz w:val="17"/>
              </w:rPr>
              <w:t>Cas</w:t>
            </w:r>
          </w:p>
        </w:tc>
        <w:tc>
          <w:tcPr>
            <w:tcW w:type="dxa" w:w="1221"/>
            <w:shd w:val="clear" w:fill="0F3D63"/>
          </w:tcPr>
          <w:p>
            <w:pPr>
              <w:spacing w:after="40" w:before="40"/>
            </w:pPr>
            <w:r>
              <w:rPr>
                <w:color w:val="FFFFFF"/>
                <w:sz w:val="17"/>
              </w:rPr>
            </w:r>
            <w:r>
              <w:rPr>
                <w:b/>
                <w:color w:val="FFFFFF"/>
                <w:sz w:val="17"/>
              </w:rPr>
              <w:t>Score imposé</w:t>
            </w:r>
          </w:p>
        </w:tc>
      </w:tr>
      <w:tr>
        <w:tc>
          <w:tcPr>
            <w:tcW w:type="dxa" w:w="2136"/>
          </w:tcPr>
          <w:p>
            <w:pPr>
              <w:spacing w:after="40" w:before="40"/>
            </w:pPr>
            <w:r>
              <w:rPr>
                <w:sz w:val="17"/>
              </w:rPr>
            </w:r>
            <w:r>
              <w:rPr>
                <w:rFonts w:ascii="Consolas" w:hAnsi="Consolas"/>
                <w:color w:val="8A2B2B"/>
                <w:sz w:val="17"/>
              </w:rPr>
              <w:t>VITAL_SINGLE_SOURCE</w:t>
            </w:r>
          </w:p>
        </w:tc>
        <w:tc>
          <w:tcPr>
            <w:tcW w:type="dxa" w:w="6104"/>
          </w:tcPr>
          <w:p>
            <w:pPr>
              <w:spacing w:after="40" w:before="40"/>
            </w:pPr>
            <w:r>
              <w:rPr>
                <w:sz w:val="17"/>
              </w:rPr>
            </w:r>
            <w:r>
              <w:rPr>
                <w:sz w:val="17"/>
              </w:rPr>
              <w:t>Mono-source vitale sans alternative qualifiée, ou fournisseur lié en difficulté</w:t>
            </w:r>
          </w:p>
        </w:tc>
        <w:tc>
          <w:tcPr>
            <w:tcW w:type="dxa" w:w="1221"/>
          </w:tcPr>
          <w:p>
            <w:pPr>
              <w:spacing w:after="40" w:before="40"/>
            </w:pPr>
            <w:r>
              <w:rPr>
                <w:sz w:val="17"/>
              </w:rPr>
            </w:r>
            <w:r>
              <w:rPr>
                <w:sz w:val="17"/>
              </w:rPr>
              <w:t>0</w:t>
            </w:r>
          </w:p>
        </w:tc>
      </w:tr>
    </w:tbl>
    <w:p>
      <w:pPr>
        <w:spacing w:after="80"/>
      </w:pPr>
    </w:p>
    <w:p>
      <w:r>
        <w:rPr>
          <w:b/>
        </w:rPr>
        <w:t>Justificatifs requis :</w:t>
      </w:r>
      <w:r>
        <w:t xml:space="preserve"> Balance fournisseurs ; Cartographie des alternatives.</w:t>
      </w:r>
    </w:p>
    <w:p>
      <w:pPr>
        <w:pStyle w:val="Heading4"/>
      </w:pPr>
      <w:r>
        <w:t>D4.5 — Visibilité des revenus / carnet de commandes</w:t>
      </w:r>
    </w:p>
    <w:p>
      <w:r>
        <w:t>Commandes : mois de CA sécurisé et qualité juridique du carnet. Récurrent : rétention/churn. Retail : historique comparable et saisonnalité.</w:t>
      </w:r>
    </w:p>
    <w:p>
      <w:r>
        <w:rPr>
          <w:b/>
        </w:rPr>
        <w:t>Poids :</w:t>
      </w:r>
      <w:r>
        <w:t xml:space="preserve"> TPE 2.00 % · PME 2.00 % · GE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 12 mois de revenus sécurisés ou &gt; 80 % récurrents avec rétention &gt; 90 % ; contreparties solides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9–12 mois ou 60–80 % récurrents ; annulations historiques faibles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6–9 mois ou 40–60 % récurrents ; visibilité moyenne cohérente au secteur</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3–6 mois, carnet non ferme, churn élevé ou dépendance à appels d'offres non acquis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&lt; 3 mois, annulations matérielles, carnet artificiel ou arrêt d'activité prévisible</w:t>
            </w:r>
          </w:p>
        </w:tc>
      </w:tr>
    </w:tbl>
    <w:p>
      <w:pPr>
        <w:spacing w:after="80"/>
      </w:pPr>
    </w:p>
    <w:p>
      <w:pPr>
        <w:pStyle w:val="Heading4"/>
      </w:pPr>
      <w:r>
        <w:t>D4.6 — Exposition pays, change et matières premières</w:t>
      </w:r>
    </w:p>
    <w:p>
      <w:r>
        <w:t>Exposition nette après couverture juridiquement efficace, rapportée à EBITDA/achats/CA.</w:t>
      </w:r>
    </w:p>
    <w:p>
      <w:r>
        <w:rPr>
          <w:b/>
        </w:rPr>
        <w:t>Poids :</w:t>
      </w:r>
      <w:r>
        <w:t xml:space="preserve"> TPE 1.00 % · PME 1.50 %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Exposition nette &lt; 10 % de l'EBITDA ou couverture complète ; pays stables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Exposition 10–25 %, couverture &gt; 75 %, répercussion prix démontrée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Exposition 25–50 %, couverture 50–75 %, volatilité absorbable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Exposition 50–100 %, couverture &lt; 50 %, risque pays/transfert ou commodity matériel</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Exposition &gt; 100 % de l'EBITDA, aucune couverture, continuité menacée ou pays bloqué</w:t>
            </w:r>
          </w:p>
        </w:tc>
      </w:tr>
    </w:tbl>
    <w:p>
      <w:pPr>
        <w:spacing w:after="80"/>
      </w:pPr>
    </w:p>
    <w:p>
      <w:pPr>
        <w:pStyle w:val="Heading4"/>
      </w:pPr>
      <w:r>
        <w:t>D4.7 — Risque opérationnel, technologie et capex</w:t>
      </w:r>
    </w:p>
    <w:p>
      <w:r>
        <w:rPr>
          <w:b/>
        </w:rPr>
        <w:t>Poids :</w:t>
      </w:r>
      <w:r>
        <w:t xml:space="preserve"> TPE 1.50 % · PME 1.50 %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Processus robustes, redondance, maintenance et assurance adéquates, capex financé, aucun incident matériel</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Contrôles satisfaisants, dépendances connues et plans testés, capex maîtrisé</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Contrôles moyens, quelques dépendances/sites uniques, capex nécessaire mais finançable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Outil vieillissant, incidents fréquents, sous-investissement, dépendance critique, assurance insuffisante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Arrêt majeur non résolu, technologie obsolète, perte de licence/certification ou capex vital non financé</w:t>
            </w:r>
          </w:p>
        </w:tc>
      </w:tr>
    </w:tbl>
    <w:p>
      <w:pPr>
        <w:spacing w:after="80"/>
      </w:pPr>
    </w:p>
    <w:p>
      <w:pPr>
        <w:pStyle w:val="Heading4"/>
      </w:pPr>
      <w:r>
        <w:t>D4.8 — Qualité et soutenabilité de la croissance</w:t>
      </w:r>
    </w:p>
    <w:p>
      <w:r>
        <w:rPr>
          <w:b/>
        </w:rPr>
        <w:t>Poids :</w:t>
      </w:r>
      <w:r>
        <w:t xml:space="preserve"> TPE 1.00 % · PME 1.00 %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Croissance rentable, financée majoritairement par cash-flow/fonds propres, BFR et capacités maîtrisés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Croissance rentable avec dette modérée, plan capacitaire et commercial prouvé</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Croissance correcte mais dépendante de dette/BFR ; hypothèses raisonnables, mitigations identifiées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Croissance non rentable, BFR tendu, expansion trop rapide ou investissements sous-estimés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Croissance artificielle/circulaire, acquisitions non intégrées, destruction de cash ou plan irréaliste</w:t>
            </w:r>
          </w:p>
        </w:tc>
      </w:tr>
    </w:tbl>
    <w:p>
      <w:pPr>
        <w:spacing w:after="80"/>
      </w:pPr>
    </w:p>
    <w:p>
      <w:pPr>
        <w:pStyle w:val="Heading3"/>
      </w:pPr>
      <w:r>
        <w:t>D5 — Management, gouvernance et groupe</w:t>
      </w:r>
    </w:p>
    <w:p>
      <w:pPr>
        <w:pStyle w:val="Heading4"/>
      </w:pPr>
      <w:r>
        <w:t>D5.1 — Expérience et stabilité du management</w:t>
      </w:r>
    </w:p>
    <w:p>
      <w:r>
        <w:rPr>
          <w:b/>
        </w:rPr>
        <w:t>Poids :</w:t>
      </w:r>
      <w:r>
        <w:t xml:space="preserve"> TPE 3.00 % · PME 2.50 % · GE 2.50 %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Équipe complète, &gt; 10 ans d'expérience pertinente, stabilité &gt; 5 ans, succession en place, réalisations vérifiées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Expérience 5–10 ans, faible turnover, compétences adaptées et résultats cohérents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Expérience 3–5 ans ou changement récent maîtrisé ; quelques lacunes compensées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Équipe incomplète, turnover élevé, expérience limitée, objectifs régulièrement non atteints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Incompétence manifeste, départs critiques, information trompeuse ou incapacité à exploiter</w:t>
            </w:r>
          </w:p>
        </w:tc>
      </w:tr>
    </w:tbl>
    <w:p>
      <w:pPr>
        <w:spacing w:after="80"/>
      </w:pPr>
    </w:p>
    <w:p>
      <w:pPr>
        <w:pStyle w:val="Heading4"/>
      </w:pPr>
      <w:r>
        <w:t>D5.2 — Dépendance homme-clé et succession</w:t>
      </w:r>
    </w:p>
    <w:p>
      <w:r>
        <w:rPr>
          <w:b/>
        </w:rPr>
        <w:t>Poids :</w:t>
      </w:r>
      <w:r>
        <w:t xml:space="preserve"> TPE 2.50 % · PME 1.50 %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Responsabilités distribuées, délégations formelles, successeurs identifiés et plan testé</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Dépendance limitée ; adjoint compétent et documentation suffisante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Dépendance réelle mais remplaçable en 3–6 mois ; plan partiel</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Dirigeant concentre clients, technique et pouvoirs ; absence de succession crédible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Indisponibilité de l'homme-clé compromettant immédiatement l'activité, sans solution</w:t>
            </w:r>
          </w:p>
        </w:tc>
      </w:tr>
    </w:tbl>
    <w:p>
      <w:pPr>
        <w:spacing w:after="80"/>
      </w:pPr>
    </w:p>
    <w:p>
      <w:pPr>
        <w:pStyle w:val="Heading4"/>
      </w:pPr>
      <w:r>
        <w:t>D5.3 — Gouvernance et contrôle interne</w:t>
      </w:r>
    </w:p>
    <w:p>
      <w:r>
        <w:rPr>
          <w:b/>
        </w:rPr>
        <w:t>Poids :</w:t>
      </w:r>
      <w:r>
        <w:t xml:space="preserve"> TPE 2.00 % · PME 2.00 % · GE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Organes actifs et documentés, séparation des pouvoirs, audit/risques/conformité proportionnés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Gouvernance structurée, contrôles réguliers, incidents corrigés dans les délais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Gouvernance informelle mais fonctionnelle ; contrôles essentiels présents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Pouvoirs concentrés, contrôles faibles, recommandations récurrentes non clôturées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Absence de contrôle, fraude/irrégularité de gouvernance, décisions non autorisées</w:t>
            </w:r>
          </w:p>
        </w:tc>
      </w:tr>
    </w:tbl>
    <w:p>
      <w:pPr>
        <w:spacing w:after="80"/>
      </w:pPr>
    </w:p>
    <w:p>
      <w:pPr>
        <w:pStyle w:val="Heading4"/>
      </w:pPr>
      <w:r>
        <w:t>D5.4 — Actionnariat, groupe et soutien</w:t>
      </w:r>
    </w:p>
    <w:p>
      <w:r>
        <w:t>Note standalone conservée. Le support groupe n'améliore le grade que via la méthode dédiée (capacité + volonté + cadre juridique), jamais dans ce critère.</w:t>
      </w:r>
    </w:p>
    <w:p>
      <w:r>
        <w:rPr>
          <w:b/>
        </w:rPr>
        <w:t>Poids :</w:t>
      </w:r>
      <w:r>
        <w:t xml:space="preserve"> TPE 2.00 % · PME 1.50 % · GE 2.50 %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Actionnariat stable et transparent ; parent très solide ; support juridiquement engageant ou historique incontestable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Actionnaires solides et impliqués ; soutien documenté mais non totalement contraignant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Actionnariat stable, capacité de soutien moyenne ou entité autonome sans besoin de support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Conflits, dilution probable, actionnaires endettés ou soutien incertain</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Groupe en difficulté, ponctions de cash, litige actionnarial majeur ou opacité</w:t>
            </w:r>
          </w:p>
        </w:tc>
      </w:tr>
    </w:tbl>
    <w:p>
      <w:pPr>
        <w:spacing w:after="80"/>
      </w:pPr>
    </w:p>
    <w:p>
      <w:pPr>
        <w:pStyle w:val="Heading4"/>
      </w:pPr>
      <w:r>
        <w:t>D5.5 — Stratégie et qualité d'exécution</w:t>
      </w:r>
    </w:p>
    <w:p>
      <w:r>
        <w:rPr>
          <w:b/>
        </w:rPr>
        <w:t>Poids :</w:t>
      </w:r>
      <w:r>
        <w:t xml:space="preserve"> TPE 2.00 % · PME 1.50 % · GE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Stratégie documentée et cohérente ; réalisations ≥ 90 % des budgets ajustés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Stratégie crédible ; réalisations 75–90 % ; écarts expliqués et corrigés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Plan raisonnable mais partiellement documenté ; réalisations 60–75 %</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Plans fréquemment révisés, réalisations &lt; 60 %, hypothèses trop optimistes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Absence de stratégie, budgets manipulés ou décisions menaçant la continuité</w:t>
            </w:r>
          </w:p>
        </w:tc>
      </w:tr>
    </w:tbl>
    <w:p>
      <w:pPr>
        <w:spacing w:after="80"/>
      </w:pPr>
    </w:p>
    <w:p>
      <w:pPr>
        <w:pStyle w:val="Heading4"/>
      </w:pPr>
      <w:r>
        <w:t>D5.6 — Transactions avec parties liées</w:t>
      </w:r>
    </w:p>
    <w:p>
      <w:r>
        <w:rPr>
          <w:b/>
        </w:rPr>
        <w:t>Poids :</w:t>
      </w:r>
      <w:r>
        <w:t xml:space="preserve"> TPE 1.50 % · PME 1.50 %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Transactions limitées, aux conditions de marché, approuvées, documentées et rapprochées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Transactions significatives mais transparentes, contractuelles et recouvrées normalement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Transactions fréquentes, documentation partielle, impact financier limité</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Créances/avances importantes, prix non démontrés, cash-pooling défavorable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Détournement de ressources, créances irrécouvrables, garanties cachées ou transactions non autorisées</w:t>
            </w:r>
          </w:p>
        </w:tc>
      </w:tr>
    </w:tbl>
    <w:p>
      <w:pPr>
        <w:spacing w:after="80"/>
      </w:pPr>
    </w:p>
    <w:p>
      <w:pPr>
        <w:pStyle w:val="Heading4"/>
      </w:pPr>
      <w:r>
        <w:t>D5.7 — Pilotage financier et culture du risque</w:t>
      </w:r>
    </w:p>
    <w:p>
      <w:r>
        <w:rPr>
          <w:b/>
        </w:rPr>
        <w:t>Poids :</w:t>
      </w:r>
      <w:r>
        <w:t xml:space="preserve"> TPE 2.00 % · PME 1.50 % · GE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Reporting mensuel fiable, cash forecast glissant, scénarios, limites et alertes formalisés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Reporting trimestriel fiable, budget/forecast et suivi de trésorerie réguliers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Reporting annuel/intermédiaire suffisant mais peu prospectif ; dépendance à l'expert-comptable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Pilotage tardif, absence de forecast, données contradictoires, réaction après incident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Aucun pilotage fiable, refus de transparence ou dissimulation de difficultés</w:t>
            </w:r>
          </w:p>
        </w:tc>
      </w:tr>
    </w:tbl>
    <w:p>
      <w:pPr>
        <w:spacing w:after="80"/>
      </w:pPr>
    </w:p>
    <w:p>
      <w:pPr>
        <w:pStyle w:val="Heading3"/>
      </w:pPr>
      <w:r>
        <w:t>D6 — Transparence et conformité</w:t>
      </w:r>
    </w:p>
    <w:p>
      <w:pPr>
        <w:pStyle w:val="Heading4"/>
      </w:pPr>
      <w:r>
        <w:t>D6.1 — Qualité / certification des états financiers</w:t>
      </w:r>
    </w:p>
    <w:p>
      <w:r>
        <w:rPr>
          <w:b/>
        </w:rPr>
        <w:t>Poids :</w:t>
      </w:r>
      <w:r>
        <w:t xml:space="preserve"> TPE 1.50 % · PME 1.25 %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Comptes audités/certifiés sans réserve matérielle ; ou TPE non soumise avec comptes rapprochés à fiabilité élevée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Opinion avec réserve non matérielle ou revue limitée solide ; écarts corrigés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Comptes non audités mais cohérents, documentés et rapprochés ; qualité moyenne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Réserves matérielles, nombreux retraitements ou périmètre incomplet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Comptes non fiables/refusés, soupçon de falsification ou continuité non reflétée</w:t>
            </w:r>
          </w:p>
        </w:tc>
      </w:tr>
    </w:tbl>
    <w:p>
      <w:pPr>
        <w:spacing w:after="80"/>
      </w:pPr>
    </w:p>
    <w:p>
      <w:pPr>
        <w:pStyle w:val="Heading4"/>
      </w:pPr>
      <w:r>
        <w:t>D6.2 — Délai de production de l'information</w:t>
      </w:r>
    </w:p>
    <w:p>
      <w:r>
        <w:t>Jours entre la clôture et la réception d'un dossier exploitable.</w:t>
      </w:r>
    </w:p>
    <w:p>
      <w:r>
        <w:rPr>
          <w:b/>
        </w:rPr>
        <w:t>Poids :</w:t>
      </w:r>
      <w:r>
        <w:t xml:space="preserve"> TPE 1.50 % · PME 1.00 % · GE 0.75 %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1577"/>
        <w:gridCol w:w="1577"/>
        <w:gridCol w:w="1577"/>
        <w:gridCol w:w="1577"/>
        <w:gridCol w:w="1577"/>
        <w:gridCol w:w="1577"/>
      </w:tblGrid>
      <w:tr>
        <w:trPr>
          <w:tblHeader w:val="true"/>
        </w:trPr>
        <w:tc>
          <w:tcPr>
            <w:tcW w:type="dxa" w:w="1003"/>
            <w:shd w:val="clear" w:fill="0F3D63"/>
          </w:tcPr>
          <w:p>
            <w:pPr>
              <w:spacing w:after="40" w:before="40"/>
            </w:pPr>
            <w:r>
              <w:rPr>
                <w:color w:val="FFFFFF"/>
                <w:sz w:val="17"/>
              </w:rPr>
            </w:r>
            <w:r>
              <w:rPr>
                <w:b/>
                <w:color w:val="FFFFFF"/>
                <w:sz w:val="17"/>
              </w:rPr>
              <w:t>Segment</w:t>
            </w:r>
          </w:p>
        </w:tc>
        <w:tc>
          <w:tcPr>
            <w:tcW w:type="dxa" w:w="1003"/>
            <w:shd w:val="clear" w:fill="0F3D63"/>
          </w:tcPr>
          <w:p>
            <w:pPr>
              <w:spacing w:after="40" w:before="40"/>
            </w:pPr>
            <w:r>
              <w:rPr>
                <w:color w:val="FFFFFF"/>
                <w:sz w:val="17"/>
              </w:rPr>
            </w:r>
            <w:r>
              <w:rPr>
                <w:b/>
                <w:color w:val="FFFFFF"/>
                <w:sz w:val="17"/>
              </w:rPr>
              <w:t>100</w:t>
            </w:r>
          </w:p>
        </w:tc>
        <w:tc>
          <w:tcPr>
            <w:tcW w:type="dxa" w:w="2150"/>
            <w:shd w:val="clear" w:fill="0F3D63"/>
          </w:tcPr>
          <w:p>
            <w:pPr>
              <w:spacing w:after="40" w:before="40"/>
            </w:pPr>
            <w:r>
              <w:rPr>
                <w:color w:val="FFFFFF"/>
                <w:sz w:val="17"/>
              </w:rPr>
            </w:r>
            <w:r>
              <w:rPr>
                <w:b/>
                <w:color w:val="FFFFFF"/>
                <w:sz w:val="17"/>
              </w:rPr>
              <w:t>75</w:t>
            </w:r>
          </w:p>
        </w:tc>
        <w:tc>
          <w:tcPr>
            <w:tcW w:type="dxa" w:w="2150"/>
            <w:shd w:val="clear" w:fill="0F3D63"/>
          </w:tcPr>
          <w:p>
            <w:pPr>
              <w:spacing w:after="40" w:before="40"/>
            </w:pPr>
            <w:r>
              <w:rPr>
                <w:color w:val="FFFFFF"/>
                <w:sz w:val="17"/>
              </w:rPr>
            </w:r>
            <w:r>
              <w:rPr>
                <w:b/>
                <w:color w:val="FFFFFF"/>
                <w:sz w:val="17"/>
              </w:rPr>
              <w:t>50</w:t>
            </w:r>
          </w:p>
        </w:tc>
        <w:tc>
          <w:tcPr>
            <w:tcW w:type="dxa" w:w="2150"/>
            <w:shd w:val="clear" w:fill="0F3D63"/>
          </w:tcPr>
          <w:p>
            <w:pPr>
              <w:spacing w:after="40" w:before="40"/>
            </w:pPr>
            <w:r>
              <w:rPr>
                <w:color w:val="FFFFFF"/>
                <w:sz w:val="17"/>
              </w:rPr>
            </w:r>
            <w:r>
              <w:rPr>
                <w:b/>
                <w:color w:val="FFFFFF"/>
                <w:sz w:val="17"/>
              </w:rPr>
              <w:t>25</w:t>
            </w:r>
          </w:p>
        </w:tc>
        <w:tc>
          <w:tcPr>
            <w:tcW w:type="dxa" w:w="1003"/>
            <w:shd w:val="clear" w:fill="0F3D63"/>
          </w:tcPr>
          <w:p>
            <w:pPr>
              <w:spacing w:after="40" w:before="40"/>
            </w:pPr>
            <w:r>
              <w:rPr>
                <w:color w:val="FFFFFF"/>
                <w:sz w:val="17"/>
              </w:rPr>
            </w:r>
            <w:r>
              <w:rPr>
                <w:b/>
                <w:color w:val="FFFFFF"/>
                <w:sz w:val="17"/>
              </w:rPr>
              <w:t>0</w:t>
            </w:r>
          </w:p>
        </w:tc>
      </w:tr>
      <w:tr>
        <w:tc>
          <w:tcPr>
            <w:tcW w:type="dxa" w:w="1003"/>
          </w:tcPr>
          <w:p>
            <w:pPr>
              <w:spacing w:after="40" w:before="40"/>
            </w:pPr>
            <w:r>
              <w:rPr>
                <w:sz w:val="17"/>
              </w:rPr>
            </w:r>
            <w:r>
              <w:rPr>
                <w:sz w:val="17"/>
              </w:rPr>
              <w:t>TPE</w:t>
            </w:r>
          </w:p>
        </w:tc>
        <w:tc>
          <w:tcPr>
            <w:tcW w:type="dxa" w:w="1003"/>
          </w:tcPr>
          <w:p>
            <w:pPr>
              <w:spacing w:after="40" w:before="40"/>
            </w:pPr>
            <w:r>
              <w:rPr>
                <w:sz w:val="17"/>
              </w:rPr>
            </w:r>
            <w:r>
              <w:rPr>
                <w:sz w:val="17"/>
              </w:rPr>
              <w:t>≤ 120 j</w:t>
            </w:r>
          </w:p>
        </w:tc>
        <w:tc>
          <w:tcPr>
            <w:tcW w:type="dxa" w:w="2150"/>
          </w:tcPr>
          <w:p>
            <w:pPr>
              <w:spacing w:after="40" w:before="40"/>
            </w:pPr>
            <w:r>
              <w:rPr>
                <w:sz w:val="17"/>
              </w:rPr>
            </w:r>
            <w:r>
              <w:rPr>
                <w:sz w:val="17"/>
              </w:rPr>
              <w:t>]120 j ; 180 j]</w:t>
            </w:r>
          </w:p>
        </w:tc>
        <w:tc>
          <w:tcPr>
            <w:tcW w:type="dxa" w:w="2150"/>
          </w:tcPr>
          <w:p>
            <w:pPr>
              <w:spacing w:after="40" w:before="40"/>
            </w:pPr>
            <w:r>
              <w:rPr>
                <w:sz w:val="17"/>
              </w:rPr>
            </w:r>
            <w:r>
              <w:rPr>
                <w:sz w:val="17"/>
              </w:rPr>
              <w:t>]180 j ; 240 j]</w:t>
            </w:r>
          </w:p>
        </w:tc>
        <w:tc>
          <w:tcPr>
            <w:tcW w:type="dxa" w:w="2150"/>
          </w:tcPr>
          <w:p>
            <w:pPr>
              <w:spacing w:after="40" w:before="40"/>
            </w:pPr>
            <w:r>
              <w:rPr>
                <w:sz w:val="17"/>
              </w:rPr>
            </w:r>
            <w:r>
              <w:rPr>
                <w:sz w:val="17"/>
              </w:rPr>
              <w:t>]240 j ; 365 j]</w:t>
            </w:r>
          </w:p>
        </w:tc>
        <w:tc>
          <w:tcPr>
            <w:tcW w:type="dxa" w:w="1003"/>
          </w:tcPr>
          <w:p>
            <w:pPr>
              <w:spacing w:after="40" w:before="40"/>
            </w:pPr>
            <w:r>
              <w:rPr>
                <w:sz w:val="17"/>
              </w:rPr>
            </w:r>
            <w:r>
              <w:rPr>
                <w:sz w:val="17"/>
              </w:rPr>
              <w:t>&gt; 365 j</w:t>
            </w:r>
          </w:p>
        </w:tc>
      </w:tr>
      <w:tr>
        <w:tc>
          <w:tcPr>
            <w:tcW w:type="dxa" w:w="1003"/>
            <w:shd w:val="clear" w:fill="F2F5F8"/>
          </w:tcPr>
          <w:p>
            <w:pPr>
              <w:spacing w:after="40" w:before="40"/>
            </w:pPr>
            <w:r>
              <w:rPr>
                <w:sz w:val="17"/>
              </w:rPr>
            </w:r>
            <w:r>
              <w:rPr>
                <w:sz w:val="17"/>
              </w:rPr>
              <w:t>PME</w:t>
            </w:r>
          </w:p>
        </w:tc>
        <w:tc>
          <w:tcPr>
            <w:tcW w:type="dxa" w:w="1003"/>
            <w:shd w:val="clear" w:fill="F2F5F8"/>
          </w:tcPr>
          <w:p>
            <w:pPr>
              <w:spacing w:after="40" w:before="40"/>
            </w:pPr>
            <w:r>
              <w:rPr>
                <w:sz w:val="17"/>
              </w:rPr>
            </w:r>
            <w:r>
              <w:rPr>
                <w:sz w:val="17"/>
              </w:rPr>
              <w:t>≤ 90 j</w:t>
            </w:r>
          </w:p>
        </w:tc>
        <w:tc>
          <w:tcPr>
            <w:tcW w:type="dxa" w:w="2150"/>
            <w:shd w:val="clear" w:fill="F2F5F8"/>
          </w:tcPr>
          <w:p>
            <w:pPr>
              <w:spacing w:after="40" w:before="40"/>
            </w:pPr>
            <w:r>
              <w:rPr>
                <w:sz w:val="17"/>
              </w:rPr>
            </w:r>
            <w:r>
              <w:rPr>
                <w:sz w:val="17"/>
              </w:rPr>
              <w:t>]90 j ; 150 j]</w:t>
            </w:r>
          </w:p>
        </w:tc>
        <w:tc>
          <w:tcPr>
            <w:tcW w:type="dxa" w:w="2150"/>
            <w:shd w:val="clear" w:fill="F2F5F8"/>
          </w:tcPr>
          <w:p>
            <w:pPr>
              <w:spacing w:after="40" w:before="40"/>
            </w:pPr>
            <w:r>
              <w:rPr>
                <w:sz w:val="17"/>
              </w:rPr>
            </w:r>
            <w:r>
              <w:rPr>
                <w:sz w:val="17"/>
              </w:rPr>
              <w:t>]150 j ; 210 j]</w:t>
            </w:r>
          </w:p>
        </w:tc>
        <w:tc>
          <w:tcPr>
            <w:tcW w:type="dxa" w:w="2150"/>
            <w:shd w:val="clear" w:fill="F2F5F8"/>
          </w:tcPr>
          <w:p>
            <w:pPr>
              <w:spacing w:after="40" w:before="40"/>
            </w:pPr>
            <w:r>
              <w:rPr>
                <w:sz w:val="17"/>
              </w:rPr>
            </w:r>
            <w:r>
              <w:rPr>
                <w:sz w:val="17"/>
              </w:rPr>
              <w:t>]210 j ; 300 j]</w:t>
            </w:r>
          </w:p>
        </w:tc>
        <w:tc>
          <w:tcPr>
            <w:tcW w:type="dxa" w:w="1003"/>
            <w:shd w:val="clear" w:fill="F2F5F8"/>
          </w:tcPr>
          <w:p>
            <w:pPr>
              <w:spacing w:after="40" w:before="40"/>
            </w:pPr>
            <w:r>
              <w:rPr>
                <w:sz w:val="17"/>
              </w:rPr>
            </w:r>
            <w:r>
              <w:rPr>
                <w:sz w:val="17"/>
              </w:rPr>
              <w:t>&gt; 300 j</w:t>
            </w:r>
          </w:p>
        </w:tc>
      </w:tr>
      <w:tr>
        <w:tc>
          <w:tcPr>
            <w:tcW w:type="dxa" w:w="1003"/>
          </w:tcPr>
          <w:p>
            <w:pPr>
              <w:spacing w:after="40" w:before="40"/>
            </w:pPr>
            <w:r>
              <w:rPr>
                <w:sz w:val="17"/>
              </w:rPr>
            </w:r>
            <w:r>
              <w:rPr>
                <w:sz w:val="17"/>
              </w:rPr>
              <w:t>GE</w:t>
            </w:r>
          </w:p>
        </w:tc>
        <w:tc>
          <w:tcPr>
            <w:tcW w:type="dxa" w:w="1003"/>
          </w:tcPr>
          <w:p>
            <w:pPr>
              <w:spacing w:after="40" w:before="40"/>
            </w:pPr>
            <w:r>
              <w:rPr>
                <w:sz w:val="17"/>
              </w:rPr>
            </w:r>
            <w:r>
              <w:rPr>
                <w:sz w:val="17"/>
              </w:rPr>
              <w:t>≤ 75 j</w:t>
            </w:r>
          </w:p>
        </w:tc>
        <w:tc>
          <w:tcPr>
            <w:tcW w:type="dxa" w:w="2150"/>
          </w:tcPr>
          <w:p>
            <w:pPr>
              <w:spacing w:after="40" w:before="40"/>
            </w:pPr>
            <w:r>
              <w:rPr>
                <w:sz w:val="17"/>
              </w:rPr>
            </w:r>
            <w:r>
              <w:rPr>
                <w:sz w:val="17"/>
              </w:rPr>
              <w:t>]75 j ; 120 j]</w:t>
            </w:r>
          </w:p>
        </w:tc>
        <w:tc>
          <w:tcPr>
            <w:tcW w:type="dxa" w:w="2150"/>
          </w:tcPr>
          <w:p>
            <w:pPr>
              <w:spacing w:after="40" w:before="40"/>
            </w:pPr>
            <w:r>
              <w:rPr>
                <w:sz w:val="17"/>
              </w:rPr>
            </w:r>
            <w:r>
              <w:rPr>
                <w:sz w:val="17"/>
              </w:rPr>
              <w:t>]120 j ; 180 j]</w:t>
            </w:r>
          </w:p>
        </w:tc>
        <w:tc>
          <w:tcPr>
            <w:tcW w:type="dxa" w:w="2150"/>
          </w:tcPr>
          <w:p>
            <w:pPr>
              <w:spacing w:after="40" w:before="40"/>
            </w:pPr>
            <w:r>
              <w:rPr>
                <w:sz w:val="17"/>
              </w:rPr>
            </w:r>
            <w:r>
              <w:rPr>
                <w:sz w:val="17"/>
              </w:rPr>
              <w:t>]180 j ; 270 j]</w:t>
            </w:r>
          </w:p>
        </w:tc>
        <w:tc>
          <w:tcPr>
            <w:tcW w:type="dxa" w:w="1003"/>
          </w:tcPr>
          <w:p>
            <w:pPr>
              <w:spacing w:after="40" w:before="40"/>
            </w:pPr>
            <w:r>
              <w:rPr>
                <w:sz w:val="17"/>
              </w:rPr>
            </w:r>
            <w:r>
              <w:rPr>
                <w:sz w:val="17"/>
              </w:rPr>
              <w:t>&gt; 270 j</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557"/>
            <w:shd w:val="clear" w:fill="0F3D63"/>
          </w:tcPr>
          <w:p>
            <w:pPr>
              <w:spacing w:after="40" w:before="40"/>
            </w:pPr>
            <w:r>
              <w:rPr>
                <w:color w:val="FFFFFF"/>
                <w:sz w:val="17"/>
              </w:rPr>
            </w:r>
            <w:r>
              <w:rPr>
                <w:b/>
                <w:color w:val="FFFFFF"/>
                <w:sz w:val="17"/>
              </w:rPr>
              <w:t>Code</w:t>
            </w:r>
          </w:p>
        </w:tc>
        <w:tc>
          <w:tcPr>
            <w:tcW w:type="dxa" w:w="5370"/>
            <w:shd w:val="clear" w:fill="0F3D63"/>
          </w:tcPr>
          <w:p>
            <w:pPr>
              <w:spacing w:after="40" w:before="40"/>
            </w:pPr>
            <w:r>
              <w:rPr>
                <w:color w:val="FFFFFF"/>
                <w:sz w:val="17"/>
              </w:rPr>
            </w:r>
            <w:r>
              <w:rPr>
                <w:b/>
                <w:color w:val="FFFFFF"/>
                <w:sz w:val="17"/>
              </w:rPr>
              <w:t>Cas</w:t>
            </w:r>
          </w:p>
        </w:tc>
        <w:tc>
          <w:tcPr>
            <w:tcW w:type="dxa" w:w="1534"/>
            <w:shd w:val="clear" w:fill="0F3D63"/>
          </w:tcPr>
          <w:p>
            <w:pPr>
              <w:spacing w:after="40" w:before="40"/>
            </w:pPr>
            <w:r>
              <w:rPr>
                <w:color w:val="FFFFFF"/>
                <w:sz w:val="17"/>
              </w:rPr>
            </w:r>
            <w:r>
              <w:rPr>
                <w:b/>
                <w:color w:val="FFFFFF"/>
                <w:sz w:val="17"/>
              </w:rPr>
              <w:t>Score imposé</w:t>
            </w:r>
          </w:p>
        </w:tc>
      </w:tr>
      <w:tr>
        <w:tc>
          <w:tcPr>
            <w:tcW w:type="dxa" w:w="2557"/>
          </w:tcPr>
          <w:p>
            <w:pPr>
              <w:spacing w:after="40" w:before="40"/>
            </w:pPr>
            <w:r>
              <w:rPr>
                <w:sz w:val="17"/>
              </w:rPr>
            </w:r>
            <w:r>
              <w:rPr>
                <w:rFonts w:ascii="Consolas" w:hAnsi="Consolas"/>
                <w:color w:val="8A2B2B"/>
                <w:sz w:val="17"/>
              </w:rPr>
              <w:t>PRODUCTION_REFUSED</w:t>
            </w:r>
          </w:p>
        </w:tc>
        <w:tc>
          <w:tcPr>
            <w:tcW w:type="dxa" w:w="5370"/>
          </w:tcPr>
          <w:p>
            <w:pPr>
              <w:spacing w:after="40" w:before="40"/>
            </w:pPr>
            <w:r>
              <w:rPr>
                <w:sz w:val="17"/>
              </w:rPr>
            </w:r>
            <w:r>
              <w:rPr>
                <w:sz w:val="17"/>
              </w:rPr>
              <w:t>Refus de produire l'information financière</w:t>
            </w:r>
          </w:p>
        </w:tc>
        <w:tc>
          <w:tcPr>
            <w:tcW w:type="dxa" w:w="1534"/>
          </w:tcPr>
          <w:p>
            <w:pPr>
              <w:spacing w:after="40" w:before="40"/>
            </w:pPr>
            <w:r>
              <w:rPr>
                <w:sz w:val="17"/>
              </w:rPr>
            </w:r>
            <w:r>
              <w:rPr>
                <w:sz w:val="17"/>
              </w:rPr>
              <w:t>0</w:t>
            </w:r>
          </w:p>
        </w:tc>
      </w:tr>
    </w:tbl>
    <w:p>
      <w:pPr>
        <w:spacing w:after="80"/>
      </w:pPr>
    </w:p>
    <w:p>
      <w:pPr>
        <w:pStyle w:val="Heading4"/>
      </w:pPr>
      <w:r>
        <w:t>D6.3 — Cohérence et rapprochements</w:t>
      </w:r>
    </w:p>
    <w:p>
      <w:r>
        <w:t>Écart inexpliqué (%) entre CA comptable, déclaratif/fiscal, flux bancaires annualisés et informations commerciales.</w:t>
      </w:r>
    </w:p>
    <w:p>
      <w:r>
        <w:rPr>
          <w:b/>
        </w:rPr>
        <w:t>Poids :</w:t>
      </w:r>
      <w:r>
        <w:t xml:space="preserve"> TPE 1.50 % · PME 1.00 % · GE 1.00 %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2 %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]2 % ; 5 %]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]5 % ; 10 %]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]10 % ; 20 %]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20 %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291"/>
            <w:shd w:val="clear" w:fill="0F3D63"/>
          </w:tcPr>
          <w:p>
            <w:pPr>
              <w:spacing w:after="40" w:before="40"/>
            </w:pPr>
            <w:r>
              <w:rPr>
                <w:color w:val="FFFFFF"/>
                <w:sz w:val="17"/>
              </w:rPr>
            </w:r>
            <w:r>
              <w:rPr>
                <w:b/>
                <w:color w:val="FFFFFF"/>
                <w:sz w:val="17"/>
              </w:rPr>
              <w:t>Code</w:t>
            </w:r>
          </w:p>
        </w:tc>
        <w:tc>
          <w:tcPr>
            <w:tcW w:type="dxa" w:w="5975"/>
            <w:shd w:val="clear" w:fill="0F3D63"/>
          </w:tcPr>
          <w:p>
            <w:pPr>
              <w:spacing w:after="40" w:before="40"/>
            </w:pPr>
            <w:r>
              <w:rPr>
                <w:color w:val="FFFFFF"/>
                <w:sz w:val="17"/>
              </w:rPr>
            </w:r>
            <w:r>
              <w:rPr>
                <w:b/>
                <w:color w:val="FFFFFF"/>
                <w:sz w:val="17"/>
              </w:rPr>
              <w:t>Cas</w:t>
            </w:r>
          </w:p>
        </w:tc>
        <w:tc>
          <w:tcPr>
            <w:tcW w:type="dxa" w:w="1195"/>
            <w:shd w:val="clear" w:fill="0F3D63"/>
          </w:tcPr>
          <w:p>
            <w:pPr>
              <w:spacing w:after="40" w:before="40"/>
            </w:pPr>
            <w:r>
              <w:rPr>
                <w:color w:val="FFFFFF"/>
                <w:sz w:val="17"/>
              </w:rPr>
            </w:r>
            <w:r>
              <w:rPr>
                <w:b/>
                <w:color w:val="FFFFFF"/>
                <w:sz w:val="17"/>
              </w:rPr>
              <w:t>Score imposé</w:t>
            </w:r>
          </w:p>
        </w:tc>
      </w:tr>
      <w:tr>
        <w:tc>
          <w:tcPr>
            <w:tcW w:type="dxa" w:w="2291"/>
          </w:tcPr>
          <w:p>
            <w:pPr>
              <w:spacing w:after="40" w:before="40"/>
            </w:pPr>
            <w:r>
              <w:rPr>
                <w:sz w:val="17"/>
              </w:rPr>
            </w:r>
            <w:r>
              <w:rPr>
                <w:rFonts w:ascii="Consolas" w:hAnsi="Consolas"/>
                <w:color w:val="8A2B2B"/>
                <w:sz w:val="17"/>
              </w:rPr>
              <w:t>PROBABLE_MANIPULATION</w:t>
            </w:r>
          </w:p>
        </w:tc>
        <w:tc>
          <w:tcPr>
            <w:tcW w:type="dxa" w:w="5975"/>
          </w:tcPr>
          <w:p>
            <w:pPr>
              <w:spacing w:after="40" w:before="40"/>
            </w:pPr>
            <w:r>
              <w:rPr>
                <w:sz w:val="17"/>
              </w:rPr>
            </w:r>
            <w:r>
              <w:rPr>
                <w:sz w:val="17"/>
              </w:rPr>
              <w:t>Manipulation probable de l'information — à instruire avec RF03/RF16</w:t>
            </w:r>
          </w:p>
        </w:tc>
        <w:tc>
          <w:tcPr>
            <w:tcW w:type="dxa" w:w="1195"/>
          </w:tcPr>
          <w:p>
            <w:pPr>
              <w:spacing w:after="40" w:before="40"/>
            </w:pPr>
            <w:r>
              <w:rPr>
                <w:sz w:val="17"/>
              </w:rPr>
            </w:r>
            <w:r>
              <w:rPr>
                <w:sz w:val="17"/>
              </w:rPr>
              <w:t>0</w:t>
            </w:r>
          </w:p>
        </w:tc>
      </w:tr>
    </w:tbl>
    <w:p>
      <w:pPr>
        <w:spacing w:after="80"/>
      </w:pPr>
    </w:p>
    <w:p>
      <w:pPr>
        <w:pStyle w:val="Heading4"/>
      </w:pPr>
      <w:r>
        <w:t>D6.4 — Situation juridique, fiscale et sociale</w:t>
      </w:r>
    </w:p>
    <w:p>
      <w:r>
        <w:rPr>
          <w:b/>
        </w:rPr>
        <w:t>Poids :</w:t>
      </w:r>
      <w:r>
        <w:t xml:space="preserve"> TPE 1.50 % · PME 1.00 % · GE 0.75 %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Obligations à jour, aucune dette/litige matériel, certificats et documents valides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Retard mineur régularisé, contrôle courant sans enjeu matériel</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Plan d'apurement respecté ou litige provisionné et maîtrisable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Arriérés/litige matériel, plan fragile, saisie ou risque de sanction significatif</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Mesure d'exécution majeure, dette non soutenable, procédure menaçant l'activité ou document falsifié</w:t>
            </w:r>
          </w:p>
        </w:tc>
      </w:tr>
    </w:tbl>
    <w:p>
      <w:pPr>
        <w:spacing w:after="80"/>
      </w:pPr>
    </w:p>
    <w:p>
      <w:pPr>
        <w:pStyle w:val="Heading4"/>
      </w:pPr>
      <w:r>
        <w:t>D6.5 — Transparence actionnariat et documents</w:t>
      </w:r>
    </w:p>
    <w:p>
      <w:r>
        <w:rPr>
          <w:b/>
        </w:rPr>
        <w:t>Poids :</w:t>
      </w:r>
      <w:r>
        <w:t xml:space="preserve"> TPE 1.00 % · PME 0.75 %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Actionnariat, UBO, pouvoirs, groupe et engagements complets, à jour, vérifiés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Lacune mineure sans ambiguïté sur contrôle/pouvoirs, correction rapide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Documents partiels mais contrôle et structure raisonnablement établis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Chaîne de détention complexe/opaque, documents expirés ou hors bilan incomplet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UBO/pouvoirs impossibles à établir, faux document ou blocage KYC</w:t>
            </w:r>
          </w:p>
        </w:tc>
      </w:tr>
    </w:tbl>
    <w:p>
      <w:pPr>
        <w:spacing w:after="80"/>
      </w:pPr>
    </w:p>
    <w:p>
      <w:pPr>
        <w:pStyle w:val="Heading3"/>
      </w:pPr>
      <w:r>
        <w:t>D7 — ESG et climat</w:t>
      </w:r>
    </w:p>
    <w:p>
      <w:pPr>
        <w:pStyle w:val="Heading4"/>
      </w:pPr>
      <w:r>
        <w:t>D7.1 — Risque climatique physique</w:t>
      </w:r>
    </w:p>
    <w:p>
      <w:r>
        <w:rPr>
          <w:b/>
        </w:rPr>
        <w:t>Poids :</w:t>
      </w:r>
      <w:r>
        <w:t xml:space="preserve"> TPE 1.00 % · PME 1.00 %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Exposition faible vérifiée ou actifs résilients ; assurances et plans de continuité testés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Exposition modérée, mitigations financées, couverture assurance adéquate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Exposition matérielle mais cartographiée ; plan partiel et pertes absorbables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Exposition élevée (eau/chaleur/inondation/sécheresse), données ou mitigation insuffisantes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Actifs critiques menacés à court terme, sinistres récurrents, absence de solution viable</w:t>
            </w:r>
          </w:p>
        </w:tc>
      </w:tr>
    </w:tbl>
    <w:p>
      <w:pPr>
        <w:spacing w:after="80"/>
      </w:pPr>
    </w:p>
    <w:p>
      <w:pPr>
        <w:pStyle w:val="Heading4"/>
      </w:pPr>
      <w:r>
        <w:t>D7.2 — Risque de transition</w:t>
      </w:r>
    </w:p>
    <w:p>
      <w:r>
        <w:rPr>
          <w:b/>
        </w:rPr>
        <w:t>Poids :</w:t>
      </w:r>
      <w:r>
        <w:t xml:space="preserve"> TPE 0.50 % · PME 0.75 % · GE 1.50 %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Faible intensité/dépendance, réglementation anticipée, offre compatible avec la transition</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Exposition modérée, investissements identifiés et finançables, capacité de répercussion</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Exposition matérielle, trajectoire et budget partiels, risque absorbable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Forte dépendance énergie/carbone/réglementation, capex important non totalement financé</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Modèle économique menacé, interdiction/obsolescence probable, aucun plan crédible</w:t>
            </w:r>
          </w:p>
        </w:tc>
      </w:tr>
    </w:tbl>
    <w:p>
      <w:pPr>
        <w:spacing w:after="80"/>
      </w:pPr>
    </w:p>
    <w:p>
      <w:pPr>
        <w:pStyle w:val="Heading4"/>
      </w:pPr>
      <w:r>
        <w:t>D7.3 — Conformité environnementale et sociale</w:t>
      </w:r>
    </w:p>
    <w:p>
      <w:r>
        <w:rPr>
          <w:b/>
        </w:rPr>
        <w:t>Poids :</w:t>
      </w:r>
      <w:r>
        <w:t xml:space="preserve"> TPE 1.00 % · PME 0.75 %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Autorisations à jour, absence d'incident matériel, système de gestion et indicateurs suivis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Écart mineur corrigé, contrôles adaptés et historique satisfaisant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Écarts modérés avec plan daté/financé ; aucun arrêt probable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Non-conformité matérielle, accident/litige, plan incomplet ou passif potentiel important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Autorisation retirée, fermeture/sanction grave, dommage majeur ou violation bloquante</w:t>
            </w:r>
          </w:p>
        </w:tc>
      </w:tr>
    </w:tbl>
    <w:p>
      <w:pPr>
        <w:spacing w:after="80"/>
      </w:pPr>
    </w:p>
    <w:p>
      <w:pPr>
        <w:pStyle w:val="Heading4"/>
      </w:pPr>
      <w:r>
        <w:t>D7.4 — Gouvernance ESG et plan d'adaptation</w:t>
      </w:r>
    </w:p>
    <w:p>
      <w:r>
        <w:rPr>
          <w:b/>
        </w:rPr>
        <w:t>Poids :</w:t>
      </w:r>
      <w:r>
        <w:t xml:space="preserve"> TPE 0.50 % · PME 0.50 % · GE 1.00 %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Responsabilités conseil/direction, données fiables, objectifs, budget, scénarios et suivi</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Gouvernance formalisée et plan financé sur les risques matériels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Responsables identifiés, diagnostic initial et actions partielles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Approche réactive, données faibles, plan non chiffré ou sans propriétaire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Déni d'un risque matériel, aucune gouvernance, information trompeuse ou greenwashing démontré</w:t>
            </w:r>
          </w:p>
        </w:tc>
      </w:tr>
    </w:tbl>
    <w:p>
      <w:pPr>
        <w:spacing w:after="80"/>
      </w:pPr>
    </w:p>
    <w:p>
      <w:pPr>
        <w:pStyle w:val="Heading3"/>
      </w:pPr>
      <w:r>
        <w:t>Échelle interne (master scale)</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1330"/>
            <w:shd w:val="clear" w:fill="0F3D63"/>
          </w:tcPr>
          <w:p>
            <w:pPr>
              <w:spacing w:after="40" w:before="40"/>
            </w:pPr>
            <w:r>
              <w:rPr>
                <w:color w:val="FFFFFF"/>
                <w:sz w:val="17"/>
              </w:rPr>
            </w:r>
            <w:r>
              <w:rPr>
                <w:b/>
                <w:color w:val="FFFFFF"/>
                <w:sz w:val="17"/>
              </w:rPr>
              <w:t>Grade</w:t>
            </w:r>
          </w:p>
        </w:tc>
        <w:tc>
          <w:tcPr>
            <w:tcW w:type="dxa" w:w="2291"/>
            <w:shd w:val="clear" w:fill="0F3D63"/>
          </w:tcPr>
          <w:p>
            <w:pPr>
              <w:spacing w:after="40" w:before="40"/>
            </w:pPr>
            <w:r>
              <w:rPr>
                <w:color w:val="FFFFFF"/>
                <w:sz w:val="17"/>
              </w:rPr>
            </w:r>
            <w:r>
              <w:rPr>
                <w:b/>
                <w:color w:val="FFFFFF"/>
                <w:sz w:val="17"/>
              </w:rPr>
              <w:t>Score</w:t>
            </w:r>
          </w:p>
        </w:tc>
        <w:tc>
          <w:tcPr>
            <w:tcW w:type="dxa" w:w="1626"/>
            <w:shd w:val="clear" w:fill="0F3D63"/>
          </w:tcPr>
          <w:p>
            <w:pPr>
              <w:spacing w:after="40" w:before="40"/>
            </w:pPr>
            <w:r>
              <w:rPr>
                <w:color w:val="FFFFFF"/>
                <w:sz w:val="17"/>
              </w:rPr>
            </w:r>
            <w:r>
              <w:rPr>
                <w:b/>
                <w:color w:val="FFFFFF"/>
                <w:sz w:val="17"/>
              </w:rPr>
              <w:t>Libellé</w:t>
            </w:r>
          </w:p>
        </w:tc>
        <w:tc>
          <w:tcPr>
            <w:tcW w:type="dxa" w:w="4213"/>
            <w:shd w:val="clear" w:fill="0F3D63"/>
          </w:tcPr>
          <w:p>
            <w:pPr>
              <w:spacing w:after="40" w:before="40"/>
            </w:pPr>
            <w:r>
              <w:rPr>
                <w:color w:val="FFFFFF"/>
                <w:sz w:val="17"/>
              </w:rPr>
            </w:r>
            <w:r>
              <w:rPr>
                <w:b/>
                <w:color w:val="FFFFFF"/>
                <w:sz w:val="17"/>
              </w:rPr>
              <w:t>Décision indicative</w:t>
            </w:r>
          </w:p>
        </w:tc>
      </w:tr>
      <w:tr>
        <w:tc>
          <w:tcPr>
            <w:tcW w:type="dxa" w:w="1330"/>
          </w:tcPr>
          <w:p>
            <w:pPr>
              <w:spacing w:after="40" w:before="40"/>
            </w:pPr>
            <w:r>
              <w:rPr>
                <w:sz w:val="17"/>
              </w:rPr>
            </w:r>
            <w:r>
              <w:rPr>
                <w:sz w:val="17"/>
              </w:rPr>
              <w:t>G1</w:t>
            </w:r>
          </w:p>
        </w:tc>
        <w:tc>
          <w:tcPr>
            <w:tcW w:type="dxa" w:w="2291"/>
          </w:tcPr>
          <w:p>
            <w:pPr>
              <w:spacing w:after="40" w:before="40"/>
            </w:pPr>
            <w:r>
              <w:rPr>
                <w:sz w:val="17"/>
              </w:rPr>
            </w:r>
            <w:r>
              <w:rPr>
                <w:sz w:val="17"/>
              </w:rPr>
              <w:t>≥ 90</w:t>
            </w:r>
          </w:p>
        </w:tc>
        <w:tc>
          <w:tcPr>
            <w:tcW w:type="dxa" w:w="1626"/>
          </w:tcPr>
          <w:p>
            <w:pPr>
              <w:spacing w:after="40" w:before="40"/>
            </w:pPr>
            <w:r>
              <w:rPr>
                <w:sz w:val="17"/>
              </w:rPr>
            </w:r>
            <w:r>
              <w:rPr>
                <w:sz w:val="17"/>
              </w:rPr>
              <w:t>Excellent</w:t>
            </w:r>
          </w:p>
        </w:tc>
        <w:tc>
          <w:tcPr>
            <w:tcW w:type="dxa" w:w="4213"/>
          </w:tcPr>
          <w:p>
            <w:pPr>
              <w:spacing w:after="40" w:before="40"/>
            </w:pPr>
            <w:r>
              <w:rPr>
                <w:sz w:val="17"/>
              </w:rPr>
            </w:r>
            <w:r>
              <w:rPr>
                <w:sz w:val="17"/>
              </w:rPr>
              <w:t>Délégation favorable sous contrôles usuels</w:t>
            </w:r>
          </w:p>
        </w:tc>
      </w:tr>
      <w:tr>
        <w:tc>
          <w:tcPr>
            <w:tcW w:type="dxa" w:w="1330"/>
            <w:shd w:val="clear" w:fill="F2F5F8"/>
          </w:tcPr>
          <w:p>
            <w:pPr>
              <w:spacing w:after="40" w:before="40"/>
            </w:pPr>
            <w:r>
              <w:rPr>
                <w:sz w:val="17"/>
              </w:rPr>
            </w:r>
            <w:r>
              <w:rPr>
                <w:sz w:val="17"/>
              </w:rPr>
              <w:t>G2</w:t>
            </w:r>
          </w:p>
        </w:tc>
        <w:tc>
          <w:tcPr>
            <w:tcW w:type="dxa" w:w="2291"/>
            <w:shd w:val="clear" w:fill="F2F5F8"/>
          </w:tcPr>
          <w:p>
            <w:pPr>
              <w:spacing w:after="40" w:before="40"/>
            </w:pPr>
            <w:r>
              <w:rPr>
                <w:sz w:val="17"/>
              </w:rPr>
            </w:r>
            <w:r>
              <w:rPr>
                <w:sz w:val="17"/>
              </w:rPr>
              <w:t>[85 ; 90[</w:t>
            </w:r>
          </w:p>
        </w:tc>
        <w:tc>
          <w:tcPr>
            <w:tcW w:type="dxa" w:w="1626"/>
            <w:shd w:val="clear" w:fill="F2F5F8"/>
          </w:tcPr>
          <w:p>
            <w:pPr>
              <w:spacing w:after="40" w:before="40"/>
            </w:pPr>
            <w:r>
              <w:rPr>
                <w:sz w:val="17"/>
              </w:rPr>
            </w:r>
            <w:r>
              <w:rPr>
                <w:sz w:val="17"/>
              </w:rPr>
              <w:t>Très solide</w:t>
            </w:r>
          </w:p>
        </w:tc>
        <w:tc>
          <w:tcPr>
            <w:tcW w:type="dxa" w:w="4213"/>
            <w:shd w:val="clear" w:fill="F2F5F8"/>
          </w:tcPr>
          <w:p>
            <w:pPr>
              <w:spacing w:after="40" w:before="40"/>
            </w:pPr>
            <w:r>
              <w:rPr>
                <w:sz w:val="17"/>
              </w:rPr>
            </w:r>
            <w:r>
              <w:rPr>
                <w:sz w:val="17"/>
              </w:rPr>
              <w:t>Favorable</w:t>
            </w:r>
          </w:p>
        </w:tc>
      </w:tr>
      <w:tr>
        <w:tc>
          <w:tcPr>
            <w:tcW w:type="dxa" w:w="1330"/>
          </w:tcPr>
          <w:p>
            <w:pPr>
              <w:spacing w:after="40" w:before="40"/>
            </w:pPr>
            <w:r>
              <w:rPr>
                <w:sz w:val="17"/>
              </w:rPr>
            </w:r>
            <w:r>
              <w:rPr>
                <w:sz w:val="17"/>
              </w:rPr>
              <w:t>G3</w:t>
            </w:r>
          </w:p>
        </w:tc>
        <w:tc>
          <w:tcPr>
            <w:tcW w:type="dxa" w:w="2291"/>
          </w:tcPr>
          <w:p>
            <w:pPr>
              <w:spacing w:after="40" w:before="40"/>
            </w:pPr>
            <w:r>
              <w:rPr>
                <w:sz w:val="17"/>
              </w:rPr>
            </w:r>
            <w:r>
              <w:rPr>
                <w:sz w:val="17"/>
              </w:rPr>
              <w:t>[80 ; 85[</w:t>
            </w:r>
          </w:p>
        </w:tc>
        <w:tc>
          <w:tcPr>
            <w:tcW w:type="dxa" w:w="1626"/>
          </w:tcPr>
          <w:p>
            <w:pPr>
              <w:spacing w:after="40" w:before="40"/>
            </w:pPr>
            <w:r>
              <w:rPr>
                <w:sz w:val="17"/>
              </w:rPr>
            </w:r>
            <w:r>
              <w:rPr>
                <w:sz w:val="17"/>
              </w:rPr>
              <w:t>Solide</w:t>
            </w:r>
          </w:p>
        </w:tc>
        <w:tc>
          <w:tcPr>
            <w:tcW w:type="dxa" w:w="4213"/>
          </w:tcPr>
          <w:p>
            <w:pPr>
              <w:spacing w:after="40" w:before="40"/>
            </w:pPr>
            <w:r>
              <w:rPr>
                <w:sz w:val="17"/>
              </w:rPr>
            </w:r>
            <w:r>
              <w:rPr>
                <w:sz w:val="17"/>
              </w:rPr>
              <w:t>Favorable</w:t>
            </w:r>
          </w:p>
        </w:tc>
      </w:tr>
      <w:tr>
        <w:tc>
          <w:tcPr>
            <w:tcW w:type="dxa" w:w="1330"/>
            <w:shd w:val="clear" w:fill="F2F5F8"/>
          </w:tcPr>
          <w:p>
            <w:pPr>
              <w:spacing w:after="40" w:before="40"/>
            </w:pPr>
            <w:r>
              <w:rPr>
                <w:sz w:val="17"/>
              </w:rPr>
            </w:r>
            <w:r>
              <w:rPr>
                <w:sz w:val="17"/>
              </w:rPr>
              <w:t>G4</w:t>
            </w:r>
          </w:p>
        </w:tc>
        <w:tc>
          <w:tcPr>
            <w:tcW w:type="dxa" w:w="2291"/>
            <w:shd w:val="clear" w:fill="F2F5F8"/>
          </w:tcPr>
          <w:p>
            <w:pPr>
              <w:spacing w:after="40" w:before="40"/>
            </w:pPr>
            <w:r>
              <w:rPr>
                <w:sz w:val="17"/>
              </w:rPr>
            </w:r>
            <w:r>
              <w:rPr>
                <w:sz w:val="17"/>
              </w:rPr>
              <w:t>[75 ; 80[</w:t>
            </w:r>
          </w:p>
        </w:tc>
        <w:tc>
          <w:tcPr>
            <w:tcW w:type="dxa" w:w="1626"/>
            <w:shd w:val="clear" w:fill="F2F5F8"/>
          </w:tcPr>
          <w:p>
            <w:pPr>
              <w:spacing w:after="40" w:before="40"/>
            </w:pPr>
            <w:r>
              <w:rPr>
                <w:sz w:val="17"/>
              </w:rPr>
            </w:r>
            <w:r>
              <w:rPr>
                <w:sz w:val="17"/>
              </w:rPr>
              <w:t>Bon</w:t>
            </w:r>
          </w:p>
        </w:tc>
        <w:tc>
          <w:tcPr>
            <w:tcW w:type="dxa" w:w="4213"/>
            <w:shd w:val="clear" w:fill="F2F5F8"/>
          </w:tcPr>
          <w:p>
            <w:pPr>
              <w:spacing w:after="40" w:before="40"/>
            </w:pPr>
            <w:r>
              <w:rPr>
                <w:sz w:val="17"/>
              </w:rPr>
            </w:r>
            <w:r>
              <w:rPr>
                <w:sz w:val="17"/>
              </w:rPr>
              <w:t>Favorable avec conditions usuelles</w:t>
            </w:r>
          </w:p>
        </w:tc>
      </w:tr>
      <w:tr>
        <w:tc>
          <w:tcPr>
            <w:tcW w:type="dxa" w:w="1330"/>
          </w:tcPr>
          <w:p>
            <w:pPr>
              <w:spacing w:after="40" w:before="40"/>
            </w:pPr>
            <w:r>
              <w:rPr>
                <w:sz w:val="17"/>
              </w:rPr>
            </w:r>
            <w:r>
              <w:rPr>
                <w:sz w:val="17"/>
              </w:rPr>
              <w:t>G5</w:t>
            </w:r>
          </w:p>
        </w:tc>
        <w:tc>
          <w:tcPr>
            <w:tcW w:type="dxa" w:w="2291"/>
          </w:tcPr>
          <w:p>
            <w:pPr>
              <w:spacing w:after="40" w:before="40"/>
            </w:pPr>
            <w:r>
              <w:rPr>
                <w:sz w:val="17"/>
              </w:rPr>
            </w:r>
            <w:r>
              <w:rPr>
                <w:sz w:val="17"/>
              </w:rPr>
              <w:t>[70 ; 75[</w:t>
            </w:r>
          </w:p>
        </w:tc>
        <w:tc>
          <w:tcPr>
            <w:tcW w:type="dxa" w:w="1626"/>
          </w:tcPr>
          <w:p>
            <w:pPr>
              <w:spacing w:after="40" w:before="40"/>
            </w:pPr>
            <w:r>
              <w:rPr>
                <w:sz w:val="17"/>
              </w:rPr>
            </w:r>
            <w:r>
              <w:rPr>
                <w:sz w:val="17"/>
              </w:rPr>
              <w:t>Satisfaisant</w:t>
            </w:r>
          </w:p>
        </w:tc>
        <w:tc>
          <w:tcPr>
            <w:tcW w:type="dxa" w:w="4213"/>
          </w:tcPr>
          <w:p>
            <w:pPr>
              <w:spacing w:after="40" w:before="40"/>
            </w:pPr>
            <w:r>
              <w:rPr>
                <w:sz w:val="17"/>
              </w:rPr>
            </w:r>
            <w:r>
              <w:rPr>
                <w:sz w:val="17"/>
              </w:rPr>
              <w:t>Analyse normale / conditions selon produit</w:t>
            </w:r>
          </w:p>
        </w:tc>
      </w:tr>
      <w:tr>
        <w:tc>
          <w:tcPr>
            <w:tcW w:type="dxa" w:w="1330"/>
            <w:shd w:val="clear" w:fill="F2F5F8"/>
          </w:tcPr>
          <w:p>
            <w:pPr>
              <w:spacing w:after="40" w:before="40"/>
            </w:pPr>
            <w:r>
              <w:rPr>
                <w:sz w:val="17"/>
              </w:rPr>
            </w:r>
            <w:r>
              <w:rPr>
                <w:sz w:val="17"/>
              </w:rPr>
              <w:t>G6</w:t>
            </w:r>
          </w:p>
        </w:tc>
        <w:tc>
          <w:tcPr>
            <w:tcW w:type="dxa" w:w="2291"/>
            <w:shd w:val="clear" w:fill="F2F5F8"/>
          </w:tcPr>
          <w:p>
            <w:pPr>
              <w:spacing w:after="40" w:before="40"/>
            </w:pPr>
            <w:r>
              <w:rPr>
                <w:sz w:val="17"/>
              </w:rPr>
            </w:r>
            <w:r>
              <w:rPr>
                <w:sz w:val="17"/>
              </w:rPr>
              <w:t>[65 ; 70[</w:t>
            </w:r>
          </w:p>
        </w:tc>
        <w:tc>
          <w:tcPr>
            <w:tcW w:type="dxa" w:w="1626"/>
            <w:shd w:val="clear" w:fill="F2F5F8"/>
          </w:tcPr>
          <w:p>
            <w:pPr>
              <w:spacing w:after="40" w:before="40"/>
            </w:pPr>
            <w:r>
              <w:rPr>
                <w:sz w:val="17"/>
              </w:rPr>
            </w:r>
            <w:r>
              <w:rPr>
                <w:sz w:val="17"/>
              </w:rPr>
              <w:t>Acceptable</w:t>
            </w:r>
          </w:p>
        </w:tc>
        <w:tc>
          <w:tcPr>
            <w:tcW w:type="dxa" w:w="4213"/>
            <w:shd w:val="clear" w:fill="F2F5F8"/>
          </w:tcPr>
          <w:p>
            <w:pPr>
              <w:spacing w:after="40" w:before="40"/>
            </w:pPr>
            <w:r>
              <w:rPr>
                <w:sz w:val="17"/>
              </w:rPr>
            </w:r>
            <w:r>
              <w:rPr>
                <w:sz w:val="17"/>
              </w:rPr>
              <w:t>Conditions renforcées et suivi</w:t>
            </w:r>
          </w:p>
        </w:tc>
      </w:tr>
      <w:tr>
        <w:tc>
          <w:tcPr>
            <w:tcW w:type="dxa" w:w="1330"/>
          </w:tcPr>
          <w:p>
            <w:pPr>
              <w:spacing w:after="40" w:before="40"/>
            </w:pPr>
            <w:r>
              <w:rPr>
                <w:sz w:val="17"/>
              </w:rPr>
            </w:r>
            <w:r>
              <w:rPr>
                <w:sz w:val="17"/>
              </w:rPr>
              <w:t>G7</w:t>
            </w:r>
          </w:p>
        </w:tc>
        <w:tc>
          <w:tcPr>
            <w:tcW w:type="dxa" w:w="2291"/>
          </w:tcPr>
          <w:p>
            <w:pPr>
              <w:spacing w:after="40" w:before="40"/>
            </w:pPr>
            <w:r>
              <w:rPr>
                <w:sz w:val="17"/>
              </w:rPr>
            </w:r>
            <w:r>
              <w:rPr>
                <w:sz w:val="17"/>
              </w:rPr>
              <w:t>[60 ; 65[</w:t>
            </w:r>
          </w:p>
        </w:tc>
        <w:tc>
          <w:tcPr>
            <w:tcW w:type="dxa" w:w="1626"/>
          </w:tcPr>
          <w:p>
            <w:pPr>
              <w:spacing w:after="40" w:before="40"/>
            </w:pPr>
            <w:r>
              <w:rPr>
                <w:sz w:val="17"/>
              </w:rPr>
            </w:r>
            <w:r>
              <w:rPr>
                <w:sz w:val="17"/>
              </w:rPr>
              <w:t>Fragile</w:t>
            </w:r>
          </w:p>
        </w:tc>
        <w:tc>
          <w:tcPr>
            <w:tcW w:type="dxa" w:w="4213"/>
          </w:tcPr>
          <w:p>
            <w:pPr>
              <w:spacing w:after="40" w:before="40"/>
            </w:pPr>
            <w:r>
              <w:rPr>
                <w:sz w:val="17"/>
              </w:rPr>
            </w:r>
            <w:r>
              <w:rPr>
                <w:sz w:val="17"/>
              </w:rPr>
              <w:t>Comité / revue renforcée, watchlist possible</w:t>
            </w:r>
          </w:p>
        </w:tc>
      </w:tr>
      <w:tr>
        <w:tc>
          <w:tcPr>
            <w:tcW w:type="dxa" w:w="1330"/>
            <w:shd w:val="clear" w:fill="F2F5F8"/>
          </w:tcPr>
          <w:p>
            <w:pPr>
              <w:spacing w:after="40" w:before="40"/>
            </w:pPr>
            <w:r>
              <w:rPr>
                <w:sz w:val="17"/>
              </w:rPr>
            </w:r>
            <w:r>
              <w:rPr>
                <w:sz w:val="17"/>
              </w:rPr>
              <w:t>G8</w:t>
            </w:r>
          </w:p>
        </w:tc>
        <w:tc>
          <w:tcPr>
            <w:tcW w:type="dxa" w:w="2291"/>
            <w:shd w:val="clear" w:fill="F2F5F8"/>
          </w:tcPr>
          <w:p>
            <w:pPr>
              <w:spacing w:after="40" w:before="40"/>
            </w:pPr>
            <w:r>
              <w:rPr>
                <w:sz w:val="17"/>
              </w:rPr>
            </w:r>
            <w:r>
              <w:rPr>
                <w:sz w:val="17"/>
              </w:rPr>
              <w:t>[55 ; 60[</w:t>
            </w:r>
          </w:p>
        </w:tc>
        <w:tc>
          <w:tcPr>
            <w:tcW w:type="dxa" w:w="1626"/>
            <w:shd w:val="clear" w:fill="F2F5F8"/>
          </w:tcPr>
          <w:p>
            <w:pPr>
              <w:spacing w:after="40" w:before="40"/>
            </w:pPr>
            <w:r>
              <w:rPr>
                <w:sz w:val="17"/>
              </w:rPr>
            </w:r>
            <w:r>
              <w:rPr>
                <w:sz w:val="17"/>
              </w:rPr>
              <w:t>Faible</w:t>
            </w:r>
          </w:p>
        </w:tc>
        <w:tc>
          <w:tcPr>
            <w:tcW w:type="dxa" w:w="4213"/>
            <w:shd w:val="clear" w:fill="F2F5F8"/>
          </w:tcPr>
          <w:p>
            <w:pPr>
              <w:spacing w:after="40" w:before="40"/>
            </w:pPr>
            <w:r>
              <w:rPr>
                <w:sz w:val="17"/>
              </w:rPr>
            </w:r>
            <w:r>
              <w:rPr>
                <w:sz w:val="17"/>
              </w:rPr>
              <w:t>Exception très encadrée ou réduction du risque</w:t>
            </w:r>
          </w:p>
        </w:tc>
      </w:tr>
      <w:tr>
        <w:tc>
          <w:tcPr>
            <w:tcW w:type="dxa" w:w="1330"/>
          </w:tcPr>
          <w:p>
            <w:pPr>
              <w:spacing w:after="40" w:before="40"/>
            </w:pPr>
            <w:r>
              <w:rPr>
                <w:sz w:val="17"/>
              </w:rPr>
            </w:r>
            <w:r>
              <w:rPr>
                <w:sz w:val="17"/>
              </w:rPr>
              <w:t>G9</w:t>
            </w:r>
          </w:p>
        </w:tc>
        <w:tc>
          <w:tcPr>
            <w:tcW w:type="dxa" w:w="2291"/>
          </w:tcPr>
          <w:p>
            <w:pPr>
              <w:spacing w:after="40" w:before="40"/>
            </w:pPr>
            <w:r>
              <w:rPr>
                <w:sz w:val="17"/>
              </w:rPr>
            </w:r>
            <w:r>
              <w:rPr>
                <w:sz w:val="17"/>
              </w:rPr>
              <w:t>[45 ; 55[</w:t>
            </w:r>
          </w:p>
        </w:tc>
        <w:tc>
          <w:tcPr>
            <w:tcW w:type="dxa" w:w="1626"/>
          </w:tcPr>
          <w:p>
            <w:pPr>
              <w:spacing w:after="40" w:before="40"/>
            </w:pPr>
            <w:r>
              <w:rPr>
                <w:sz w:val="17"/>
              </w:rPr>
            </w:r>
            <w:r>
              <w:rPr>
                <w:sz w:val="17"/>
              </w:rPr>
              <w:t>Très faible</w:t>
            </w:r>
          </w:p>
        </w:tc>
        <w:tc>
          <w:tcPr>
            <w:tcW w:type="dxa" w:w="4213"/>
          </w:tcPr>
          <w:p>
            <w:pPr>
              <w:spacing w:after="40" w:before="40"/>
            </w:pPr>
            <w:r>
              <w:rPr>
                <w:sz w:val="17"/>
              </w:rPr>
            </w:r>
            <w:r>
              <w:rPr>
                <w:sz w:val="17"/>
              </w:rPr>
              <w:t>Généralement défavorable, stratégie de réduction</w:t>
            </w:r>
          </w:p>
        </w:tc>
      </w:tr>
      <w:tr>
        <w:tc>
          <w:tcPr>
            <w:tcW w:type="dxa" w:w="1330"/>
            <w:shd w:val="clear" w:fill="F2F5F8"/>
          </w:tcPr>
          <w:p>
            <w:pPr>
              <w:spacing w:after="40" w:before="40"/>
            </w:pPr>
            <w:r>
              <w:rPr>
                <w:sz w:val="17"/>
              </w:rPr>
            </w:r>
            <w:r>
              <w:rPr>
                <w:sz w:val="17"/>
              </w:rPr>
              <w:t>G10</w:t>
            </w:r>
          </w:p>
        </w:tc>
        <w:tc>
          <w:tcPr>
            <w:tcW w:type="dxa" w:w="2291"/>
            <w:shd w:val="clear" w:fill="F2F5F8"/>
          </w:tcPr>
          <w:p>
            <w:pPr>
              <w:spacing w:after="40" w:before="40"/>
            </w:pPr>
            <w:r>
              <w:rPr>
                <w:sz w:val="17"/>
              </w:rPr>
            </w:r>
            <w:r>
              <w:rPr>
                <w:sz w:val="17"/>
              </w:rPr>
              <w:t>&lt; 45</w:t>
            </w:r>
          </w:p>
        </w:tc>
        <w:tc>
          <w:tcPr>
            <w:tcW w:type="dxa" w:w="1626"/>
            <w:shd w:val="clear" w:fill="F2F5F8"/>
          </w:tcPr>
          <w:p>
            <w:pPr>
              <w:spacing w:after="40" w:before="40"/>
            </w:pPr>
            <w:r>
              <w:rPr>
                <w:sz w:val="17"/>
              </w:rPr>
            </w:r>
            <w:r>
              <w:rPr>
                <w:sz w:val="17"/>
              </w:rPr>
              <w:t>Risque très élevé</w:t>
            </w:r>
          </w:p>
        </w:tc>
        <w:tc>
          <w:tcPr>
            <w:tcW w:type="dxa" w:w="4213"/>
            <w:shd w:val="clear" w:fill="F2F5F8"/>
          </w:tcPr>
          <w:p>
            <w:pPr>
              <w:spacing w:after="40" w:before="40"/>
            </w:pPr>
            <w:r>
              <w:rPr>
                <w:sz w:val="17"/>
              </w:rPr>
            </w:r>
            <w:r>
              <w:rPr>
                <w:sz w:val="17"/>
              </w:rPr>
              <w:t>Défavorable sauf décision exceptionnelle formelle</w:t>
            </w:r>
          </w:p>
        </w:tc>
      </w:tr>
      <w:tr>
        <w:tc>
          <w:tcPr>
            <w:tcW w:type="dxa" w:w="1330"/>
          </w:tcPr>
          <w:p>
            <w:pPr>
              <w:spacing w:after="40" w:before="40"/>
            </w:pPr>
            <w:r>
              <w:rPr>
                <w:sz w:val="17"/>
              </w:rPr>
            </w:r>
            <w:r>
              <w:rPr>
                <w:sz w:val="17"/>
              </w:rPr>
              <w:t>DEF1 · DEF2 · DEF3</w:t>
            </w:r>
          </w:p>
        </w:tc>
        <w:tc>
          <w:tcPr>
            <w:tcW w:type="dxa" w:w="2291"/>
          </w:tcPr>
          <w:p>
            <w:pPr>
              <w:spacing w:after="40" w:before="40"/>
            </w:pPr>
            <w:r>
              <w:rPr>
                <w:sz w:val="17"/>
              </w:rPr>
            </w:r>
            <w:r>
              <w:rPr>
                <w:sz w:val="17"/>
              </w:rPr>
              <w:t>définition de défaut déclenchée</w:t>
            </w:r>
          </w:p>
        </w:tc>
        <w:tc>
          <w:tcPr>
            <w:tcW w:type="dxa" w:w="1626"/>
          </w:tcPr>
          <w:p>
            <w:pPr>
              <w:spacing w:after="40" w:before="40"/>
            </w:pPr>
            <w:r>
              <w:rPr>
                <w:sz w:val="17"/>
              </w:rPr>
            </w:r>
            <w:r>
              <w:rPr>
                <w:sz w:val="17"/>
              </w:rPr>
              <w:t>Grades défaut internes</w:t>
            </w:r>
          </w:p>
        </w:tc>
        <w:tc>
          <w:tcPr>
            <w:tcW w:type="dxa" w:w="4213"/>
          </w:tcPr>
          <w:p>
            <w:pPr>
              <w:spacing w:after="40" w:before="40"/>
            </w:pPr>
            <w:r>
              <w:rPr>
                <w:sz w:val="17"/>
              </w:rPr>
            </w:r>
            <w:r>
              <w:rPr>
                <w:sz w:val="17"/>
              </w:rPr>
              <w:t>Recouvrement et classification par les dispositifs dédiés</w:t>
            </w:r>
          </w:p>
        </w:tc>
      </w:tr>
    </w:tbl>
    <w:p>
      <w:pPr>
        <w:spacing w:after="80"/>
      </w:pPr>
    </w:p>
    <w:p>
      <w:pPr>
        <w:pStyle w:val="Heading3"/>
      </w:pPr>
      <w:r>
        <w:t>Caps structurels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562"/>
            <w:shd w:val="clear" w:fill="0F3D63"/>
          </w:tcPr>
          <w:p>
            <w:pPr>
              <w:spacing w:after="40" w:before="40"/>
            </w:pPr>
            <w:r>
              <w:rPr>
                <w:color w:val="FFFFFF"/>
                <w:sz w:val="17"/>
              </w:rPr>
            </w:r>
            <w:r>
              <w:rPr>
                <w:b/>
                <w:color w:val="FFFFFF"/>
                <w:sz w:val="17"/>
              </w:rPr>
              <w:t>Code</w:t>
            </w:r>
          </w:p>
        </w:tc>
        <w:tc>
          <w:tcPr>
            <w:tcW w:type="dxa" w:w="5620"/>
            <w:shd w:val="clear" w:fill="0F3D63"/>
          </w:tcPr>
          <w:p>
            <w:pPr>
              <w:spacing w:after="40" w:before="40"/>
            </w:pPr>
            <w:r>
              <w:rPr>
                <w:color w:val="FFFFFF"/>
                <w:sz w:val="17"/>
              </w:rPr>
            </w:r>
            <w:r>
              <w:rPr>
                <w:b/>
                <w:color w:val="FFFFFF"/>
                <w:sz w:val="17"/>
              </w:rPr>
              <w:t>Situation</w:t>
            </w:r>
          </w:p>
        </w:tc>
        <w:tc>
          <w:tcPr>
            <w:tcW w:type="dxa" w:w="1592"/>
            <w:shd w:val="clear" w:fill="0F3D63"/>
          </w:tcPr>
          <w:p>
            <w:pPr>
              <w:spacing w:after="40" w:before="40"/>
            </w:pPr>
            <w:r>
              <w:rPr>
                <w:color w:val="FFFFFF"/>
                <w:sz w:val="17"/>
              </w:rPr>
            </w:r>
            <w:r>
              <w:rPr>
                <w:b/>
                <w:color w:val="FFFFFF"/>
                <w:sz w:val="17"/>
              </w:rPr>
              <w:t>Plafond de grade</w:t>
            </w:r>
          </w:p>
        </w:tc>
        <w:tc>
          <w:tcPr>
            <w:tcW w:type="dxa" w:w="1686"/>
            <w:shd w:val="clear" w:fill="0F3D63"/>
          </w:tcPr>
          <w:p>
            <w:pPr>
              <w:spacing w:after="40" w:before="40"/>
            </w:pPr>
            <w:r>
              <w:rPr>
                <w:color w:val="FFFFFF"/>
                <w:sz w:val="17"/>
              </w:rPr>
            </w:r>
            <w:r>
              <w:rPr>
                <w:b/>
                <w:color w:val="FFFFFF"/>
                <w:sz w:val="17"/>
              </w:rPr>
              <w:t>Source de la règle</w:t>
            </w:r>
          </w:p>
        </w:tc>
      </w:tr>
      <w:tr>
        <w:tc>
          <w:tcPr>
            <w:tcW w:type="dxa" w:w="562"/>
          </w:tcPr>
          <w:p>
            <w:pPr>
              <w:spacing w:after="40" w:before="40"/>
            </w:pPr>
            <w:r>
              <w:rPr>
                <w:sz w:val="17"/>
              </w:rPr>
            </w:r>
            <w:r>
              <w:rPr>
                <w:sz w:val="17"/>
              </w:rPr>
              <w:t>CAP01</w:t>
            </w:r>
          </w:p>
        </w:tc>
        <w:tc>
          <w:tcPr>
            <w:tcW w:type="dxa" w:w="5620"/>
          </w:tcPr>
          <w:p>
            <w:pPr>
              <w:spacing w:after="40" w:before="40"/>
            </w:pPr>
            <w:r>
              <w:rPr>
                <w:sz w:val="17"/>
              </w:rPr>
            </w:r>
            <w:r>
              <w:rPr>
                <w:sz w:val="17"/>
              </w:rPr>
              <w:t>Entreprise de moins de 2 ans, hors support groupe juridiquement robuste</w:t>
            </w:r>
          </w:p>
        </w:tc>
        <w:tc>
          <w:tcPr>
            <w:tcW w:type="dxa" w:w="1592"/>
          </w:tcPr>
          <w:p>
            <w:pPr>
              <w:spacing w:after="40" w:before="40"/>
            </w:pPr>
            <w:r>
              <w:rPr>
                <w:sz w:val="17"/>
              </w:rPr>
            </w:r>
            <w:r>
              <w:rPr>
                <w:sz w:val="17"/>
              </w:rPr>
              <w:t>pas mieux que G7</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CAP02</w:t>
            </w:r>
          </w:p>
        </w:tc>
        <w:tc>
          <w:tcPr>
            <w:tcW w:type="dxa" w:w="5620"/>
            <w:shd w:val="clear" w:fill="F2F5F8"/>
          </w:tcPr>
          <w:p>
            <w:pPr>
              <w:spacing w:after="40" w:before="40"/>
            </w:pPr>
            <w:r>
              <w:rPr>
                <w:sz w:val="17"/>
              </w:rPr>
            </w:r>
            <w:r>
              <w:rPr>
                <w:sz w:val="17"/>
              </w:rPr>
              <w:t>Fonds propres tangibles négatifs sans recapitalisation ferme et réalisée</w:t>
            </w:r>
          </w:p>
        </w:tc>
        <w:tc>
          <w:tcPr>
            <w:tcW w:type="dxa" w:w="1592"/>
            <w:shd w:val="clear" w:fill="F2F5F8"/>
          </w:tcPr>
          <w:p>
            <w:pPr>
              <w:spacing w:after="40" w:before="40"/>
            </w:pPr>
            <w:r>
              <w:rPr>
                <w:sz w:val="17"/>
              </w:rPr>
            </w:r>
            <w:r>
              <w:rPr>
                <w:sz w:val="17"/>
              </w:rPr>
              <w:t>pas mieux que G9</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CAP03</w:t>
            </w:r>
          </w:p>
        </w:tc>
        <w:tc>
          <w:tcPr>
            <w:tcW w:type="dxa" w:w="5620"/>
          </w:tcPr>
          <w:p>
            <w:pPr>
              <w:spacing w:after="40" w:before="40"/>
            </w:pPr>
            <w:r>
              <w:rPr>
                <w:sz w:val="17"/>
              </w:rPr>
            </w:r>
            <w:r>
              <w:rPr>
                <w:sz w:val="17"/>
              </w:rPr>
              <w:t>Incertitude matérielle sur la continuité d'exploitation</w:t>
            </w:r>
          </w:p>
        </w:tc>
        <w:tc>
          <w:tcPr>
            <w:tcW w:type="dxa" w:w="1592"/>
          </w:tcPr>
          <w:p>
            <w:pPr>
              <w:spacing w:after="40" w:before="40"/>
            </w:pPr>
            <w:r>
              <w:rPr>
                <w:sz w:val="17"/>
              </w:rPr>
            </w:r>
            <w:r>
              <w:rPr>
                <w:sz w:val="17"/>
              </w:rPr>
              <w:t>pas mieux que G9</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CAP04</w:t>
            </w:r>
          </w:p>
        </w:tc>
        <w:tc>
          <w:tcPr>
            <w:tcW w:type="dxa" w:w="5620"/>
            <w:shd w:val="clear" w:fill="F2F5F8"/>
          </w:tcPr>
          <w:p>
            <w:pPr>
              <w:spacing w:after="40" w:before="40"/>
            </w:pPr>
            <w:r>
              <w:rPr>
                <w:sz w:val="17"/>
              </w:rPr>
            </w:r>
            <w:r>
              <w:rPr>
                <w:sz w:val="17"/>
              </w:rPr>
              <w:t>Comptes annuels trop anciens (au-delà du maximum segment)</w:t>
            </w:r>
          </w:p>
        </w:tc>
        <w:tc>
          <w:tcPr>
            <w:tcW w:type="dxa" w:w="1592"/>
            <w:shd w:val="clear" w:fill="F2F5F8"/>
          </w:tcPr>
          <w:p>
            <w:pPr>
              <w:spacing w:after="40" w:before="40"/>
            </w:pPr>
            <w:r>
              <w:rPr>
                <w:sz w:val="17"/>
              </w:rPr>
            </w:r>
            <w:r>
              <w:rPr>
                <w:sz w:val="17"/>
              </w:rPr>
              <w:t>aucun grade final</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CAP05</w:t>
            </w:r>
          </w:p>
        </w:tc>
        <w:tc>
          <w:tcPr>
            <w:tcW w:type="dxa" w:w="5620"/>
          </w:tcPr>
          <w:p>
            <w:pPr>
              <w:spacing w:after="40" w:before="40"/>
            </w:pPr>
            <w:r>
              <w:rPr>
                <w:sz w:val="17"/>
              </w:rPr>
            </w:r>
            <w:r>
              <w:rPr>
                <w:sz w:val="17"/>
              </w:rPr>
              <w:t>EBITDA négatif deux années sur trois</w:t>
            </w:r>
          </w:p>
        </w:tc>
        <w:tc>
          <w:tcPr>
            <w:tcW w:type="dxa" w:w="1592"/>
          </w:tcPr>
          <w:p>
            <w:pPr>
              <w:spacing w:after="40" w:before="40"/>
            </w:pPr>
            <w:r>
              <w:rPr>
                <w:sz w:val="17"/>
              </w:rPr>
            </w:r>
            <w:r>
              <w:rPr>
                <w:sz w:val="17"/>
              </w:rPr>
              <w:t>pas mieux que G9</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CAP06</w:t>
            </w:r>
          </w:p>
        </w:tc>
        <w:tc>
          <w:tcPr>
            <w:tcW w:type="dxa" w:w="5620"/>
            <w:shd w:val="clear" w:fill="F2F5F8"/>
          </w:tcPr>
          <w:p>
            <w:pPr>
              <w:spacing w:after="40" w:before="40"/>
            </w:pPr>
            <w:r>
              <w:rPr>
                <w:sz w:val="17"/>
              </w:rPr>
            </w:r>
            <w:r>
              <w:rPr>
                <w:sz w:val="17"/>
              </w:rPr>
              <w:t>DSCR &lt; 1,0× en scénario de base</w:t>
            </w:r>
          </w:p>
        </w:tc>
        <w:tc>
          <w:tcPr>
            <w:tcW w:type="dxa" w:w="1592"/>
            <w:shd w:val="clear" w:fill="F2F5F8"/>
          </w:tcPr>
          <w:p>
            <w:pPr>
              <w:spacing w:after="40" w:before="40"/>
            </w:pPr>
            <w:r>
              <w:rPr>
                <w:sz w:val="17"/>
              </w:rPr>
            </w:r>
            <w:r>
              <w:rPr>
                <w:sz w:val="17"/>
              </w:rPr>
              <w:t>pas mieux que G9</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CAP07</w:t>
            </w:r>
          </w:p>
        </w:tc>
        <w:tc>
          <w:tcPr>
            <w:tcW w:type="dxa" w:w="5620"/>
          </w:tcPr>
          <w:p>
            <w:pPr>
              <w:spacing w:after="40" w:before="40"/>
            </w:pPr>
            <w:r>
              <w:rPr>
                <w:sz w:val="17"/>
              </w:rPr>
            </w:r>
            <w:r>
              <w:rPr>
                <w:sz w:val="17"/>
              </w:rPr>
              <w:t>DSCR &lt; 1,0× uniquement en stress</w:t>
            </w:r>
          </w:p>
        </w:tc>
        <w:tc>
          <w:tcPr>
            <w:tcW w:type="dxa" w:w="1592"/>
          </w:tcPr>
          <w:p>
            <w:pPr>
              <w:spacing w:after="40" w:before="40"/>
            </w:pPr>
            <w:r>
              <w:rPr>
                <w:sz w:val="17"/>
              </w:rPr>
            </w:r>
            <w:r>
              <w:rPr>
                <w:sz w:val="17"/>
              </w:rPr>
              <w:t>pas mieux que G7</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CAP08</w:t>
            </w:r>
          </w:p>
        </w:tc>
        <w:tc>
          <w:tcPr>
            <w:tcW w:type="dxa" w:w="5620"/>
            <w:shd w:val="clear" w:fill="F2F5F8"/>
          </w:tcPr>
          <w:p>
            <w:pPr>
              <w:spacing w:after="40" w:before="40"/>
            </w:pPr>
            <w:r>
              <w:rPr>
                <w:sz w:val="17"/>
              </w:rPr>
            </w:r>
            <w:r>
              <w:rPr>
                <w:sz w:val="17"/>
              </w:rPr>
              <w:t>Dépendance client unique sans contrat ferme ni mitigation</w:t>
            </w:r>
          </w:p>
        </w:tc>
        <w:tc>
          <w:tcPr>
            <w:tcW w:type="dxa" w:w="1592"/>
            <w:shd w:val="clear" w:fill="F2F5F8"/>
          </w:tcPr>
          <w:p>
            <w:pPr>
              <w:spacing w:after="40" w:before="40"/>
            </w:pPr>
            <w:r>
              <w:rPr>
                <w:sz w:val="17"/>
              </w:rPr>
            </w:r>
            <w:r>
              <w:rPr>
                <w:sz w:val="17"/>
              </w:rPr>
              <w:t>pas mieux que G8</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CAP09</w:t>
            </w:r>
          </w:p>
        </w:tc>
        <w:tc>
          <w:tcPr>
            <w:tcW w:type="dxa" w:w="5620"/>
          </w:tcPr>
          <w:p>
            <w:pPr>
              <w:spacing w:after="40" w:before="40"/>
            </w:pPr>
            <w:r>
              <w:rPr>
                <w:sz w:val="17"/>
              </w:rPr>
            </w:r>
            <w:r>
              <w:rPr>
                <w:sz w:val="17"/>
              </w:rPr>
              <w:t>Restructuration active / forbearance</w:t>
            </w:r>
          </w:p>
        </w:tc>
        <w:tc>
          <w:tcPr>
            <w:tcW w:type="dxa" w:w="1592"/>
          </w:tcPr>
          <w:p>
            <w:pPr>
              <w:spacing w:after="40" w:before="40"/>
            </w:pPr>
            <w:r>
              <w:rPr>
                <w:sz w:val="17"/>
              </w:rPr>
            </w:r>
            <w:r>
              <w:rPr>
                <w:sz w:val="17"/>
              </w:rPr>
              <w:t>pas mieux que G8</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CAP10</w:t>
            </w:r>
          </w:p>
        </w:tc>
        <w:tc>
          <w:tcPr>
            <w:tcW w:type="dxa" w:w="5620"/>
            <w:shd w:val="clear" w:fill="F2F5F8"/>
          </w:tcPr>
          <w:p>
            <w:pPr>
              <w:spacing w:after="40" w:before="40"/>
            </w:pPr>
            <w:r>
              <w:rPr>
                <w:sz w:val="17"/>
              </w:rPr>
            </w:r>
            <w:r>
              <w:rPr>
                <w:sz w:val="17"/>
              </w:rPr>
              <w:t>Dossier groupe incomplet alors que le groupe est matériel</w:t>
            </w:r>
          </w:p>
        </w:tc>
        <w:tc>
          <w:tcPr>
            <w:tcW w:type="dxa" w:w="1592"/>
            <w:shd w:val="clear" w:fill="F2F5F8"/>
          </w:tcPr>
          <w:p>
            <w:pPr>
              <w:spacing w:after="40" w:before="40"/>
            </w:pPr>
            <w:r>
              <w:rPr>
                <w:sz w:val="17"/>
              </w:rPr>
            </w:r>
            <w:r>
              <w:rPr>
                <w:sz w:val="17"/>
              </w:rPr>
              <w:t>pas mieux que G7</w:t>
            </w:r>
          </w:p>
        </w:tc>
        <w:tc>
          <w:tcPr>
            <w:tcW w:type="dxa" w:w="1686"/>
            <w:shd w:val="clear" w:fill="F2F5F8"/>
          </w:tcPr>
          <w:p>
            <w:pPr>
              <w:spacing w:after="40" w:before="40"/>
            </w:pPr>
            <w:r>
              <w:rPr>
                <w:sz w:val="17"/>
              </w:rPr>
            </w:r>
            <w:r>
              <w:rPr>
                <w:sz w:val="17"/>
              </w:rPr>
              <w:t>CREDIT_POLICY</w:t>
            </w:r>
          </w:p>
        </w:tc>
      </w:tr>
    </w:tbl>
    <w:p>
      <w:pPr>
        <w:spacing w:after="80"/>
      </w:pPr>
    </w:p>
    <w:p>
      <w:pPr>
        <w:pStyle w:val="Heading3"/>
      </w:pPr>
      <w:r>
        <w:t>Niveau de confiance et conséquence sur le grade</w:t>
      </w:r>
    </w:p>
    <w:p>
      <w:r>
        <w:t>Confiance = 35 % complétude + 20 % fraîcheur + 30 % fiabilité + 15 % provenance.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913"/>
            <w:shd w:val="clear" w:fill="0F3D63"/>
          </w:tcPr>
          <w:p>
            <w:pPr>
              <w:spacing w:after="40" w:before="40"/>
            </w:pPr>
            <w:r>
              <w:rPr>
                <w:color w:val="FFFFFF"/>
                <w:sz w:val="17"/>
              </w:rPr>
            </w:r>
            <w:r>
              <w:rPr>
                <w:b/>
                <w:color w:val="FFFFFF"/>
                <w:sz w:val="17"/>
              </w:rPr>
              <w:t>Score de confiance</w:t>
            </w:r>
          </w:p>
        </w:tc>
        <w:tc>
          <w:tcPr>
            <w:tcW w:type="dxa" w:w="1169"/>
            <w:shd w:val="clear" w:fill="0F3D63"/>
          </w:tcPr>
          <w:p>
            <w:pPr>
              <w:spacing w:after="40" w:before="40"/>
            </w:pPr>
            <w:r>
              <w:rPr>
                <w:color w:val="FFFFFF"/>
                <w:sz w:val="17"/>
              </w:rPr>
            </w:r>
            <w:r>
              <w:rPr>
                <w:b/>
                <w:color w:val="FFFFFF"/>
                <w:sz w:val="17"/>
              </w:rPr>
              <w:t>Niveau</w:t>
            </w:r>
          </w:p>
        </w:tc>
        <w:tc>
          <w:tcPr>
            <w:tcW w:type="dxa" w:w="6378"/>
            <w:shd w:val="clear" w:fill="0F3D63"/>
          </w:tcPr>
          <w:p>
            <w:pPr>
              <w:spacing w:after="40" w:before="40"/>
            </w:pPr>
            <w:r>
              <w:rPr>
                <w:color w:val="FFFFFF"/>
                <w:sz w:val="17"/>
              </w:rPr>
            </w:r>
            <w:r>
              <w:rPr>
                <w:b/>
                <w:color w:val="FFFFFF"/>
                <w:sz w:val="17"/>
              </w:rPr>
              <w:t>Conséquence</w:t>
            </w:r>
          </w:p>
        </w:tc>
      </w:tr>
      <w:tr>
        <w:tc>
          <w:tcPr>
            <w:tcW w:type="dxa" w:w="1913"/>
          </w:tcPr>
          <w:p>
            <w:pPr>
              <w:spacing w:after="40" w:before="40"/>
            </w:pPr>
            <w:r>
              <w:rPr>
                <w:sz w:val="17"/>
              </w:rPr>
            </w:r>
            <w:r>
              <w:rPr>
                <w:sz w:val="17"/>
              </w:rPr>
              <w:t>≥ 85</w:t>
            </w:r>
          </w:p>
        </w:tc>
        <w:tc>
          <w:tcPr>
            <w:tcW w:type="dxa" w:w="1169"/>
          </w:tcPr>
          <w:p>
            <w:pPr>
              <w:spacing w:after="40" w:before="40"/>
            </w:pPr>
            <w:r>
              <w:rPr>
                <w:sz w:val="17"/>
              </w:rPr>
            </w:r>
            <w:r>
              <w:rPr>
                <w:sz w:val="17"/>
              </w:rPr>
              <w:t>Élevé</w:t>
            </w:r>
          </w:p>
        </w:tc>
        <w:tc>
          <w:tcPr>
            <w:tcW w:type="dxa" w:w="6378"/>
          </w:tcPr>
          <w:p>
            <w:pPr>
              <w:spacing w:after="40" w:before="40"/>
            </w:pPr>
            <w:r>
              <w:rPr>
                <w:sz w:val="17"/>
              </w:rPr>
            </w:r>
            <w:r>
              <w:rPr>
                <w:sz w:val="17"/>
              </w:rPr>
              <w:t>aucun cap lié à la qualité des données</w:t>
            </w:r>
          </w:p>
        </w:tc>
      </w:tr>
      <w:tr>
        <w:tc>
          <w:tcPr>
            <w:tcW w:type="dxa" w:w="1913"/>
            <w:shd w:val="clear" w:fill="F2F5F8"/>
          </w:tcPr>
          <w:p>
            <w:pPr>
              <w:spacing w:after="40" w:before="40"/>
            </w:pPr>
            <w:r>
              <w:rPr>
                <w:sz w:val="17"/>
              </w:rPr>
            </w:r>
            <w:r>
              <w:rPr>
                <w:sz w:val="17"/>
              </w:rPr>
              <w:t>[70 ; 85[</w:t>
            </w:r>
          </w:p>
        </w:tc>
        <w:tc>
          <w:tcPr>
            <w:tcW w:type="dxa" w:w="1169"/>
            <w:shd w:val="clear" w:fill="F2F5F8"/>
          </w:tcPr>
          <w:p>
            <w:pPr>
              <w:spacing w:after="40" w:before="40"/>
            </w:pPr>
            <w:r>
              <w:rPr>
                <w:sz w:val="17"/>
              </w:rPr>
            </w:r>
            <w:r>
              <w:rPr>
                <w:sz w:val="17"/>
              </w:rPr>
              <w:t>Moyen</w:t>
            </w:r>
          </w:p>
        </w:tc>
        <w:tc>
          <w:tcPr>
            <w:tcW w:type="dxa" w:w="6378"/>
            <w:shd w:val="clear" w:fill="F2F5F8"/>
          </w:tcPr>
          <w:p>
            <w:pPr>
              <w:spacing w:after="40" w:before="40"/>
            </w:pPr>
            <w:r>
              <w:rPr>
                <w:sz w:val="17"/>
              </w:rPr>
            </w:r>
            <w:r>
              <w:rPr>
                <w:sz w:val="17"/>
              </w:rPr>
              <w:t>le grade final ne peut être meilleur que G4</w:t>
            </w:r>
          </w:p>
        </w:tc>
      </w:tr>
      <w:tr>
        <w:tc>
          <w:tcPr>
            <w:tcW w:type="dxa" w:w="1913"/>
          </w:tcPr>
          <w:p>
            <w:pPr>
              <w:spacing w:after="40" w:before="40"/>
            </w:pPr>
            <w:r>
              <w:rPr>
                <w:sz w:val="17"/>
              </w:rPr>
            </w:r>
            <w:r>
              <w:rPr>
                <w:sz w:val="17"/>
              </w:rPr>
              <w:t>[55 ; 70[</w:t>
            </w:r>
          </w:p>
        </w:tc>
        <w:tc>
          <w:tcPr>
            <w:tcW w:type="dxa" w:w="1169"/>
          </w:tcPr>
          <w:p>
            <w:pPr>
              <w:spacing w:after="40" w:before="40"/>
            </w:pPr>
            <w:r>
              <w:rPr>
                <w:sz w:val="17"/>
              </w:rPr>
            </w:r>
            <w:r>
              <w:rPr>
                <w:sz w:val="17"/>
              </w:rPr>
              <w:t>Faible</w:t>
            </w:r>
          </w:p>
        </w:tc>
        <w:tc>
          <w:tcPr>
            <w:tcW w:type="dxa" w:w="6378"/>
          </w:tcPr>
          <w:p>
            <w:pPr>
              <w:spacing w:after="40" w:before="40"/>
            </w:pPr>
            <w:r>
              <w:rPr>
                <w:sz w:val="17"/>
              </w:rPr>
            </w:r>
            <w:r>
              <w:rPr>
                <w:sz w:val="17"/>
              </w:rPr>
              <w:t>le grade final ne peut être meilleur que G7</w:t>
            </w:r>
          </w:p>
        </w:tc>
      </w:tr>
      <w:tr>
        <w:tc>
          <w:tcPr>
            <w:tcW w:type="dxa" w:w="1913"/>
            <w:shd w:val="clear" w:fill="F2F5F8"/>
          </w:tcPr>
          <w:p>
            <w:pPr>
              <w:spacing w:after="40" w:before="40"/>
            </w:pPr>
            <w:r>
              <w:rPr>
                <w:sz w:val="17"/>
              </w:rPr>
            </w:r>
            <w:r>
              <w:rPr>
                <w:sz w:val="17"/>
              </w:rPr>
              <w:t>[0 ; 55[</w:t>
            </w:r>
          </w:p>
        </w:tc>
        <w:tc>
          <w:tcPr>
            <w:tcW w:type="dxa" w:w="1169"/>
            <w:shd w:val="clear" w:fill="F2F5F8"/>
          </w:tcPr>
          <w:p>
            <w:pPr>
              <w:spacing w:after="40" w:before="40"/>
            </w:pPr>
            <w:r>
              <w:rPr>
                <w:sz w:val="17"/>
              </w:rPr>
            </w:r>
            <w:r>
              <w:rPr>
                <w:sz w:val="17"/>
              </w:rPr>
              <w:t>Insuffisant</w:t>
            </w:r>
          </w:p>
        </w:tc>
        <w:tc>
          <w:tcPr>
            <w:tcW w:type="dxa" w:w="6378"/>
            <w:shd w:val="clear" w:fill="F2F5F8"/>
          </w:tcPr>
          <w:p>
            <w:pPr>
              <w:spacing w:after="40" w:before="40"/>
            </w:pPr>
            <w:r>
              <w:rPr>
                <w:sz w:val="17"/>
              </w:rPr>
            </w:r>
            <w:r>
              <w:rPr>
                <w:sz w:val="17"/>
              </w:rPr>
              <w:t>aucun grade final : dossier incomplet ou modèle alternatif requis</w:t>
            </w:r>
          </w:p>
        </w:tc>
      </w:tr>
    </w:tbl>
    <w:p>
      <w:pPr>
        <w:spacing w:after="80"/>
      </w:pPr>
    </w:p>
    <w:p>
      <w:pPr>
        <w:pStyle w:val="Heading3"/>
      </w:pPr>
      <w:r>
        <w:t>Red flags</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rPr>
          <w:tblHeader w:val="true"/>
        </w:trPr>
        <w:tc>
          <w:tcPr>
            <w:tcW w:type="dxa" w:w="373"/>
            <w:shd w:val="clear" w:fill="0F3D63"/>
          </w:tcPr>
          <w:p>
            <w:pPr>
              <w:spacing w:after="40" w:before="40"/>
            </w:pPr>
            <w:r>
              <w:rPr>
                <w:color w:val="FFFFFF"/>
                <w:sz w:val="17"/>
              </w:rPr>
            </w:r>
            <w:r>
              <w:rPr>
                <w:b/>
                <w:color w:val="FFFFFF"/>
                <w:sz w:val="17"/>
              </w:rPr>
              <w:t>Code</w:t>
            </w:r>
          </w:p>
        </w:tc>
        <w:tc>
          <w:tcPr>
            <w:tcW w:type="dxa" w:w="3735"/>
            <w:shd w:val="clear" w:fill="0F3D63"/>
          </w:tcPr>
          <w:p>
            <w:pPr>
              <w:spacing w:after="40" w:before="40"/>
            </w:pPr>
            <w:r>
              <w:rPr>
                <w:color w:val="FFFFFF"/>
                <w:sz w:val="17"/>
              </w:rPr>
            </w:r>
            <w:r>
              <w:rPr>
                <w:b/>
                <w:color w:val="FFFFFF"/>
                <w:sz w:val="17"/>
              </w:rPr>
              <w:t>Signal</w:t>
            </w:r>
          </w:p>
        </w:tc>
        <w:tc>
          <w:tcPr>
            <w:tcW w:type="dxa" w:w="809"/>
            <w:shd w:val="clear" w:fill="0F3D63"/>
          </w:tcPr>
          <w:p>
            <w:pPr>
              <w:spacing w:after="40" w:before="40"/>
            </w:pPr>
            <w:r>
              <w:rPr>
                <w:color w:val="FFFFFF"/>
                <w:sz w:val="17"/>
              </w:rPr>
            </w:r>
            <w:r>
              <w:rPr>
                <w:b/>
                <w:color w:val="FFFFFF"/>
                <w:sz w:val="17"/>
              </w:rPr>
              <w:t>Niveau</w:t>
            </w:r>
          </w:p>
        </w:tc>
        <w:tc>
          <w:tcPr>
            <w:tcW w:type="dxa" w:w="809"/>
            <w:shd w:val="clear" w:fill="0F3D63"/>
          </w:tcPr>
          <w:p>
            <w:pPr>
              <w:spacing w:after="40" w:before="40"/>
            </w:pPr>
            <w:r>
              <w:rPr>
                <w:color w:val="FFFFFF"/>
                <w:sz w:val="17"/>
              </w:rPr>
            </w:r>
            <w:r>
              <w:rPr>
                <w:b/>
                <w:color w:val="FFFFFF"/>
                <w:sz w:val="17"/>
              </w:rPr>
              <w:t>Source</w:t>
            </w:r>
          </w:p>
        </w:tc>
        <w:tc>
          <w:tcPr>
            <w:tcW w:type="dxa" w:w="3735"/>
            <w:shd w:val="clear" w:fill="0F3D63"/>
          </w:tcPr>
          <w:p>
            <w:pPr>
              <w:spacing w:after="40" w:before="40"/>
            </w:pPr>
            <w:r>
              <w:rPr>
                <w:color w:val="FFFFFF"/>
                <w:sz w:val="17"/>
              </w:rPr>
            </w:r>
            <w:r>
              <w:rPr>
                <w:b/>
                <w:color w:val="FFFFFF"/>
                <w:sz w:val="17"/>
              </w:rPr>
              <w:t>Traitement</w:t>
            </w:r>
          </w:p>
        </w:tc>
      </w:tr>
      <w:tr>
        <w:tc>
          <w:tcPr>
            <w:tcW w:type="dxa" w:w="373"/>
          </w:tcPr>
          <w:p>
            <w:pPr>
              <w:spacing w:after="40" w:before="40"/>
            </w:pPr>
            <w:r>
              <w:rPr>
                <w:sz w:val="17"/>
              </w:rPr>
            </w:r>
            <w:r>
              <w:rPr>
                <w:sz w:val="17"/>
              </w:rPr>
              <w:t>RF01</w:t>
            </w:r>
          </w:p>
        </w:tc>
        <w:tc>
          <w:tcPr>
            <w:tcW w:type="dxa" w:w="3735"/>
          </w:tcPr>
          <w:p>
            <w:pPr>
              <w:spacing w:after="40" w:before="40"/>
            </w:pPr>
            <w:r>
              <w:rPr>
                <w:sz w:val="17"/>
              </w:rPr>
            </w:r>
            <w:r>
              <w:rPr>
                <w:sz w:val="17"/>
              </w:rPr>
              <w:t>Identité/UBO/pouvoirs impossibles à valider</w:t>
            </w:r>
          </w:p>
        </w:tc>
        <w:tc>
          <w:tcPr>
            <w:tcW w:type="dxa" w:w="809"/>
          </w:tcPr>
          <w:p>
            <w:pPr>
              <w:spacing w:after="40" w:before="40"/>
            </w:pPr>
            <w:r>
              <w:rPr>
                <w:sz w:val="17"/>
              </w:rPr>
            </w:r>
            <w:r>
              <w:rPr>
                <w:sz w:val="17"/>
              </w:rPr>
              <w:t>BLOCK</w:t>
            </w:r>
          </w:p>
        </w:tc>
        <w:tc>
          <w:tcPr>
            <w:tcW w:type="dxa" w:w="809"/>
          </w:tcPr>
          <w:p>
            <w:pPr>
              <w:spacing w:after="40" w:before="40"/>
            </w:pPr>
            <w:r>
              <w:rPr>
                <w:sz w:val="17"/>
              </w:rPr>
            </w:r>
            <w:r>
              <w:rPr>
                <w:sz w:val="17"/>
              </w:rPr>
              <w:t>COMPLIANCE</w:t>
            </w:r>
          </w:p>
        </w:tc>
        <w:tc>
          <w:tcPr>
            <w:tcW w:type="dxa" w:w="3735"/>
          </w:tcPr>
          <w:p>
            <w:pPr>
              <w:spacing w:after="40" w:before="40"/>
            </w:pPr>
            <w:r>
              <w:rPr>
                <w:sz w:val="17"/>
              </w:rPr>
            </w:r>
            <w:r>
              <w:rPr>
                <w:sz w:val="17"/>
              </w:rPr>
              <w:t>Stop KYC, pas de score final</w:t>
            </w:r>
          </w:p>
        </w:tc>
      </w:tr>
      <w:tr>
        <w:tc>
          <w:tcPr>
            <w:tcW w:type="dxa" w:w="373"/>
            <w:shd w:val="clear" w:fill="F2F5F8"/>
          </w:tcPr>
          <w:p>
            <w:pPr>
              <w:spacing w:after="40" w:before="40"/>
            </w:pPr>
            <w:r>
              <w:rPr>
                <w:sz w:val="17"/>
              </w:rPr>
            </w:r>
            <w:r>
              <w:rPr>
                <w:sz w:val="17"/>
              </w:rPr>
              <w:t>RF02</w:t>
            </w:r>
          </w:p>
        </w:tc>
        <w:tc>
          <w:tcPr>
            <w:tcW w:type="dxa" w:w="3735"/>
            <w:shd w:val="clear" w:fill="F2F5F8"/>
          </w:tcPr>
          <w:p>
            <w:pPr>
              <w:spacing w:after="40" w:before="40"/>
            </w:pPr>
            <w:r>
              <w:rPr>
                <w:sz w:val="17"/>
              </w:rPr>
            </w:r>
            <w:r>
              <w:rPr>
                <w:sz w:val="17"/>
              </w:rPr>
              <w:t>Sanction ou interdiction issue du système conformité autoritatif</w:t>
            </w:r>
          </w:p>
        </w:tc>
        <w:tc>
          <w:tcPr>
            <w:tcW w:type="dxa" w:w="809"/>
            <w:shd w:val="clear" w:fill="F2F5F8"/>
          </w:tcPr>
          <w:p>
            <w:pPr>
              <w:spacing w:after="40" w:before="40"/>
            </w:pPr>
            <w:r>
              <w:rPr>
                <w:sz w:val="17"/>
              </w:rPr>
            </w:r>
            <w:r>
              <w:rPr>
                <w:sz w:val="17"/>
              </w:rPr>
              <w:t>BLOCK</w:t>
            </w:r>
          </w:p>
        </w:tc>
        <w:tc>
          <w:tcPr>
            <w:tcW w:type="dxa" w:w="809"/>
            <w:shd w:val="clear" w:fill="F2F5F8"/>
          </w:tcPr>
          <w:p>
            <w:pPr>
              <w:spacing w:after="40" w:before="40"/>
            </w:pPr>
            <w:r>
              <w:rPr>
                <w:sz w:val="17"/>
              </w:rPr>
            </w:r>
            <w:r>
              <w:rPr>
                <w:sz w:val="17"/>
              </w:rPr>
              <w:t>COMPLIANCE</w:t>
            </w:r>
          </w:p>
        </w:tc>
        <w:tc>
          <w:tcPr>
            <w:tcW w:type="dxa" w:w="3735"/>
            <w:shd w:val="clear" w:fill="F2F5F8"/>
          </w:tcPr>
          <w:p>
            <w:pPr>
              <w:spacing w:after="40" w:before="40"/>
            </w:pPr>
            <w:r>
              <w:rPr>
                <w:sz w:val="17"/>
              </w:rPr>
            </w:r>
            <w:r>
              <w:rPr>
                <w:sz w:val="17"/>
              </w:rPr>
              <w:t>Suivre la décision Conformité, jamais diluer dans le score</w:t>
            </w:r>
          </w:p>
        </w:tc>
      </w:tr>
      <w:tr>
        <w:tc>
          <w:tcPr>
            <w:tcW w:type="dxa" w:w="373"/>
          </w:tcPr>
          <w:p>
            <w:pPr>
              <w:spacing w:after="40" w:before="40"/>
            </w:pPr>
            <w:r>
              <w:rPr>
                <w:sz w:val="17"/>
              </w:rPr>
            </w:r>
            <w:r>
              <w:rPr>
                <w:sz w:val="17"/>
              </w:rPr>
              <w:t>RF03</w:t>
            </w:r>
          </w:p>
        </w:tc>
        <w:tc>
          <w:tcPr>
            <w:tcW w:type="dxa" w:w="3735"/>
          </w:tcPr>
          <w:p>
            <w:pPr>
              <w:spacing w:after="40" w:before="40"/>
            </w:pPr>
            <w:r>
              <w:rPr>
                <w:sz w:val="17"/>
              </w:rPr>
            </w:r>
            <w:r>
              <w:rPr>
                <w:sz w:val="17"/>
              </w:rPr>
              <w:t>Fraude ou falsification documentaire confirmée</w:t>
            </w:r>
          </w:p>
        </w:tc>
        <w:tc>
          <w:tcPr>
            <w:tcW w:type="dxa" w:w="809"/>
          </w:tcPr>
          <w:p>
            <w:pPr>
              <w:spacing w:after="40" w:before="40"/>
            </w:pPr>
            <w:r>
              <w:rPr>
                <w:sz w:val="17"/>
              </w:rPr>
            </w:r>
            <w:r>
              <w:rPr>
                <w:sz w:val="17"/>
              </w:rPr>
              <w:t>BLOCK</w:t>
            </w:r>
          </w:p>
        </w:tc>
        <w:tc>
          <w:tcPr>
            <w:tcW w:type="dxa" w:w="809"/>
          </w:tcPr>
          <w:p>
            <w:pPr>
              <w:spacing w:after="40" w:before="40"/>
            </w:pPr>
            <w:r>
              <w:rPr>
                <w:sz w:val="17"/>
              </w:rPr>
            </w:r>
            <w:r>
              <w:rPr>
                <w:sz w:val="17"/>
              </w:rPr>
              <w:t>COMPLIANCE</w:t>
            </w:r>
          </w:p>
        </w:tc>
        <w:tc>
          <w:tcPr>
            <w:tcW w:type="dxa" w:w="3735"/>
          </w:tcPr>
          <w:p>
            <w:pPr>
              <w:spacing w:after="40" w:before="40"/>
            </w:pPr>
            <w:r>
              <w:rPr>
                <w:sz w:val="17"/>
              </w:rPr>
            </w:r>
            <w:r>
              <w:rPr>
                <w:sz w:val="17"/>
              </w:rPr>
              <w:t>Escalade fraude/juridique et audit</w:t>
            </w:r>
          </w:p>
        </w:tc>
      </w:tr>
      <w:tr>
        <w:tc>
          <w:tcPr>
            <w:tcW w:type="dxa" w:w="373"/>
            <w:shd w:val="clear" w:fill="F2F5F8"/>
          </w:tcPr>
          <w:p>
            <w:pPr>
              <w:spacing w:after="40" w:before="40"/>
            </w:pPr>
            <w:r>
              <w:rPr>
                <w:sz w:val="17"/>
              </w:rPr>
            </w:r>
            <w:r>
              <w:rPr>
                <w:sz w:val="17"/>
              </w:rPr>
              <w:t>RF04</w:t>
            </w:r>
          </w:p>
        </w:tc>
        <w:tc>
          <w:tcPr>
            <w:tcW w:type="dxa" w:w="3735"/>
            <w:shd w:val="clear" w:fill="F2F5F8"/>
          </w:tcPr>
          <w:p>
            <w:pPr>
              <w:spacing w:after="40" w:before="40"/>
            </w:pPr>
            <w:r>
              <w:rPr>
                <w:sz w:val="17"/>
              </w:rPr>
            </w:r>
            <w:r>
              <w:rPr>
                <w:sz w:val="17"/>
              </w:rPr>
              <w:t>Activité interdite par politique ou loi</w:t>
            </w:r>
          </w:p>
        </w:tc>
        <w:tc>
          <w:tcPr>
            <w:tcW w:type="dxa" w:w="809"/>
            <w:shd w:val="clear" w:fill="F2F5F8"/>
          </w:tcPr>
          <w:p>
            <w:pPr>
              <w:spacing w:after="40" w:before="40"/>
            </w:pPr>
            <w:r>
              <w:rPr>
                <w:sz w:val="17"/>
              </w:rPr>
            </w:r>
            <w:r>
              <w:rPr>
                <w:sz w:val="17"/>
              </w:rPr>
              <w:t>BLOCK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Rejet/routage selon politique</w:t>
            </w:r>
          </w:p>
        </w:tc>
      </w:tr>
      <w:tr>
        <w:tc>
          <w:tcPr>
            <w:tcW w:type="dxa" w:w="373"/>
          </w:tcPr>
          <w:p>
            <w:pPr>
              <w:spacing w:after="40" w:before="40"/>
            </w:pPr>
            <w:r>
              <w:rPr>
                <w:sz w:val="17"/>
              </w:rPr>
            </w:r>
            <w:r>
              <w:rPr>
                <w:sz w:val="17"/>
              </w:rPr>
              <w:t>RF05</w:t>
            </w:r>
          </w:p>
        </w:tc>
        <w:tc>
          <w:tcPr>
            <w:tcW w:type="dxa" w:w="3735"/>
          </w:tcPr>
          <w:p>
            <w:pPr>
              <w:spacing w:after="40" w:before="40"/>
            </w:pPr>
            <w:r>
              <w:rPr>
                <w:sz w:val="17"/>
              </w:rPr>
            </w:r>
            <w:r>
              <w:rPr>
                <w:sz w:val="17"/>
              </w:rPr>
              <w:t>Liquidation, cessation ou procédure incompatible avec le going concern</w:t>
            </w:r>
          </w:p>
        </w:tc>
        <w:tc>
          <w:tcPr>
            <w:tcW w:type="dxa" w:w="809"/>
          </w:tcPr>
          <w:p>
            <w:pPr>
              <w:spacing w:after="40" w:before="40"/>
            </w:pPr>
            <w:r>
              <w:rPr>
                <w:sz w:val="17"/>
              </w:rPr>
            </w:r>
            <w:r>
              <w:rPr>
                <w:sz w:val="17"/>
              </w:rPr>
              <w:t>DEFAULT_CHECK</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Classe/grade défaut selon règles applicables</w:t>
            </w:r>
          </w:p>
        </w:tc>
      </w:tr>
      <w:tr>
        <w:tc>
          <w:tcPr>
            <w:tcW w:type="dxa" w:w="373"/>
            <w:shd w:val="clear" w:fill="F2F5F8"/>
          </w:tcPr>
          <w:p>
            <w:pPr>
              <w:spacing w:after="40" w:before="40"/>
            </w:pPr>
            <w:r>
              <w:rPr>
                <w:sz w:val="17"/>
              </w:rPr>
            </w:r>
            <w:r>
              <w:rPr>
                <w:sz w:val="17"/>
              </w:rPr>
              <w:t>RF06</w:t>
            </w:r>
          </w:p>
        </w:tc>
        <w:tc>
          <w:tcPr>
            <w:tcW w:type="dxa" w:w="3735"/>
            <w:shd w:val="clear" w:fill="F2F5F8"/>
          </w:tcPr>
          <w:p>
            <w:pPr>
              <w:spacing w:after="40" w:before="40"/>
            </w:pPr>
            <w:r>
              <w:rPr>
                <w:sz w:val="17"/>
              </w:rPr>
            </w:r>
            <w:r>
              <w:rPr>
                <w:sz w:val="17"/>
              </w:rPr>
              <w:t>DPD ≥ seuil de défaut, UTP ou cross-default</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Évaluer défaut, contagion, IFRS 9 et BAM séparément</w:t>
            </w:r>
          </w:p>
        </w:tc>
      </w:tr>
      <w:tr>
        <w:tc>
          <w:tcPr>
            <w:tcW w:type="dxa" w:w="373"/>
          </w:tcPr>
          <w:p>
            <w:pPr>
              <w:spacing w:after="40" w:before="40"/>
            </w:pPr>
            <w:r>
              <w:rPr>
                <w:sz w:val="17"/>
              </w:rPr>
            </w:r>
            <w:r>
              <w:rPr>
                <w:sz w:val="17"/>
              </w:rPr>
              <w:t>RF07</w:t>
            </w:r>
          </w:p>
        </w:tc>
        <w:tc>
          <w:tcPr>
            <w:tcW w:type="dxa" w:w="3735"/>
          </w:tcPr>
          <w:p>
            <w:pPr>
              <w:spacing w:after="40" w:before="40"/>
            </w:pPr>
            <w:r>
              <w:rPr>
                <w:sz w:val="17"/>
              </w:rPr>
            </w:r>
            <w:r>
              <w:rPr>
                <w:sz w:val="17"/>
              </w:rPr>
              <w:t>DPD 31–89 jours ou incident matériel récurrent</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Revue risque, watchlist/SICR éventuels</w:t>
            </w:r>
          </w:p>
        </w:tc>
      </w:tr>
      <w:tr>
        <w:tc>
          <w:tcPr>
            <w:tcW w:type="dxa" w:w="373"/>
            <w:shd w:val="clear" w:fill="F2F5F8"/>
          </w:tcPr>
          <w:p>
            <w:pPr>
              <w:spacing w:after="40" w:before="40"/>
            </w:pPr>
            <w:r>
              <w:rPr>
                <w:sz w:val="17"/>
              </w:rPr>
            </w:r>
            <w:r>
              <w:rPr>
                <w:sz w:val="17"/>
              </w:rPr>
              <w:t>RF08</w:t>
            </w:r>
          </w:p>
        </w:tc>
        <w:tc>
          <w:tcPr>
            <w:tcW w:type="dxa" w:w="3735"/>
            <w:shd w:val="clear" w:fill="F2F5F8"/>
          </w:tcPr>
          <w:p>
            <w:pPr>
              <w:spacing w:after="40" w:before="40"/>
            </w:pPr>
            <w:r>
              <w:rPr>
                <w:sz w:val="17"/>
              </w:rPr>
            </w:r>
            <w:r>
              <w:rPr>
                <w:sz w:val="17"/>
              </w:rPr>
              <w:t>Échec de restructuration ou seconde concession</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Défaut/forbearance selon politique</w:t>
            </w:r>
          </w:p>
        </w:tc>
      </w:tr>
      <w:tr>
        <w:tc>
          <w:tcPr>
            <w:tcW w:type="dxa" w:w="373"/>
          </w:tcPr>
          <w:p>
            <w:pPr>
              <w:spacing w:after="40" w:before="40"/>
            </w:pPr>
            <w:r>
              <w:rPr>
                <w:sz w:val="17"/>
              </w:rPr>
            </w:r>
            <w:r>
              <w:rPr>
                <w:sz w:val="17"/>
              </w:rPr>
              <w:t>RF09</w:t>
            </w:r>
          </w:p>
        </w:tc>
        <w:tc>
          <w:tcPr>
            <w:tcW w:type="dxa" w:w="3735"/>
          </w:tcPr>
          <w:p>
            <w:pPr>
              <w:spacing w:after="40" w:before="40"/>
            </w:pPr>
            <w:r>
              <w:rPr>
                <w:sz w:val="17"/>
              </w:rPr>
            </w:r>
            <w:r>
              <w:rPr>
                <w:sz w:val="17"/>
              </w:rPr>
              <w:t>Fonds propres négatifs et aucun plan ferme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Cap G9, recapitalisation comme condition éventuelle</w:t>
            </w:r>
          </w:p>
        </w:tc>
      </w:tr>
      <w:tr>
        <w:tc>
          <w:tcPr>
            <w:tcW w:type="dxa" w:w="373"/>
            <w:shd w:val="clear" w:fill="F2F5F8"/>
          </w:tcPr>
          <w:p>
            <w:pPr>
              <w:spacing w:after="40" w:before="40"/>
            </w:pPr>
            <w:r>
              <w:rPr>
                <w:sz w:val="17"/>
              </w:rPr>
            </w:r>
            <w:r>
              <w:rPr>
                <w:sz w:val="17"/>
              </w:rPr>
              <w:t>RF10</w:t>
            </w:r>
          </w:p>
        </w:tc>
        <w:tc>
          <w:tcPr>
            <w:tcW w:type="dxa" w:w="3735"/>
            <w:shd w:val="clear" w:fill="F2F5F8"/>
          </w:tcPr>
          <w:p>
            <w:pPr>
              <w:spacing w:after="40" w:before="40"/>
            </w:pPr>
            <w:r>
              <w:rPr>
                <w:sz w:val="17"/>
              </w:rPr>
            </w:r>
            <w:r>
              <w:rPr>
                <w:sz w:val="17"/>
              </w:rPr>
              <w:t>Opinion audit défavorable / refus de certifier</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Selon matérialité et fiabilité des comptes (peut devenir BLOCK)</w:t>
            </w:r>
          </w:p>
        </w:tc>
      </w:tr>
      <w:tr>
        <w:tc>
          <w:tcPr>
            <w:tcW w:type="dxa" w:w="373"/>
          </w:tcPr>
          <w:p>
            <w:pPr>
              <w:spacing w:after="40" w:before="40"/>
            </w:pPr>
            <w:r>
              <w:rPr>
                <w:sz w:val="17"/>
              </w:rPr>
            </w:r>
            <w:r>
              <w:rPr>
                <w:sz w:val="17"/>
              </w:rPr>
              <w:t>RF11</w:t>
            </w:r>
          </w:p>
        </w:tc>
        <w:tc>
          <w:tcPr>
            <w:tcW w:type="dxa" w:w="3735"/>
          </w:tcPr>
          <w:p>
            <w:pPr>
              <w:spacing w:after="40" w:before="40"/>
            </w:pPr>
            <w:r>
              <w:rPr>
                <w:sz w:val="17"/>
              </w:rPr>
            </w:r>
            <w:r>
              <w:rPr>
                <w:sz w:val="17"/>
              </w:rPr>
              <w:t>Dette fiscale/sociale ou saisie matérielle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Quantifier, vérifier plan et priorité de paiement</w:t>
            </w:r>
          </w:p>
        </w:tc>
      </w:tr>
      <w:tr>
        <w:tc>
          <w:tcPr>
            <w:tcW w:type="dxa" w:w="373"/>
            <w:shd w:val="clear" w:fill="F2F5F8"/>
          </w:tcPr>
          <w:p>
            <w:pPr>
              <w:spacing w:after="40" w:before="40"/>
            </w:pPr>
            <w:r>
              <w:rPr>
                <w:sz w:val="17"/>
              </w:rPr>
            </w:r>
            <w:r>
              <w:rPr>
                <w:sz w:val="17"/>
              </w:rPr>
              <w:t>RF12</w:t>
            </w:r>
          </w:p>
        </w:tc>
        <w:tc>
          <w:tcPr>
            <w:tcW w:type="dxa" w:w="3735"/>
            <w:shd w:val="clear" w:fill="F2F5F8"/>
          </w:tcPr>
          <w:p>
            <w:pPr>
              <w:spacing w:after="40" w:before="40"/>
            </w:pPr>
            <w:r>
              <w:rPr>
                <w:sz w:val="17"/>
              </w:rPr>
            </w:r>
            <w:r>
              <w:rPr>
                <w:sz w:val="17"/>
              </w:rPr>
              <w:t>Litige menaçant la continuité</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Scénario de perte et avis juridique</w:t>
            </w:r>
          </w:p>
        </w:tc>
      </w:tr>
      <w:tr>
        <w:tc>
          <w:tcPr>
            <w:tcW w:type="dxa" w:w="373"/>
          </w:tcPr>
          <w:p>
            <w:pPr>
              <w:spacing w:after="40" w:before="40"/>
            </w:pPr>
            <w:r>
              <w:rPr>
                <w:sz w:val="17"/>
              </w:rPr>
            </w:r>
            <w:r>
              <w:rPr>
                <w:sz w:val="17"/>
              </w:rPr>
              <w:t>RF13</w:t>
            </w:r>
          </w:p>
        </w:tc>
        <w:tc>
          <w:tcPr>
            <w:tcW w:type="dxa" w:w="3735"/>
          </w:tcPr>
          <w:p>
            <w:pPr>
              <w:spacing w:after="40" w:before="40"/>
            </w:pPr>
            <w:r>
              <w:rPr>
                <w:sz w:val="17"/>
              </w:rPr>
            </w:r>
            <w:r>
              <w:rPr>
                <w:sz w:val="17"/>
              </w:rPr>
              <w:t>Perte d'un client/fournisseur/licence vital</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Reforecast et stress immédiats</w:t>
            </w:r>
          </w:p>
        </w:tc>
      </w:tr>
      <w:tr>
        <w:tc>
          <w:tcPr>
            <w:tcW w:type="dxa" w:w="373"/>
            <w:shd w:val="clear" w:fill="F2F5F8"/>
          </w:tcPr>
          <w:p>
            <w:pPr>
              <w:spacing w:after="40" w:before="40"/>
            </w:pPr>
            <w:r>
              <w:rPr>
                <w:sz w:val="17"/>
              </w:rPr>
            </w:r>
            <w:r>
              <w:rPr>
                <w:sz w:val="17"/>
              </w:rPr>
              <w:t>RF14</w:t>
            </w:r>
          </w:p>
        </w:tc>
        <w:tc>
          <w:tcPr>
            <w:tcW w:type="dxa" w:w="3735"/>
            <w:shd w:val="clear" w:fill="F2F5F8"/>
          </w:tcPr>
          <w:p>
            <w:pPr>
              <w:spacing w:after="40" w:before="40"/>
            </w:pPr>
            <w:r>
              <w:rPr>
                <w:sz w:val="17"/>
              </w:rPr>
            </w:r>
            <w:r>
              <w:rPr>
                <w:sz w:val="17"/>
              </w:rPr>
              <w:t>Covenant rompu non régularisé</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Vérifier exigibilité et waiver</w:t>
            </w:r>
          </w:p>
        </w:tc>
      </w:tr>
      <w:tr>
        <w:tc>
          <w:tcPr>
            <w:tcW w:type="dxa" w:w="373"/>
          </w:tcPr>
          <w:p>
            <w:pPr>
              <w:spacing w:after="40" w:before="40"/>
            </w:pPr>
            <w:r>
              <w:rPr>
                <w:sz w:val="17"/>
              </w:rPr>
            </w:r>
            <w:r>
              <w:rPr>
                <w:sz w:val="17"/>
              </w:rPr>
              <w:t>RF15</w:t>
            </w:r>
          </w:p>
        </w:tc>
        <w:tc>
          <w:tcPr>
            <w:tcW w:type="dxa" w:w="3735"/>
          </w:tcPr>
          <w:p>
            <w:pPr>
              <w:spacing w:after="40" w:before="40"/>
            </w:pPr>
            <w:r>
              <w:rPr>
                <w:sz w:val="17"/>
              </w:rPr>
            </w:r>
            <w:r>
              <w:rPr>
                <w:sz w:val="17"/>
              </w:rPr>
              <w:t>Transactions liées ou sortie de cash inexpliquée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Investigation et cap selon impact</w:t>
            </w:r>
          </w:p>
        </w:tc>
      </w:tr>
      <w:tr>
        <w:tc>
          <w:tcPr>
            <w:tcW w:type="dxa" w:w="373"/>
            <w:shd w:val="clear" w:fill="F2F5F8"/>
          </w:tcPr>
          <w:p>
            <w:pPr>
              <w:spacing w:after="40" w:before="40"/>
            </w:pPr>
            <w:r>
              <w:rPr>
                <w:sz w:val="17"/>
              </w:rPr>
            </w:r>
            <w:r>
              <w:rPr>
                <w:sz w:val="17"/>
              </w:rPr>
              <w:t>RF16</w:t>
            </w:r>
          </w:p>
        </w:tc>
        <w:tc>
          <w:tcPr>
            <w:tcW w:type="dxa" w:w="3735"/>
            <w:shd w:val="clear" w:fill="F2F5F8"/>
          </w:tcPr>
          <w:p>
            <w:pPr>
              <w:spacing w:after="40" w:before="40"/>
            </w:pPr>
            <w:r>
              <w:rPr>
                <w:sz w:val="17"/>
              </w:rPr>
            </w:r>
            <w:r>
              <w:rPr>
                <w:sz w:val="17"/>
              </w:rPr>
              <w:t>Information critique manquante/incohérente</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MODEL</w:t>
            </w:r>
          </w:p>
        </w:tc>
        <w:tc>
          <w:tcPr>
            <w:tcW w:type="dxa" w:w="3735"/>
            <w:shd w:val="clear" w:fill="F2F5F8"/>
          </w:tcPr>
          <w:p>
            <w:pPr>
              <w:spacing w:after="40" w:before="40"/>
            </w:pPr>
            <w:r>
              <w:rPr>
                <w:sz w:val="17"/>
              </w:rPr>
            </w:r>
            <w:r>
              <w:rPr>
                <w:sz w:val="17"/>
              </w:rPr>
              <w:t>Appliquer la politique de complétude (peut devenir BLOCK)</w:t>
            </w:r>
          </w:p>
        </w:tc>
      </w:tr>
      <w:tr>
        <w:tc>
          <w:tcPr>
            <w:tcW w:type="dxa" w:w="373"/>
          </w:tcPr>
          <w:p>
            <w:pPr>
              <w:spacing w:after="40" w:before="40"/>
            </w:pPr>
            <w:r>
              <w:rPr>
                <w:sz w:val="17"/>
              </w:rPr>
            </w:r>
            <w:r>
              <w:rPr>
                <w:sz w:val="17"/>
              </w:rPr>
              <w:t>RF17</w:t>
            </w:r>
          </w:p>
        </w:tc>
        <w:tc>
          <w:tcPr>
            <w:tcW w:type="dxa" w:w="3735"/>
          </w:tcPr>
          <w:p>
            <w:pPr>
              <w:spacing w:after="40" w:before="40"/>
            </w:pPr>
            <w:r>
              <w:rPr>
                <w:sz w:val="17"/>
              </w:rPr>
            </w:r>
            <w:r>
              <w:rPr>
                <w:sz w:val="17"/>
              </w:rPr>
              <w:t>Risque climatique/ESG avec fermeture probable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Scénario, cap et plan d'adaptation</w:t>
            </w:r>
          </w:p>
        </w:tc>
      </w:tr>
      <w:tr>
        <w:tc>
          <w:tcPr>
            <w:tcW w:type="dxa" w:w="373"/>
            <w:shd w:val="clear" w:fill="F2F5F8"/>
          </w:tcPr>
          <w:p>
            <w:pPr>
              <w:spacing w:after="40" w:before="40"/>
            </w:pPr>
            <w:r>
              <w:rPr>
                <w:sz w:val="17"/>
              </w:rPr>
            </w:r>
            <w:r>
              <w:rPr>
                <w:sz w:val="17"/>
              </w:rPr>
              <w:t>RF18</w:t>
            </w:r>
          </w:p>
        </w:tc>
        <w:tc>
          <w:tcPr>
            <w:tcW w:type="dxa" w:w="3735"/>
            <w:shd w:val="clear" w:fill="F2F5F8"/>
          </w:tcPr>
          <w:p>
            <w:pPr>
              <w:spacing w:after="40" w:before="40"/>
            </w:pPr>
            <w:r>
              <w:rPr>
                <w:sz w:val="17"/>
              </w:rPr>
            </w:r>
            <w:r>
              <w:rPr>
                <w:sz w:val="17"/>
              </w:rPr>
              <w:t>Contagion groupe réglementaire/politique</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REGULATORY</w:t>
            </w:r>
          </w:p>
        </w:tc>
        <w:tc>
          <w:tcPr>
            <w:tcW w:type="dxa" w:w="3735"/>
            <w:shd w:val="clear" w:fill="F2F5F8"/>
          </w:tcPr>
          <w:p>
            <w:pPr>
              <w:spacing w:after="40" w:before="40"/>
            </w:pPr>
            <w:r>
              <w:rPr>
                <w:sz w:val="17"/>
              </w:rPr>
            </w:r>
            <w:r>
              <w:rPr>
                <w:sz w:val="17"/>
              </w:rPr>
              <w:t>Appliquer uniquement la règle validée du régime applicable</w:t>
            </w:r>
          </w:p>
        </w:tc>
      </w:tr>
    </w:tbl>
    <w:p>
      <w:pPr>
        <w:spacing w:after="80"/>
      </w:pPr>
    </w:p>
    <w:p>
      <w:pPr>
        <w:pStyle w:val="Heading2"/>
      </w:pPr>
      <w:r>
        <w:t>Modèle TPE comportemental — CORP_TPE_BEHAV_V1</w:t>
      </w:r>
    </w:p>
    <w:p>
      <w:r>
        <w:t xml:space="preserve">Identifiant </w:t>
      </w:r>
      <w:r>
        <w:rPr>
          <w:rFonts w:ascii="Consolas" w:hAnsi="Consolas"/>
          <w:color w:val="8A2B2B"/>
          <w:sz w:val="18"/>
        </w:rPr>
        <w:t>CORP_TPE_BEHAV_V1</w:t>
      </w:r>
      <w:r>
        <w:t xml:space="preserve"> · version 1.0.0 · statut DRAFT_EXPERT_SEED · date d'effet 2026-08-18.</w:t>
      </w:r>
    </w:p>
    <w:p>
      <w:r>
        <w:t>Score 100 = risque le plus faible ; score 0 = risque le plus élevé.</w:t>
      </w:r>
    </w:p>
    <w:p>
      <w:pPr>
        <w:pStyle w:val="Heading3"/>
      </w:pPr>
      <w:r>
        <w:t>Pondération des domaines</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6821"/>
            <w:shd w:val="clear" w:fill="0F3D63"/>
          </w:tcPr>
          <w:p>
            <w:pPr>
              <w:spacing w:after="40" w:before="40"/>
            </w:pPr>
            <w:r>
              <w:rPr>
                <w:color w:val="FFFFFF"/>
                <w:sz w:val="17"/>
              </w:rPr>
            </w:r>
            <w:r>
              <w:rPr>
                <w:b/>
                <w:color w:val="FFFFFF"/>
                <w:sz w:val="17"/>
              </w:rPr>
              <w:t>Domaine</w:t>
            </w:r>
          </w:p>
        </w:tc>
        <w:tc>
          <w:tcPr>
            <w:tcW w:type="dxa" w:w="2640"/>
            <w:shd w:val="clear" w:fill="0F3D63"/>
          </w:tcPr>
          <w:p>
            <w:pPr>
              <w:spacing w:after="40" w:before="40"/>
            </w:pPr>
            <w:r>
              <w:rPr>
                <w:color w:val="FFFFFF"/>
                <w:sz w:val="17"/>
              </w:rPr>
            </w:r>
            <w:r>
              <w:rPr>
                <w:b/>
                <w:color w:val="FFFFFF"/>
                <w:sz w:val="17"/>
              </w:rPr>
              <w:t>TPE</w:t>
            </w:r>
          </w:p>
        </w:tc>
      </w:tr>
      <w:tr>
        <w:tc>
          <w:tcPr>
            <w:tcW w:type="dxa" w:w="6821"/>
          </w:tcPr>
          <w:p>
            <w:pPr>
              <w:spacing w:after="40" w:before="40"/>
            </w:pPr>
            <w:r>
              <w:rPr>
                <w:sz w:val="17"/>
              </w:rPr>
            </w:r>
            <w:r>
              <w:rPr>
                <w:sz w:val="17"/>
              </w:rPr>
              <w:t>B1 — Comportement de crédit</w:t>
            </w:r>
          </w:p>
        </w:tc>
        <w:tc>
          <w:tcPr>
            <w:tcW w:type="dxa" w:w="2640"/>
          </w:tcPr>
          <w:p>
            <w:pPr>
              <w:spacing w:after="40" w:before="40"/>
            </w:pPr>
            <w:r>
              <w:rPr>
                <w:sz w:val="17"/>
              </w:rPr>
            </w:r>
            <w:r>
              <w:rPr>
                <w:sz w:val="17"/>
              </w:rPr>
              <w:t>30.00 %</w:t>
            </w:r>
          </w:p>
        </w:tc>
      </w:tr>
      <w:tr>
        <w:tc>
          <w:tcPr>
            <w:tcW w:type="dxa" w:w="6821"/>
            <w:shd w:val="clear" w:fill="F2F5F8"/>
          </w:tcPr>
          <w:p>
            <w:pPr>
              <w:spacing w:after="40" w:before="40"/>
            </w:pPr>
            <w:r>
              <w:rPr>
                <w:sz w:val="17"/>
              </w:rPr>
            </w:r>
            <w:r>
              <w:rPr>
                <w:sz w:val="17"/>
              </w:rPr>
              <w:t>B2 — Capacité par flux</w:t>
            </w:r>
          </w:p>
        </w:tc>
        <w:tc>
          <w:tcPr>
            <w:tcW w:type="dxa" w:w="2640"/>
            <w:shd w:val="clear" w:fill="F2F5F8"/>
          </w:tcPr>
          <w:p>
            <w:pPr>
              <w:spacing w:after="40" w:before="40"/>
            </w:pPr>
            <w:r>
              <w:rPr>
                <w:sz w:val="17"/>
              </w:rPr>
            </w:r>
            <w:r>
              <w:rPr>
                <w:sz w:val="17"/>
              </w:rPr>
              <w:t>20.00 %</w:t>
            </w:r>
          </w:p>
        </w:tc>
      </w:tr>
      <w:tr>
        <w:tc>
          <w:tcPr>
            <w:tcW w:type="dxa" w:w="6821"/>
          </w:tcPr>
          <w:p>
            <w:pPr>
              <w:spacing w:after="40" w:before="40"/>
            </w:pPr>
            <w:r>
              <w:rPr>
                <w:sz w:val="17"/>
              </w:rPr>
            </w:r>
            <w:r>
              <w:rPr>
                <w:sz w:val="17"/>
              </w:rPr>
              <w:t>B3 — Activité</w:t>
            </w:r>
          </w:p>
        </w:tc>
        <w:tc>
          <w:tcPr>
            <w:tcW w:type="dxa" w:w="2640"/>
          </w:tcPr>
          <w:p>
            <w:pPr>
              <w:spacing w:after="40" w:before="40"/>
            </w:pPr>
            <w:r>
              <w:rPr>
                <w:sz w:val="17"/>
              </w:rPr>
            </w:r>
            <w:r>
              <w:rPr>
                <w:sz w:val="17"/>
              </w:rPr>
              <w:t>18.00 %</w:t>
            </w:r>
          </w:p>
        </w:tc>
      </w:tr>
      <w:tr>
        <w:tc>
          <w:tcPr>
            <w:tcW w:type="dxa" w:w="6821"/>
            <w:shd w:val="clear" w:fill="F2F5F8"/>
          </w:tcPr>
          <w:p>
            <w:pPr>
              <w:spacing w:after="40" w:before="40"/>
            </w:pPr>
            <w:r>
              <w:rPr>
                <w:sz w:val="17"/>
              </w:rPr>
            </w:r>
            <w:r>
              <w:rPr>
                <w:sz w:val="17"/>
              </w:rPr>
              <w:t>B4 — Management</w:t>
            </w:r>
          </w:p>
        </w:tc>
        <w:tc>
          <w:tcPr>
            <w:tcW w:type="dxa" w:w="2640"/>
            <w:shd w:val="clear" w:fill="F2F5F8"/>
          </w:tcPr>
          <w:p>
            <w:pPr>
              <w:spacing w:after="40" w:before="40"/>
            </w:pPr>
            <w:r>
              <w:rPr>
                <w:sz w:val="17"/>
              </w:rPr>
            </w:r>
            <w:r>
              <w:rPr>
                <w:sz w:val="17"/>
              </w:rPr>
              <w:t>12.00 %</w:t>
            </w:r>
          </w:p>
        </w:tc>
      </w:tr>
      <w:tr>
        <w:tc>
          <w:tcPr>
            <w:tcW w:type="dxa" w:w="6821"/>
          </w:tcPr>
          <w:p>
            <w:pPr>
              <w:spacing w:after="40" w:before="40"/>
            </w:pPr>
            <w:r>
              <w:rPr>
                <w:sz w:val="17"/>
              </w:rPr>
            </w:r>
            <w:r>
              <w:rPr>
                <w:sz w:val="17"/>
              </w:rPr>
              <w:t>B5 — Transparence et conformité</w:t>
            </w:r>
          </w:p>
        </w:tc>
        <w:tc>
          <w:tcPr>
            <w:tcW w:type="dxa" w:w="2640"/>
          </w:tcPr>
          <w:p>
            <w:pPr>
              <w:spacing w:after="40" w:before="40"/>
            </w:pPr>
            <w:r>
              <w:rPr>
                <w:sz w:val="17"/>
              </w:rPr>
            </w:r>
            <w:r>
              <w:rPr>
                <w:sz w:val="17"/>
              </w:rPr>
              <w:t>12.00 %</w:t>
            </w:r>
          </w:p>
        </w:tc>
      </w:tr>
      <w:tr>
        <w:tc>
          <w:tcPr>
            <w:tcW w:type="dxa" w:w="6821"/>
            <w:shd w:val="clear" w:fill="F2F5F8"/>
          </w:tcPr>
          <w:p>
            <w:pPr>
              <w:spacing w:after="40" w:before="40"/>
            </w:pPr>
            <w:r>
              <w:rPr>
                <w:sz w:val="17"/>
              </w:rPr>
            </w:r>
            <w:r>
              <w:rPr>
                <w:sz w:val="17"/>
              </w:rPr>
              <w:t>B6 — Groupe / support</w:t>
            </w:r>
          </w:p>
        </w:tc>
        <w:tc>
          <w:tcPr>
            <w:tcW w:type="dxa" w:w="2640"/>
            <w:shd w:val="clear" w:fill="F2F5F8"/>
          </w:tcPr>
          <w:p>
            <w:pPr>
              <w:spacing w:after="40" w:before="40"/>
            </w:pPr>
            <w:r>
              <w:rPr>
                <w:sz w:val="17"/>
              </w:rPr>
            </w:r>
            <w:r>
              <w:rPr>
                <w:sz w:val="17"/>
              </w:rPr>
              <w:t>5.00 %</w:t>
            </w:r>
          </w:p>
        </w:tc>
      </w:tr>
      <w:tr>
        <w:tc>
          <w:tcPr>
            <w:tcW w:type="dxa" w:w="6821"/>
          </w:tcPr>
          <w:p>
            <w:pPr>
              <w:spacing w:after="40" w:before="40"/>
            </w:pPr>
            <w:r>
              <w:rPr>
                <w:sz w:val="17"/>
              </w:rPr>
            </w:r>
            <w:r>
              <w:rPr>
                <w:sz w:val="17"/>
              </w:rPr>
              <w:t>B7 — ESG / climat</w:t>
            </w:r>
          </w:p>
        </w:tc>
        <w:tc>
          <w:tcPr>
            <w:tcW w:type="dxa" w:w="2640"/>
          </w:tcPr>
          <w:p>
            <w:pPr>
              <w:spacing w:after="40" w:before="40"/>
            </w:pPr>
            <w:r>
              <w:rPr>
                <w:sz w:val="17"/>
              </w:rPr>
            </w:r>
            <w:r>
              <w:rPr>
                <w:sz w:val="17"/>
              </w:rPr>
              <w:t>3.00 %</w:t>
            </w:r>
          </w:p>
        </w:tc>
      </w:tr>
      <w:tr>
        <w:tc>
          <w:tcPr>
            <w:tcW w:type="dxa" w:w="6821"/>
            <w:shd w:val="clear" w:fill="F2F5F8"/>
          </w:tcPr>
          <w:p>
            <w:pPr>
              <w:spacing w:after="40" w:before="40"/>
            </w:pPr>
            <w:r>
              <w:rPr>
                <w:sz w:val="17"/>
              </w:rPr>
            </w:r>
            <w:r>
              <w:rPr>
                <w:b/>
                <w:sz w:val="17"/>
              </w:rPr>
              <w:t>Total</w:t>
            </w:r>
          </w:p>
        </w:tc>
        <w:tc>
          <w:tcPr>
            <w:tcW w:type="dxa" w:w="2640"/>
            <w:shd w:val="clear" w:fill="F2F5F8"/>
          </w:tcPr>
          <w:p>
            <w:pPr>
              <w:spacing w:after="40" w:before="40"/>
            </w:pPr>
            <w:r>
              <w:rPr>
                <w:sz w:val="17"/>
              </w:rPr>
            </w:r>
            <w:r>
              <w:rPr>
                <w:b/>
                <w:sz w:val="17"/>
              </w:rPr>
              <w:t>100.00 %</w:t>
            </w:r>
          </w:p>
        </w:tc>
      </w:tr>
    </w:tbl>
    <w:p>
      <w:pPr>
        <w:spacing w:after="80"/>
      </w:pPr>
    </w:p>
    <w:p>
      <w:pPr>
        <w:pStyle w:val="Heading3"/>
      </w:pPr>
      <w:r>
        <w:t>Pondération des 24 critères élémentaires</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946"/>
            <w:shd w:val="clear" w:fill="0F3D63"/>
          </w:tcPr>
          <w:p>
            <w:pPr>
              <w:spacing w:after="40" w:before="40"/>
            </w:pPr>
            <w:r>
              <w:rPr>
                <w:color w:val="FFFFFF"/>
                <w:sz w:val="17"/>
              </w:rPr>
            </w:r>
            <w:r>
              <w:rPr>
                <w:b/>
                <w:color w:val="FFFFFF"/>
                <w:sz w:val="17"/>
              </w:rPr>
              <w:t>Code</w:t>
            </w:r>
          </w:p>
        </w:tc>
        <w:tc>
          <w:tcPr>
            <w:tcW w:type="dxa" w:w="7569"/>
            <w:shd w:val="clear" w:fill="0F3D63"/>
          </w:tcPr>
          <w:p>
            <w:pPr>
              <w:spacing w:after="40" w:before="40"/>
            </w:pPr>
            <w:r>
              <w:rPr>
                <w:color w:val="FFFFFF"/>
                <w:sz w:val="17"/>
              </w:rPr>
            </w:r>
            <w:r>
              <w:rPr>
                <w:b/>
                <w:color w:val="FFFFFF"/>
                <w:sz w:val="17"/>
              </w:rPr>
              <w:t>Critère</w:t>
            </w:r>
          </w:p>
        </w:tc>
        <w:tc>
          <w:tcPr>
            <w:tcW w:type="dxa" w:w="946"/>
            <w:shd w:val="clear" w:fill="0F3D63"/>
          </w:tcPr>
          <w:p>
            <w:pPr>
              <w:spacing w:after="40" w:before="40"/>
            </w:pPr>
            <w:r>
              <w:rPr>
                <w:color w:val="FFFFFF"/>
                <w:sz w:val="17"/>
              </w:rPr>
            </w:r>
            <w:r>
              <w:rPr>
                <w:b/>
                <w:color w:val="FFFFFF"/>
                <w:sz w:val="17"/>
              </w:rPr>
              <w:t>TPE</w:t>
            </w:r>
          </w:p>
        </w:tc>
      </w:tr>
      <w:tr>
        <w:tc>
          <w:tcPr>
            <w:tcW w:type="dxa" w:w="946"/>
          </w:tcPr>
          <w:p>
            <w:pPr>
              <w:spacing w:after="40" w:before="40"/>
            </w:pPr>
            <w:r>
              <w:rPr>
                <w:sz w:val="17"/>
              </w:rPr>
            </w:r>
            <w:r>
              <w:rPr>
                <w:sz w:val="17"/>
              </w:rPr>
              <w:t>B1.1</w:t>
            </w:r>
          </w:p>
        </w:tc>
        <w:tc>
          <w:tcPr>
            <w:tcW w:type="dxa" w:w="7569"/>
          </w:tcPr>
          <w:p>
            <w:pPr>
              <w:spacing w:after="40" w:before="40"/>
            </w:pPr>
            <w:r>
              <w:rPr>
                <w:sz w:val="17"/>
              </w:rPr>
            </w:r>
            <w:r>
              <w:rPr>
                <w:sz w:val="17"/>
              </w:rPr>
              <w:t>DPD et impayés 12/24 mois</w:t>
            </w:r>
          </w:p>
        </w:tc>
        <w:tc>
          <w:tcPr>
            <w:tcW w:type="dxa" w:w="946"/>
          </w:tcPr>
          <w:p>
            <w:pPr>
              <w:spacing w:after="40" w:before="40"/>
            </w:pPr>
            <w:r>
              <w:rPr>
                <w:sz w:val="17"/>
              </w:rPr>
            </w:r>
            <w:r>
              <w:rPr>
                <w:sz w:val="17"/>
              </w:rPr>
              <w:t>8.00 %</w:t>
            </w:r>
          </w:p>
        </w:tc>
      </w:tr>
      <w:tr>
        <w:tc>
          <w:tcPr>
            <w:tcW w:type="dxa" w:w="946"/>
            <w:shd w:val="clear" w:fill="F2F5F8"/>
          </w:tcPr>
          <w:p>
            <w:pPr>
              <w:spacing w:after="40" w:before="40"/>
            </w:pPr>
            <w:r>
              <w:rPr>
                <w:sz w:val="17"/>
              </w:rPr>
            </w:r>
            <w:r>
              <w:rPr>
                <w:sz w:val="17"/>
              </w:rPr>
              <w:t>B1.2</w:t>
            </w:r>
          </w:p>
        </w:tc>
        <w:tc>
          <w:tcPr>
            <w:tcW w:type="dxa" w:w="7569"/>
            <w:shd w:val="clear" w:fill="F2F5F8"/>
          </w:tcPr>
          <w:p>
            <w:pPr>
              <w:spacing w:after="40" w:before="40"/>
            </w:pPr>
            <w:r>
              <w:rPr>
                <w:sz w:val="17"/>
              </w:rPr>
            </w:r>
            <w:r>
              <w:rPr>
                <w:sz w:val="17"/>
              </w:rPr>
              <w:t>Dépassements et irrégularités</w:t>
            </w:r>
          </w:p>
        </w:tc>
        <w:tc>
          <w:tcPr>
            <w:tcW w:type="dxa" w:w="946"/>
            <w:shd w:val="clear" w:fill="F2F5F8"/>
          </w:tcPr>
          <w:p>
            <w:pPr>
              <w:spacing w:after="40" w:before="40"/>
            </w:pPr>
            <w:r>
              <w:rPr>
                <w:sz w:val="17"/>
              </w:rPr>
            </w:r>
            <w:r>
              <w:rPr>
                <w:sz w:val="17"/>
              </w:rPr>
              <w:t>6.00 %</w:t>
            </w:r>
          </w:p>
        </w:tc>
      </w:tr>
      <w:tr>
        <w:tc>
          <w:tcPr>
            <w:tcW w:type="dxa" w:w="946"/>
          </w:tcPr>
          <w:p>
            <w:pPr>
              <w:spacing w:after="40" w:before="40"/>
            </w:pPr>
            <w:r>
              <w:rPr>
                <w:sz w:val="17"/>
              </w:rPr>
            </w:r>
            <w:r>
              <w:rPr>
                <w:sz w:val="17"/>
              </w:rPr>
              <w:t>B1.3</w:t>
            </w:r>
          </w:p>
        </w:tc>
        <w:tc>
          <w:tcPr>
            <w:tcW w:type="dxa" w:w="7569"/>
          </w:tcPr>
          <w:p>
            <w:pPr>
              <w:spacing w:after="40" w:before="40"/>
            </w:pPr>
            <w:r>
              <w:rPr>
                <w:sz w:val="17"/>
              </w:rPr>
            </w:r>
            <w:r>
              <w:rPr>
                <w:sz w:val="17"/>
              </w:rPr>
              <w:t>Mouvements créditeurs vérifiés et tendance</w:t>
            </w:r>
          </w:p>
        </w:tc>
        <w:tc>
          <w:tcPr>
            <w:tcW w:type="dxa" w:w="946"/>
          </w:tcPr>
          <w:p>
            <w:pPr>
              <w:spacing w:after="40" w:before="40"/>
            </w:pPr>
            <w:r>
              <w:rPr>
                <w:sz w:val="17"/>
              </w:rPr>
            </w:r>
            <w:r>
              <w:rPr>
                <w:sz w:val="17"/>
              </w:rPr>
              <w:t>7.00 %</w:t>
            </w:r>
          </w:p>
        </w:tc>
      </w:tr>
      <w:tr>
        <w:tc>
          <w:tcPr>
            <w:tcW w:type="dxa" w:w="946"/>
            <w:shd w:val="clear" w:fill="F2F5F8"/>
          </w:tcPr>
          <w:p>
            <w:pPr>
              <w:spacing w:after="40" w:before="40"/>
            </w:pPr>
            <w:r>
              <w:rPr>
                <w:sz w:val="17"/>
              </w:rPr>
            </w:r>
            <w:r>
              <w:rPr>
                <w:sz w:val="17"/>
              </w:rPr>
              <w:t>B1.4</w:t>
            </w:r>
          </w:p>
        </w:tc>
        <w:tc>
          <w:tcPr>
            <w:tcW w:type="dxa" w:w="7569"/>
            <w:shd w:val="clear" w:fill="F2F5F8"/>
          </w:tcPr>
          <w:p>
            <w:pPr>
              <w:spacing w:after="40" w:before="40"/>
            </w:pPr>
            <w:r>
              <w:rPr>
                <w:sz w:val="17"/>
              </w:rPr>
            </w:r>
            <w:r>
              <w:rPr>
                <w:sz w:val="17"/>
              </w:rPr>
              <w:t>Utilisation des lignes et marge disponible</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B1.5</w:t>
            </w:r>
          </w:p>
        </w:tc>
        <w:tc>
          <w:tcPr>
            <w:tcW w:type="dxa" w:w="7569"/>
          </w:tcPr>
          <w:p>
            <w:pPr>
              <w:spacing w:after="40" w:before="40"/>
            </w:pPr>
            <w:r>
              <w:rPr>
                <w:sz w:val="17"/>
              </w:rPr>
            </w:r>
            <w:r>
              <w:rPr>
                <w:sz w:val="17"/>
              </w:rPr>
              <w:t>Chèques/effets et incidents externes autorisés</w:t>
            </w:r>
          </w:p>
        </w:tc>
        <w:tc>
          <w:tcPr>
            <w:tcW w:type="dxa" w:w="946"/>
          </w:tcPr>
          <w:p>
            <w:pPr>
              <w:spacing w:after="40" w:before="40"/>
            </w:pPr>
            <w:r>
              <w:rPr>
                <w:sz w:val="17"/>
              </w:rPr>
            </w:r>
            <w:r>
              <w:rPr>
                <w:sz w:val="17"/>
              </w:rPr>
              <w:t>5.00 %</w:t>
            </w:r>
          </w:p>
        </w:tc>
      </w:tr>
      <w:tr>
        <w:tc>
          <w:tcPr>
            <w:tcW w:type="dxa" w:w="946"/>
            <w:shd w:val="clear" w:fill="F2F5F8"/>
          </w:tcPr>
          <w:p>
            <w:pPr>
              <w:spacing w:after="40" w:before="40"/>
            </w:pPr>
            <w:r>
              <w:rPr>
                <w:sz w:val="17"/>
              </w:rPr>
            </w:r>
            <w:r>
              <w:rPr>
                <w:sz w:val="17"/>
              </w:rPr>
              <w:t>B2.1</w:t>
            </w:r>
          </w:p>
        </w:tc>
        <w:tc>
          <w:tcPr>
            <w:tcW w:type="dxa" w:w="7569"/>
            <w:shd w:val="clear" w:fill="F2F5F8"/>
          </w:tcPr>
          <w:p>
            <w:pPr>
              <w:spacing w:after="40" w:before="40"/>
            </w:pPr>
            <w:r>
              <w:rPr>
                <w:sz w:val="17"/>
              </w:rPr>
            </w:r>
            <w:r>
              <w:rPr>
                <w:sz w:val="17"/>
              </w:rPr>
              <w:t>Couverture du service de dette par flux observés</w:t>
            </w:r>
          </w:p>
        </w:tc>
        <w:tc>
          <w:tcPr>
            <w:tcW w:type="dxa" w:w="946"/>
            <w:shd w:val="clear" w:fill="F2F5F8"/>
          </w:tcPr>
          <w:p>
            <w:pPr>
              <w:spacing w:after="40" w:before="40"/>
            </w:pPr>
            <w:r>
              <w:rPr>
                <w:sz w:val="17"/>
              </w:rPr>
            </w:r>
            <w:r>
              <w:rPr>
                <w:sz w:val="17"/>
              </w:rPr>
              <w:t>7.00 %</w:t>
            </w:r>
          </w:p>
        </w:tc>
      </w:tr>
      <w:tr>
        <w:tc>
          <w:tcPr>
            <w:tcW w:type="dxa" w:w="946"/>
          </w:tcPr>
          <w:p>
            <w:pPr>
              <w:spacing w:after="40" w:before="40"/>
            </w:pPr>
            <w:r>
              <w:rPr>
                <w:sz w:val="17"/>
              </w:rPr>
            </w:r>
            <w:r>
              <w:rPr>
                <w:sz w:val="17"/>
              </w:rPr>
              <w:t>B2.2</w:t>
            </w:r>
          </w:p>
        </w:tc>
        <w:tc>
          <w:tcPr>
            <w:tcW w:type="dxa" w:w="7569"/>
          </w:tcPr>
          <w:p>
            <w:pPr>
              <w:spacing w:after="40" w:before="40"/>
            </w:pPr>
            <w:r>
              <w:rPr>
                <w:sz w:val="17"/>
              </w:rPr>
            </w:r>
            <w:r>
              <w:rPr>
                <w:sz w:val="17"/>
              </w:rPr>
              <w:t>Stabilité mensuelle des encaissements</w:t>
            </w:r>
          </w:p>
        </w:tc>
        <w:tc>
          <w:tcPr>
            <w:tcW w:type="dxa" w:w="946"/>
          </w:tcPr>
          <w:p>
            <w:pPr>
              <w:spacing w:after="40" w:before="40"/>
            </w:pPr>
            <w:r>
              <w:rPr>
                <w:sz w:val="17"/>
              </w:rPr>
            </w:r>
            <w:r>
              <w:rPr>
                <w:sz w:val="17"/>
              </w:rPr>
              <w:t>5.00 %</w:t>
            </w:r>
          </w:p>
        </w:tc>
      </w:tr>
      <w:tr>
        <w:tc>
          <w:tcPr>
            <w:tcW w:type="dxa" w:w="946"/>
            <w:shd w:val="clear" w:fill="F2F5F8"/>
          </w:tcPr>
          <w:p>
            <w:pPr>
              <w:spacing w:after="40" w:before="40"/>
            </w:pPr>
            <w:r>
              <w:rPr>
                <w:sz w:val="17"/>
              </w:rPr>
            </w:r>
            <w:r>
              <w:rPr>
                <w:sz w:val="17"/>
              </w:rPr>
              <w:t>B2.3</w:t>
            </w:r>
          </w:p>
        </w:tc>
        <w:tc>
          <w:tcPr>
            <w:tcW w:type="dxa" w:w="7569"/>
            <w:shd w:val="clear" w:fill="F2F5F8"/>
          </w:tcPr>
          <w:p>
            <w:pPr>
              <w:spacing w:after="40" w:before="40"/>
            </w:pPr>
            <w:r>
              <w:rPr>
                <w:sz w:val="17"/>
              </w:rPr>
            </w:r>
            <w:r>
              <w:rPr>
                <w:sz w:val="17"/>
              </w:rPr>
              <w:t>Solde minimum, jours débiteurs et liquidité</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B2.4</w:t>
            </w:r>
          </w:p>
        </w:tc>
        <w:tc>
          <w:tcPr>
            <w:tcW w:type="dxa" w:w="7569"/>
          </w:tcPr>
          <w:p>
            <w:pPr>
              <w:spacing w:after="40" w:before="40"/>
            </w:pPr>
            <w:r>
              <w:rPr>
                <w:sz w:val="17"/>
              </w:rPr>
            </w:r>
            <w:r>
              <w:rPr>
                <w:sz w:val="17"/>
              </w:rPr>
              <w:t>Saisonnalité et résistance à un choc de flux</w:t>
            </w:r>
          </w:p>
        </w:tc>
        <w:tc>
          <w:tcPr>
            <w:tcW w:type="dxa" w:w="946"/>
          </w:tcPr>
          <w:p>
            <w:pPr>
              <w:spacing w:after="40" w:before="40"/>
            </w:pPr>
            <w:r>
              <w:rPr>
                <w:sz w:val="17"/>
              </w:rPr>
            </w:r>
            <w:r>
              <w:rPr>
                <w:sz w:val="17"/>
              </w:rPr>
              <w:t>4.00 %</w:t>
            </w:r>
          </w:p>
        </w:tc>
      </w:tr>
      <w:tr>
        <w:tc>
          <w:tcPr>
            <w:tcW w:type="dxa" w:w="946"/>
            <w:shd w:val="clear" w:fill="F2F5F8"/>
          </w:tcPr>
          <w:p>
            <w:pPr>
              <w:spacing w:after="40" w:before="40"/>
            </w:pPr>
            <w:r>
              <w:rPr>
                <w:sz w:val="17"/>
              </w:rPr>
            </w:r>
            <w:r>
              <w:rPr>
                <w:sz w:val="17"/>
              </w:rPr>
              <w:t>B3.1</w:t>
            </w:r>
          </w:p>
        </w:tc>
        <w:tc>
          <w:tcPr>
            <w:tcW w:type="dxa" w:w="7569"/>
            <w:shd w:val="clear" w:fill="F2F5F8"/>
          </w:tcPr>
          <w:p>
            <w:pPr>
              <w:spacing w:after="40" w:before="40"/>
            </w:pPr>
            <w:r>
              <w:rPr>
                <w:sz w:val="17"/>
              </w:rPr>
            </w:r>
            <w:r>
              <w:rPr>
                <w:sz w:val="17"/>
              </w:rPr>
              <w:t>Risque sectoriel</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B3.2</w:t>
            </w:r>
          </w:p>
        </w:tc>
        <w:tc>
          <w:tcPr>
            <w:tcW w:type="dxa" w:w="7569"/>
          </w:tcPr>
          <w:p>
            <w:pPr>
              <w:spacing w:after="40" w:before="40"/>
            </w:pPr>
            <w:r>
              <w:rPr>
                <w:sz w:val="17"/>
              </w:rPr>
            </w:r>
            <w:r>
              <w:rPr>
                <w:sz w:val="17"/>
              </w:rPr>
              <w:t>Ancienneté et continuité de l'activité</w:t>
            </w:r>
          </w:p>
        </w:tc>
        <w:tc>
          <w:tcPr>
            <w:tcW w:type="dxa" w:w="946"/>
          </w:tcPr>
          <w:p>
            <w:pPr>
              <w:spacing w:after="40" w:before="40"/>
            </w:pPr>
            <w:r>
              <w:rPr>
                <w:sz w:val="17"/>
              </w:rPr>
            </w:r>
            <w:r>
              <w:rPr>
                <w:sz w:val="17"/>
              </w:rPr>
              <w:t>3.00 %</w:t>
            </w:r>
          </w:p>
        </w:tc>
      </w:tr>
      <w:tr>
        <w:tc>
          <w:tcPr>
            <w:tcW w:type="dxa" w:w="946"/>
            <w:shd w:val="clear" w:fill="F2F5F8"/>
          </w:tcPr>
          <w:p>
            <w:pPr>
              <w:spacing w:after="40" w:before="40"/>
            </w:pPr>
            <w:r>
              <w:rPr>
                <w:sz w:val="17"/>
              </w:rPr>
            </w:r>
            <w:r>
              <w:rPr>
                <w:sz w:val="17"/>
              </w:rPr>
              <w:t>B3.3</w:t>
            </w:r>
          </w:p>
        </w:tc>
        <w:tc>
          <w:tcPr>
            <w:tcW w:type="dxa" w:w="7569"/>
            <w:shd w:val="clear" w:fill="F2F5F8"/>
          </w:tcPr>
          <w:p>
            <w:pPr>
              <w:spacing w:after="40" w:before="40"/>
            </w:pPr>
            <w:r>
              <w:rPr>
                <w:sz w:val="17"/>
              </w:rPr>
            </w:r>
            <w:r>
              <w:rPr>
                <w:sz w:val="17"/>
              </w:rPr>
              <w:t>Concentration clients/fournisseurs</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B3.4</w:t>
            </w:r>
          </w:p>
        </w:tc>
        <w:tc>
          <w:tcPr>
            <w:tcW w:type="dxa" w:w="7569"/>
          </w:tcPr>
          <w:p>
            <w:pPr>
              <w:spacing w:after="40" w:before="40"/>
            </w:pPr>
            <w:r>
              <w:rPr>
                <w:sz w:val="17"/>
              </w:rPr>
            </w:r>
            <w:r>
              <w:rPr>
                <w:sz w:val="17"/>
              </w:rPr>
              <w:t>Marge brute ou proxy vérifié</w:t>
            </w:r>
          </w:p>
        </w:tc>
        <w:tc>
          <w:tcPr>
            <w:tcW w:type="dxa" w:w="946"/>
          </w:tcPr>
          <w:p>
            <w:pPr>
              <w:spacing w:after="40" w:before="40"/>
            </w:pPr>
            <w:r>
              <w:rPr>
                <w:sz w:val="17"/>
              </w:rPr>
            </w:r>
            <w:r>
              <w:rPr>
                <w:sz w:val="17"/>
              </w:rPr>
              <w:t>3.00 %</w:t>
            </w:r>
          </w:p>
        </w:tc>
      </w:tr>
      <w:tr>
        <w:tc>
          <w:tcPr>
            <w:tcW w:type="dxa" w:w="946"/>
            <w:shd w:val="clear" w:fill="F2F5F8"/>
          </w:tcPr>
          <w:p>
            <w:pPr>
              <w:spacing w:after="40" w:before="40"/>
            </w:pPr>
            <w:r>
              <w:rPr>
                <w:sz w:val="17"/>
              </w:rPr>
            </w:r>
            <w:r>
              <w:rPr>
                <w:sz w:val="17"/>
              </w:rPr>
              <w:t>B3.5</w:t>
            </w:r>
          </w:p>
        </w:tc>
        <w:tc>
          <w:tcPr>
            <w:tcW w:type="dxa" w:w="7569"/>
            <w:shd w:val="clear" w:fill="F2F5F8"/>
          </w:tcPr>
          <w:p>
            <w:pPr>
              <w:spacing w:after="40" w:before="40"/>
            </w:pPr>
            <w:r>
              <w:rPr>
                <w:sz w:val="17"/>
              </w:rPr>
            </w:r>
            <w:r>
              <w:rPr>
                <w:sz w:val="17"/>
              </w:rPr>
              <w:t>Contrats, commandes et récurrence</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B4.1</w:t>
            </w:r>
          </w:p>
        </w:tc>
        <w:tc>
          <w:tcPr>
            <w:tcW w:type="dxa" w:w="7569"/>
          </w:tcPr>
          <w:p>
            <w:pPr>
              <w:spacing w:after="40" w:before="40"/>
            </w:pPr>
            <w:r>
              <w:rPr>
                <w:sz w:val="17"/>
              </w:rPr>
            </w:r>
            <w:r>
              <w:rPr>
                <w:sz w:val="17"/>
              </w:rPr>
              <w:t>Expérience du dirigeant</w:t>
            </w:r>
          </w:p>
        </w:tc>
        <w:tc>
          <w:tcPr>
            <w:tcW w:type="dxa" w:w="946"/>
          </w:tcPr>
          <w:p>
            <w:pPr>
              <w:spacing w:after="40" w:before="40"/>
            </w:pPr>
            <w:r>
              <w:rPr>
                <w:sz w:val="17"/>
              </w:rPr>
            </w:r>
            <w:r>
              <w:rPr>
                <w:sz w:val="17"/>
              </w:rPr>
              <w:t>4.00 %</w:t>
            </w:r>
          </w:p>
        </w:tc>
      </w:tr>
      <w:tr>
        <w:tc>
          <w:tcPr>
            <w:tcW w:type="dxa" w:w="946"/>
            <w:shd w:val="clear" w:fill="F2F5F8"/>
          </w:tcPr>
          <w:p>
            <w:pPr>
              <w:spacing w:after="40" w:before="40"/>
            </w:pPr>
            <w:r>
              <w:rPr>
                <w:sz w:val="17"/>
              </w:rPr>
            </w:r>
            <w:r>
              <w:rPr>
                <w:sz w:val="17"/>
              </w:rPr>
              <w:t>B4.2</w:t>
            </w:r>
          </w:p>
        </w:tc>
        <w:tc>
          <w:tcPr>
            <w:tcW w:type="dxa" w:w="7569"/>
            <w:shd w:val="clear" w:fill="F2F5F8"/>
          </w:tcPr>
          <w:p>
            <w:pPr>
              <w:spacing w:after="40" w:before="40"/>
            </w:pPr>
            <w:r>
              <w:rPr>
                <w:sz w:val="17"/>
              </w:rPr>
            </w:r>
            <w:r>
              <w:rPr>
                <w:sz w:val="17"/>
              </w:rPr>
              <w:t>Dépendance homme-clé</w:t>
            </w:r>
          </w:p>
        </w:tc>
        <w:tc>
          <w:tcPr>
            <w:tcW w:type="dxa" w:w="946"/>
            <w:shd w:val="clear" w:fill="F2F5F8"/>
          </w:tcPr>
          <w:p>
            <w:pPr>
              <w:spacing w:after="40" w:before="40"/>
            </w:pPr>
            <w:r>
              <w:rPr>
                <w:sz w:val="17"/>
              </w:rPr>
            </w:r>
            <w:r>
              <w:rPr>
                <w:sz w:val="17"/>
              </w:rPr>
              <w:t>3.00 %</w:t>
            </w:r>
          </w:p>
        </w:tc>
      </w:tr>
      <w:tr>
        <w:tc>
          <w:tcPr>
            <w:tcW w:type="dxa" w:w="946"/>
          </w:tcPr>
          <w:p>
            <w:pPr>
              <w:spacing w:after="40" w:before="40"/>
            </w:pPr>
            <w:r>
              <w:rPr>
                <w:sz w:val="17"/>
              </w:rPr>
            </w:r>
            <w:r>
              <w:rPr>
                <w:sz w:val="17"/>
              </w:rPr>
              <w:t>B4.3</w:t>
            </w:r>
          </w:p>
        </w:tc>
        <w:tc>
          <w:tcPr>
            <w:tcW w:type="dxa" w:w="7569"/>
          </w:tcPr>
          <w:p>
            <w:pPr>
              <w:spacing w:after="40" w:before="40"/>
            </w:pPr>
            <w:r>
              <w:rPr>
                <w:sz w:val="17"/>
              </w:rPr>
            </w:r>
            <w:r>
              <w:rPr>
                <w:sz w:val="17"/>
              </w:rPr>
              <w:t>Organisation et contrôles minimums</w:t>
            </w:r>
          </w:p>
        </w:tc>
        <w:tc>
          <w:tcPr>
            <w:tcW w:type="dxa" w:w="946"/>
          </w:tcPr>
          <w:p>
            <w:pPr>
              <w:spacing w:after="40" w:before="40"/>
            </w:pPr>
            <w:r>
              <w:rPr>
                <w:sz w:val="17"/>
              </w:rPr>
            </w:r>
            <w:r>
              <w:rPr>
                <w:sz w:val="17"/>
              </w:rPr>
              <w:t>2.00 %</w:t>
            </w:r>
          </w:p>
        </w:tc>
      </w:tr>
      <w:tr>
        <w:tc>
          <w:tcPr>
            <w:tcW w:type="dxa" w:w="946"/>
            <w:shd w:val="clear" w:fill="F2F5F8"/>
          </w:tcPr>
          <w:p>
            <w:pPr>
              <w:spacing w:after="40" w:before="40"/>
            </w:pPr>
            <w:r>
              <w:rPr>
                <w:sz w:val="17"/>
              </w:rPr>
            </w:r>
            <w:r>
              <w:rPr>
                <w:sz w:val="17"/>
              </w:rPr>
              <w:t>B4.4</w:t>
            </w:r>
          </w:p>
        </w:tc>
        <w:tc>
          <w:tcPr>
            <w:tcW w:type="dxa" w:w="7569"/>
            <w:shd w:val="clear" w:fill="F2F5F8"/>
          </w:tcPr>
          <w:p>
            <w:pPr>
              <w:spacing w:after="40" w:before="40"/>
            </w:pPr>
            <w:r>
              <w:rPr>
                <w:sz w:val="17"/>
              </w:rPr>
            </w:r>
            <w:r>
              <w:rPr>
                <w:sz w:val="17"/>
              </w:rPr>
              <w:t>Succession / continuité</w:t>
            </w:r>
          </w:p>
        </w:tc>
        <w:tc>
          <w:tcPr>
            <w:tcW w:type="dxa" w:w="946"/>
            <w:shd w:val="clear" w:fill="F2F5F8"/>
          </w:tcPr>
          <w:p>
            <w:pPr>
              <w:spacing w:after="40" w:before="40"/>
            </w:pPr>
            <w:r>
              <w:rPr>
                <w:sz w:val="17"/>
              </w:rPr>
            </w:r>
            <w:r>
              <w:rPr>
                <w:sz w:val="17"/>
              </w:rPr>
              <w:t>3.00 %</w:t>
            </w:r>
          </w:p>
        </w:tc>
      </w:tr>
      <w:tr>
        <w:tc>
          <w:tcPr>
            <w:tcW w:type="dxa" w:w="946"/>
          </w:tcPr>
          <w:p>
            <w:pPr>
              <w:spacing w:after="40" w:before="40"/>
            </w:pPr>
            <w:r>
              <w:rPr>
                <w:sz w:val="17"/>
              </w:rPr>
            </w:r>
            <w:r>
              <w:rPr>
                <w:sz w:val="17"/>
              </w:rPr>
              <w:t>B5.1</w:t>
            </w:r>
          </w:p>
        </w:tc>
        <w:tc>
          <w:tcPr>
            <w:tcW w:type="dxa" w:w="7569"/>
          </w:tcPr>
          <w:p>
            <w:pPr>
              <w:spacing w:after="40" w:before="40"/>
            </w:pPr>
            <w:r>
              <w:rPr>
                <w:sz w:val="17"/>
              </w:rPr>
            </w:r>
            <w:r>
              <w:rPr>
                <w:sz w:val="17"/>
              </w:rPr>
              <w:t>Documents et autorisations</w:t>
            </w:r>
          </w:p>
        </w:tc>
        <w:tc>
          <w:tcPr>
            <w:tcW w:type="dxa" w:w="946"/>
          </w:tcPr>
          <w:p>
            <w:pPr>
              <w:spacing w:after="40" w:before="40"/>
            </w:pPr>
            <w:r>
              <w:rPr>
                <w:sz w:val="17"/>
              </w:rPr>
            </w:r>
            <w:r>
              <w:rPr>
                <w:sz w:val="17"/>
              </w:rPr>
              <w:t>3.00 %</w:t>
            </w:r>
          </w:p>
        </w:tc>
      </w:tr>
      <w:tr>
        <w:tc>
          <w:tcPr>
            <w:tcW w:type="dxa" w:w="946"/>
            <w:shd w:val="clear" w:fill="F2F5F8"/>
          </w:tcPr>
          <w:p>
            <w:pPr>
              <w:spacing w:after="40" w:before="40"/>
            </w:pPr>
            <w:r>
              <w:rPr>
                <w:sz w:val="17"/>
              </w:rPr>
            </w:r>
            <w:r>
              <w:rPr>
                <w:sz w:val="17"/>
              </w:rPr>
              <w:t>B5.2</w:t>
            </w:r>
          </w:p>
        </w:tc>
        <w:tc>
          <w:tcPr>
            <w:tcW w:type="dxa" w:w="7569"/>
            <w:shd w:val="clear" w:fill="F2F5F8"/>
          </w:tcPr>
          <w:p>
            <w:pPr>
              <w:spacing w:after="40" w:before="40"/>
            </w:pPr>
            <w:r>
              <w:rPr>
                <w:sz w:val="17"/>
              </w:rPr>
            </w:r>
            <w:r>
              <w:rPr>
                <w:sz w:val="17"/>
              </w:rPr>
              <w:t>Rapprochement flux / CA déclaré / fiscal</w:t>
            </w:r>
          </w:p>
        </w:tc>
        <w:tc>
          <w:tcPr>
            <w:tcW w:type="dxa" w:w="946"/>
            <w:shd w:val="clear" w:fill="F2F5F8"/>
          </w:tcPr>
          <w:p>
            <w:pPr>
              <w:spacing w:after="40" w:before="40"/>
            </w:pPr>
            <w:r>
              <w:rPr>
                <w:sz w:val="17"/>
              </w:rPr>
            </w:r>
            <w:r>
              <w:rPr>
                <w:sz w:val="17"/>
              </w:rPr>
              <w:t>4.00 %</w:t>
            </w:r>
          </w:p>
        </w:tc>
      </w:tr>
      <w:tr>
        <w:tc>
          <w:tcPr>
            <w:tcW w:type="dxa" w:w="946"/>
          </w:tcPr>
          <w:p>
            <w:pPr>
              <w:spacing w:after="40" w:before="40"/>
            </w:pPr>
            <w:r>
              <w:rPr>
                <w:sz w:val="17"/>
              </w:rPr>
            </w:r>
            <w:r>
              <w:rPr>
                <w:sz w:val="17"/>
              </w:rPr>
              <w:t>B5.3</w:t>
            </w:r>
          </w:p>
        </w:tc>
        <w:tc>
          <w:tcPr>
            <w:tcW w:type="dxa" w:w="7569"/>
          </w:tcPr>
          <w:p>
            <w:pPr>
              <w:spacing w:after="40" w:before="40"/>
            </w:pPr>
            <w:r>
              <w:rPr>
                <w:sz w:val="17"/>
              </w:rPr>
            </w:r>
            <w:r>
              <w:rPr>
                <w:sz w:val="17"/>
              </w:rPr>
              <w:t>Situation fiscale et sociale</w:t>
            </w:r>
          </w:p>
        </w:tc>
        <w:tc>
          <w:tcPr>
            <w:tcW w:type="dxa" w:w="946"/>
          </w:tcPr>
          <w:p>
            <w:pPr>
              <w:spacing w:after="40" w:before="40"/>
            </w:pPr>
            <w:r>
              <w:rPr>
                <w:sz w:val="17"/>
              </w:rPr>
            </w:r>
            <w:r>
              <w:rPr>
                <w:sz w:val="17"/>
              </w:rPr>
              <w:t>3.00 %</w:t>
            </w:r>
          </w:p>
        </w:tc>
      </w:tr>
      <w:tr>
        <w:tc>
          <w:tcPr>
            <w:tcW w:type="dxa" w:w="946"/>
            <w:shd w:val="clear" w:fill="F2F5F8"/>
          </w:tcPr>
          <w:p>
            <w:pPr>
              <w:spacing w:after="40" w:before="40"/>
            </w:pPr>
            <w:r>
              <w:rPr>
                <w:sz w:val="17"/>
              </w:rPr>
            </w:r>
            <w:r>
              <w:rPr>
                <w:sz w:val="17"/>
              </w:rPr>
              <w:t>B5.4</w:t>
            </w:r>
          </w:p>
        </w:tc>
        <w:tc>
          <w:tcPr>
            <w:tcW w:type="dxa" w:w="7569"/>
            <w:shd w:val="clear" w:fill="F2F5F8"/>
          </w:tcPr>
          <w:p>
            <w:pPr>
              <w:spacing w:after="40" w:before="40"/>
            </w:pPr>
            <w:r>
              <w:rPr>
                <w:sz w:val="17"/>
              </w:rPr>
            </w:r>
            <w:r>
              <w:rPr>
                <w:sz w:val="17"/>
              </w:rPr>
              <w:t>Actionnariat / UBO / KYC</w:t>
            </w:r>
          </w:p>
        </w:tc>
        <w:tc>
          <w:tcPr>
            <w:tcW w:type="dxa" w:w="946"/>
            <w:shd w:val="clear" w:fill="F2F5F8"/>
          </w:tcPr>
          <w:p>
            <w:pPr>
              <w:spacing w:after="40" w:before="40"/>
            </w:pPr>
            <w:r>
              <w:rPr>
                <w:sz w:val="17"/>
              </w:rPr>
            </w:r>
            <w:r>
              <w:rPr>
                <w:sz w:val="17"/>
              </w:rPr>
              <w:t>2.00 %</w:t>
            </w:r>
          </w:p>
        </w:tc>
      </w:tr>
      <w:tr>
        <w:tc>
          <w:tcPr>
            <w:tcW w:type="dxa" w:w="946"/>
          </w:tcPr>
          <w:p>
            <w:pPr>
              <w:spacing w:after="40" w:before="40"/>
            </w:pPr>
            <w:r>
              <w:rPr>
                <w:sz w:val="17"/>
              </w:rPr>
            </w:r>
            <w:r>
              <w:rPr>
                <w:sz w:val="17"/>
              </w:rPr>
              <w:t>B6.1</w:t>
            </w:r>
          </w:p>
        </w:tc>
        <w:tc>
          <w:tcPr>
            <w:tcW w:type="dxa" w:w="7569"/>
          </w:tcPr>
          <w:p>
            <w:pPr>
              <w:spacing w:after="40" w:before="40"/>
            </w:pPr>
            <w:r>
              <w:rPr>
                <w:sz w:val="17"/>
              </w:rPr>
            </w:r>
            <w:r>
              <w:rPr>
                <w:sz w:val="17"/>
              </w:rPr>
              <w:t>Groupe, garant et soutien démontré</w:t>
            </w:r>
          </w:p>
        </w:tc>
        <w:tc>
          <w:tcPr>
            <w:tcW w:type="dxa" w:w="946"/>
          </w:tcPr>
          <w:p>
            <w:pPr>
              <w:spacing w:after="40" w:before="40"/>
            </w:pPr>
            <w:r>
              <w:rPr>
                <w:sz w:val="17"/>
              </w:rPr>
            </w:r>
            <w:r>
              <w:rPr>
                <w:sz w:val="17"/>
              </w:rPr>
              <w:t>5.00 %</w:t>
            </w:r>
          </w:p>
        </w:tc>
      </w:tr>
      <w:tr>
        <w:tc>
          <w:tcPr>
            <w:tcW w:type="dxa" w:w="946"/>
            <w:shd w:val="clear" w:fill="F2F5F8"/>
          </w:tcPr>
          <w:p>
            <w:pPr>
              <w:spacing w:after="40" w:before="40"/>
            </w:pPr>
            <w:r>
              <w:rPr>
                <w:sz w:val="17"/>
              </w:rPr>
            </w:r>
            <w:r>
              <w:rPr>
                <w:sz w:val="17"/>
              </w:rPr>
              <w:t>B7.1</w:t>
            </w:r>
          </w:p>
        </w:tc>
        <w:tc>
          <w:tcPr>
            <w:tcW w:type="dxa" w:w="7569"/>
            <w:shd w:val="clear" w:fill="F2F5F8"/>
          </w:tcPr>
          <w:p>
            <w:pPr>
              <w:spacing w:after="40" w:before="40"/>
            </w:pPr>
            <w:r>
              <w:rPr>
                <w:sz w:val="17"/>
              </w:rPr>
            </w:r>
            <w:r>
              <w:rPr>
                <w:sz w:val="17"/>
              </w:rPr>
              <w:t>Risques ESG/climat matériels</w:t>
            </w:r>
          </w:p>
        </w:tc>
        <w:tc>
          <w:tcPr>
            <w:tcW w:type="dxa" w:w="946"/>
            <w:shd w:val="clear" w:fill="F2F5F8"/>
          </w:tcPr>
          <w:p>
            <w:pPr>
              <w:spacing w:after="40" w:before="40"/>
            </w:pPr>
            <w:r>
              <w:rPr>
                <w:sz w:val="17"/>
              </w:rPr>
            </w:r>
            <w:r>
              <w:rPr>
                <w:sz w:val="17"/>
              </w:rPr>
              <w:t>3.00 %</w:t>
            </w:r>
          </w:p>
        </w:tc>
      </w:tr>
    </w:tbl>
    <w:p>
      <w:pPr>
        <w:spacing w:after="80"/>
      </w:pPr>
    </w:p>
    <w:p>
      <w:pPr>
        <w:pStyle w:val="Heading3"/>
      </w:pPr>
      <w:r>
        <w:t>B1 — Comportement de crédit</w:t>
      </w:r>
    </w:p>
    <w:p>
      <w:pPr>
        <w:pStyle w:val="Heading4"/>
      </w:pPr>
      <w:r>
        <w:t>B1.1 — DPD et impayés 12/24 mois</w:t>
      </w:r>
    </w:p>
    <w:p>
      <w:r>
        <w:rPr>
          <w:b/>
        </w:rPr>
        <w:t>Poids :</w:t>
      </w:r>
      <w:r>
        <w:t xml:space="preserve"> TPE 8.00 %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0 j</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]0 j ; 7 j]</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]7 j ; 30 j]</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]30 j ; 60 j]</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60 j</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892"/>
            <w:shd w:val="clear" w:fill="0F3D63"/>
          </w:tcPr>
          <w:p>
            <w:pPr>
              <w:spacing w:after="40" w:before="40"/>
            </w:pPr>
            <w:r>
              <w:rPr>
                <w:color w:val="FFFFFF"/>
                <w:sz w:val="17"/>
              </w:rPr>
            </w:r>
            <w:r>
              <w:rPr>
                <w:b/>
                <w:color w:val="FFFFFF"/>
                <w:sz w:val="17"/>
              </w:rPr>
              <w:t>Code</w:t>
            </w:r>
          </w:p>
        </w:tc>
        <w:tc>
          <w:tcPr>
            <w:tcW w:type="dxa" w:w="6307"/>
            <w:shd w:val="clear" w:fill="0F3D63"/>
          </w:tcPr>
          <w:p>
            <w:pPr>
              <w:spacing w:after="40" w:before="40"/>
            </w:pPr>
            <w:r>
              <w:rPr>
                <w:color w:val="FFFFFF"/>
                <w:sz w:val="17"/>
              </w:rPr>
            </w:r>
            <w:r>
              <w:rPr>
                <w:b/>
                <w:color w:val="FFFFFF"/>
                <w:sz w:val="17"/>
              </w:rPr>
              <w:t>Cas</w:t>
            </w:r>
          </w:p>
        </w:tc>
        <w:tc>
          <w:tcPr>
            <w:tcW w:type="dxa" w:w="1261"/>
            <w:shd w:val="clear" w:fill="0F3D63"/>
          </w:tcPr>
          <w:p>
            <w:pPr>
              <w:spacing w:after="40" w:before="40"/>
            </w:pPr>
            <w:r>
              <w:rPr>
                <w:color w:val="FFFFFF"/>
                <w:sz w:val="17"/>
              </w:rPr>
            </w:r>
            <w:r>
              <w:rPr>
                <w:b/>
                <w:color w:val="FFFFFF"/>
                <w:sz w:val="17"/>
              </w:rPr>
              <w:t>Score imposé</w:t>
            </w:r>
          </w:p>
        </w:tc>
      </w:tr>
      <w:tr>
        <w:tc>
          <w:tcPr>
            <w:tcW w:type="dxa" w:w="1892"/>
          </w:tcPr>
          <w:p>
            <w:pPr>
              <w:spacing w:after="40" w:before="40"/>
            </w:pPr>
            <w:r>
              <w:rPr>
                <w:sz w:val="17"/>
              </w:rPr>
            </w:r>
            <w:r>
              <w:rPr>
                <w:rFonts w:ascii="Consolas" w:hAnsi="Consolas"/>
                <w:color w:val="8A2B2B"/>
                <w:sz w:val="17"/>
              </w:rPr>
              <w:t>UNPAID_NOT_CURED</w:t>
            </w:r>
          </w:p>
        </w:tc>
        <w:tc>
          <w:tcPr>
            <w:tcW w:type="dxa" w:w="6307"/>
          </w:tcPr>
          <w:p>
            <w:pPr>
              <w:spacing w:after="40" w:before="40"/>
            </w:pPr>
            <w:r>
              <w:rPr>
                <w:sz w:val="17"/>
              </w:rPr>
            </w:r>
            <w:r>
              <w:rPr>
                <w:sz w:val="17"/>
              </w:rPr>
              <w:t>Impayé non régularisé — à instruire avec RF06/RF07</w:t>
            </w:r>
          </w:p>
        </w:tc>
        <w:tc>
          <w:tcPr>
            <w:tcW w:type="dxa" w:w="1261"/>
          </w:tcPr>
          <w:p>
            <w:pPr>
              <w:spacing w:after="40" w:before="40"/>
            </w:pPr>
            <w:r>
              <w:rPr>
                <w:sz w:val="17"/>
              </w:rPr>
            </w:r>
            <w:r>
              <w:rPr>
                <w:sz w:val="17"/>
              </w:rPr>
              <w:t>0</w:t>
            </w:r>
          </w:p>
        </w:tc>
      </w:tr>
      <w:tr>
        <w:tc>
          <w:tcPr>
            <w:tcW w:type="dxa" w:w="1892"/>
            <w:shd w:val="clear" w:fill="F2F5F8"/>
          </w:tcPr>
          <w:p>
            <w:pPr>
              <w:spacing w:after="40" w:before="40"/>
            </w:pPr>
            <w:r>
              <w:rPr>
                <w:sz w:val="17"/>
              </w:rPr>
            </w:r>
            <w:r>
              <w:rPr>
                <w:rFonts w:ascii="Consolas" w:hAnsi="Consolas"/>
                <w:color w:val="8A2B2B"/>
                <w:sz w:val="17"/>
              </w:rPr>
              <w:t>UNLIKELY_TO_PAY</w:t>
            </w:r>
          </w:p>
        </w:tc>
        <w:tc>
          <w:tcPr>
            <w:tcW w:type="dxa" w:w="6307"/>
            <w:shd w:val="clear" w:fill="F2F5F8"/>
          </w:tcPr>
          <w:p>
            <w:pPr>
              <w:spacing w:after="40" w:before="40"/>
            </w:pPr>
            <w:r>
              <w:rPr>
                <w:sz w:val="17"/>
              </w:rPr>
            </w:r>
            <w:r>
              <w:rPr>
                <w:sz w:val="17"/>
              </w:rPr>
              <w:t>Signal d'incapacité probable de payer — à instruire avec RF06</w:t>
            </w:r>
          </w:p>
        </w:tc>
        <w:tc>
          <w:tcPr>
            <w:tcW w:type="dxa" w:w="1261"/>
            <w:shd w:val="clear" w:fill="F2F5F8"/>
          </w:tcPr>
          <w:p>
            <w:pPr>
              <w:spacing w:after="40" w:before="40"/>
            </w:pPr>
            <w:r>
              <w:rPr>
                <w:sz w:val="17"/>
              </w:rPr>
            </w:r>
            <w:r>
              <w:rPr>
                <w:sz w:val="17"/>
              </w:rPr>
              <w:t>0</w:t>
            </w:r>
          </w:p>
        </w:tc>
      </w:tr>
    </w:tbl>
    <w:p>
      <w:pPr>
        <w:spacing w:after="80"/>
      </w:pPr>
    </w:p>
    <w:p>
      <w:pPr>
        <w:pStyle w:val="Heading4"/>
      </w:pPr>
      <w:r>
        <w:t>B1.2 — Dépassements et irrégularités</w:t>
      </w:r>
    </w:p>
    <w:p>
      <w:r>
        <w:rPr>
          <w:b/>
        </w:rPr>
        <w:t>Poids :</w:t>
      </w:r>
      <w:r>
        <w:t xml:space="preserve"> TPE 6.00 %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Aucun dépassement non autorisé</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Un dépassement ≤ 3 jours et ≤ 5 % de la ligne, régularisé spontanément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4–15 jours cumulés ou 2–3 épisodes, montant ≤ 10 % de la ligne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16–30 jours cumulés, épisodes mensuels ou montant &gt; 10 %</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30 jours, dépassement permanent, compte bloqué ou absence d'autorisation</w:t>
            </w:r>
          </w:p>
        </w:tc>
      </w:tr>
    </w:tbl>
    <w:p>
      <w:pPr>
        <w:spacing w:after="80"/>
      </w:pPr>
    </w:p>
    <w:p>
      <w:pPr>
        <w:pStyle w:val="Heading4"/>
      </w:pPr>
      <w:r>
        <w:t>B1.3 — Mouvements créditeurs vérifiés et tendance</w:t>
      </w:r>
    </w:p>
    <w:p>
      <w:r>
        <w:t>Mouvements créditeurs observés / flux attendus (%). Un compte secondaire ne peut être annualisé sans preuve de la part de flux domiciliée.</w:t>
      </w:r>
    </w:p>
    <w:p>
      <w:r>
        <w:rPr>
          <w:b/>
        </w:rPr>
        <w:t>Poids :</w:t>
      </w:r>
      <w:r>
        <w:t xml:space="preserve"> TPE 7.00 %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838"/>
            <w:shd w:val="clear" w:fill="0F3D63"/>
          </w:tcPr>
          <w:p>
            <w:pPr>
              <w:spacing w:after="40" w:before="40"/>
            </w:pPr>
            <w:r>
              <w:rPr>
                <w:color w:val="FFFFFF"/>
                <w:sz w:val="17"/>
              </w:rPr>
            </w:r>
            <w:r>
              <w:rPr>
                <w:b/>
                <w:color w:val="FFFFFF"/>
                <w:sz w:val="17"/>
              </w:rPr>
              <w:t>Score</w:t>
            </w:r>
          </w:p>
        </w:tc>
        <w:tc>
          <w:tcPr>
            <w:tcW w:type="dxa" w:w="6623"/>
            <w:shd w:val="clear" w:fill="0F3D63"/>
          </w:tcPr>
          <w:p>
            <w:pPr>
              <w:spacing w:after="40" w:before="40"/>
            </w:pPr>
            <w:r>
              <w:rPr>
                <w:color w:val="FFFFFF"/>
                <w:sz w:val="17"/>
              </w:rPr>
            </w:r>
            <w:r>
              <w:rPr>
                <w:b/>
                <w:color w:val="FFFFFF"/>
                <w:sz w:val="17"/>
              </w:rPr>
              <w:t>Bande</w:t>
            </w:r>
          </w:p>
        </w:tc>
      </w:tr>
      <w:tr>
        <w:tc>
          <w:tcPr>
            <w:tcW w:type="dxa" w:w="2838"/>
          </w:tcPr>
          <w:p>
            <w:pPr>
              <w:spacing w:after="40" w:before="40"/>
            </w:pPr>
            <w:r>
              <w:rPr>
                <w:sz w:val="17"/>
              </w:rPr>
            </w:r>
            <w:r>
              <w:rPr>
                <w:sz w:val="17"/>
              </w:rPr>
              <w:t>100</w:t>
            </w:r>
          </w:p>
        </w:tc>
        <w:tc>
          <w:tcPr>
            <w:tcW w:type="dxa" w:w="6623"/>
          </w:tcPr>
          <w:p>
            <w:pPr>
              <w:spacing w:after="40" w:before="40"/>
            </w:pPr>
            <w:r>
              <w:rPr>
                <w:sz w:val="17"/>
              </w:rPr>
            </w:r>
            <w:r>
              <w:rPr>
                <w:sz w:val="17"/>
              </w:rPr>
              <w:t>≥ 110 %</w:t>
            </w:r>
          </w:p>
        </w:tc>
      </w:tr>
      <w:tr>
        <w:tc>
          <w:tcPr>
            <w:tcW w:type="dxa" w:w="2838"/>
            <w:shd w:val="clear" w:fill="F2F5F8"/>
          </w:tcPr>
          <w:p>
            <w:pPr>
              <w:spacing w:after="40" w:before="40"/>
            </w:pPr>
            <w:r>
              <w:rPr>
                <w:sz w:val="17"/>
              </w:rPr>
            </w:r>
            <w:r>
              <w:rPr>
                <w:sz w:val="17"/>
              </w:rPr>
              <w:t>75</w:t>
            </w:r>
          </w:p>
        </w:tc>
        <w:tc>
          <w:tcPr>
            <w:tcW w:type="dxa" w:w="6623"/>
            <w:shd w:val="clear" w:fill="F2F5F8"/>
          </w:tcPr>
          <w:p>
            <w:pPr>
              <w:spacing w:after="40" w:before="40"/>
            </w:pPr>
            <w:r>
              <w:rPr>
                <w:sz w:val="17"/>
              </w:rPr>
            </w:r>
            <w:r>
              <w:rPr>
                <w:sz w:val="17"/>
              </w:rPr>
              <w:t>[90 % ; 110 %[</w:t>
            </w:r>
          </w:p>
        </w:tc>
      </w:tr>
      <w:tr>
        <w:tc>
          <w:tcPr>
            <w:tcW w:type="dxa" w:w="2838"/>
          </w:tcPr>
          <w:p>
            <w:pPr>
              <w:spacing w:after="40" w:before="40"/>
            </w:pPr>
            <w:r>
              <w:rPr>
                <w:sz w:val="17"/>
              </w:rPr>
            </w:r>
            <w:r>
              <w:rPr>
                <w:sz w:val="17"/>
              </w:rPr>
              <w:t>50</w:t>
            </w:r>
          </w:p>
        </w:tc>
        <w:tc>
          <w:tcPr>
            <w:tcW w:type="dxa" w:w="6623"/>
          </w:tcPr>
          <w:p>
            <w:pPr>
              <w:spacing w:after="40" w:before="40"/>
            </w:pPr>
            <w:r>
              <w:rPr>
                <w:sz w:val="17"/>
              </w:rPr>
            </w:r>
            <w:r>
              <w:rPr>
                <w:sz w:val="17"/>
              </w:rPr>
              <w:t>[70 % ; 90 %[</w:t>
            </w:r>
          </w:p>
        </w:tc>
      </w:tr>
      <w:tr>
        <w:tc>
          <w:tcPr>
            <w:tcW w:type="dxa" w:w="2838"/>
            <w:shd w:val="clear" w:fill="F2F5F8"/>
          </w:tcPr>
          <w:p>
            <w:pPr>
              <w:spacing w:after="40" w:before="40"/>
            </w:pPr>
            <w:r>
              <w:rPr>
                <w:sz w:val="17"/>
              </w:rPr>
            </w:r>
            <w:r>
              <w:rPr>
                <w:sz w:val="17"/>
              </w:rPr>
              <w:t>25</w:t>
            </w:r>
          </w:p>
        </w:tc>
        <w:tc>
          <w:tcPr>
            <w:tcW w:type="dxa" w:w="6623"/>
            <w:shd w:val="clear" w:fill="F2F5F8"/>
          </w:tcPr>
          <w:p>
            <w:pPr>
              <w:spacing w:after="40" w:before="40"/>
            </w:pPr>
            <w:r>
              <w:rPr>
                <w:sz w:val="17"/>
              </w:rPr>
            </w:r>
            <w:r>
              <w:rPr>
                <w:sz w:val="17"/>
              </w:rPr>
              <w:t>[50 % ; 70 %[</w:t>
            </w:r>
          </w:p>
        </w:tc>
      </w:tr>
      <w:tr>
        <w:tc>
          <w:tcPr>
            <w:tcW w:type="dxa" w:w="2838"/>
          </w:tcPr>
          <w:p>
            <w:pPr>
              <w:spacing w:after="40" w:before="40"/>
            </w:pPr>
            <w:r>
              <w:rPr>
                <w:sz w:val="17"/>
              </w:rPr>
            </w:r>
            <w:r>
              <w:rPr>
                <w:sz w:val="17"/>
              </w:rPr>
              <w:t>0</w:t>
            </w:r>
          </w:p>
        </w:tc>
        <w:tc>
          <w:tcPr>
            <w:tcW w:type="dxa" w:w="6623"/>
          </w:tcPr>
          <w:p>
            <w:pPr>
              <w:spacing w:after="40" w:before="40"/>
            </w:pPr>
            <w:r>
              <w:rPr>
                <w:sz w:val="17"/>
              </w:rPr>
            </w:r>
            <w:r>
              <w:rPr>
                <w:sz w:val="17"/>
              </w:rPr>
              <w:t>&lt; 50 %</w:t>
            </w:r>
          </w:p>
        </w:tc>
      </w:tr>
    </w:tbl>
    <w:p>
      <w:pPr>
        <w:spacing w:after="80"/>
      </w:pPr>
    </w:p>
    <w:p>
      <w:pPr>
        <w:pStyle w:val="Heading4"/>
      </w:pPr>
      <w:r>
        <w:t>B1.4 — Utilisation des lignes et marge disponible</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Utilisation moyenne 20–70 %, pics cohérents, marge disponible</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10–20 % ou 70–85 %, utilisation stable et justifiée</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85–95 % ou hausse &gt; 20 points sur six mois, sans dépassement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&gt; 95 % pendant plus de trois mois ou dépendance au renouvellement</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100 % non autorisé ou besoin structurel non financé</w:t>
            </w:r>
          </w:p>
        </w:tc>
      </w:tr>
    </w:tbl>
    <w:p>
      <w:pPr>
        <w:spacing w:after="80"/>
      </w:pPr>
    </w:p>
    <w:p>
      <w:pPr>
        <w:pStyle w:val="Heading4"/>
      </w:pPr>
      <w:r>
        <w:t>B1.5 — Chèques/effets et incidents externes autorisés</w:t>
      </w:r>
    </w:p>
    <w:p>
      <w:r>
        <w:rPr>
          <w:b/>
        </w:rPr>
        <w:t>Poids :</w:t>
      </w:r>
      <w:r>
        <w:t xml:space="preserve"> TPE 5.00 %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Absence d'incident vérifiée auprès des sources autorisées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Un incident mineur, erreur technique démontrée, régularisé ≤ 5 jours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Un à deux incidents régularisés ≤ 30 jours, montant non matériel</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Incidents récurrents, régularisation tardive ou incident matériel</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Incident grave/non régularisé, interdiction ou signal bloquant</w:t>
            </w:r>
          </w:p>
        </w:tc>
      </w:tr>
    </w:tbl>
    <w:p>
      <w:pPr>
        <w:spacing w:after="80"/>
      </w:pPr>
    </w:p>
    <w:p>
      <w:pPr>
        <w:pStyle w:val="Heading3"/>
      </w:pPr>
      <w:r>
        <w:t>B2 — Capacité par flux</w:t>
      </w:r>
    </w:p>
    <w:p>
      <w:pPr>
        <w:pStyle w:val="Heading4"/>
      </w:pPr>
      <w:r>
        <w:t>B2.1 — Couverture du service de dette par flux observés</w:t>
      </w:r>
    </w:p>
    <w:p>
      <w:r>
        <w:rPr>
          <w:b/>
        </w:rPr>
        <w:t>Poids :</w:t>
      </w:r>
      <w:r>
        <w:t xml:space="preserve"> TPE 7.00 %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838"/>
            <w:shd w:val="clear" w:fill="0F3D63"/>
          </w:tcPr>
          <w:p>
            <w:pPr>
              <w:spacing w:after="40" w:before="40"/>
            </w:pPr>
            <w:r>
              <w:rPr>
                <w:color w:val="FFFFFF"/>
                <w:sz w:val="17"/>
              </w:rPr>
            </w:r>
            <w:r>
              <w:rPr>
                <w:b/>
                <w:color w:val="FFFFFF"/>
                <w:sz w:val="17"/>
              </w:rPr>
              <w:t>Score</w:t>
            </w:r>
          </w:p>
        </w:tc>
        <w:tc>
          <w:tcPr>
            <w:tcW w:type="dxa" w:w="6623"/>
            <w:shd w:val="clear" w:fill="0F3D63"/>
          </w:tcPr>
          <w:p>
            <w:pPr>
              <w:spacing w:after="40" w:before="40"/>
            </w:pPr>
            <w:r>
              <w:rPr>
                <w:color w:val="FFFFFF"/>
                <w:sz w:val="17"/>
              </w:rPr>
            </w:r>
            <w:r>
              <w:rPr>
                <w:b/>
                <w:color w:val="FFFFFF"/>
                <w:sz w:val="17"/>
              </w:rPr>
              <w:t>Bande</w:t>
            </w:r>
          </w:p>
        </w:tc>
      </w:tr>
      <w:tr>
        <w:tc>
          <w:tcPr>
            <w:tcW w:type="dxa" w:w="2838"/>
          </w:tcPr>
          <w:p>
            <w:pPr>
              <w:spacing w:after="40" w:before="40"/>
            </w:pPr>
            <w:r>
              <w:rPr>
                <w:sz w:val="17"/>
              </w:rPr>
            </w:r>
            <w:r>
              <w:rPr>
                <w:sz w:val="17"/>
              </w:rPr>
              <w:t>100</w:t>
            </w:r>
          </w:p>
        </w:tc>
        <w:tc>
          <w:tcPr>
            <w:tcW w:type="dxa" w:w="6623"/>
          </w:tcPr>
          <w:p>
            <w:pPr>
              <w:spacing w:after="40" w:before="40"/>
            </w:pPr>
            <w:r>
              <w:rPr>
                <w:sz w:val="17"/>
              </w:rPr>
            </w:r>
            <w:r>
              <w:rPr>
                <w:sz w:val="17"/>
              </w:rPr>
              <w:t>≥ 1.5x</w:t>
            </w:r>
          </w:p>
        </w:tc>
      </w:tr>
      <w:tr>
        <w:tc>
          <w:tcPr>
            <w:tcW w:type="dxa" w:w="2838"/>
            <w:shd w:val="clear" w:fill="F2F5F8"/>
          </w:tcPr>
          <w:p>
            <w:pPr>
              <w:spacing w:after="40" w:before="40"/>
            </w:pPr>
            <w:r>
              <w:rPr>
                <w:sz w:val="17"/>
              </w:rPr>
            </w:r>
            <w:r>
              <w:rPr>
                <w:sz w:val="17"/>
              </w:rPr>
              <w:t>75</w:t>
            </w:r>
          </w:p>
        </w:tc>
        <w:tc>
          <w:tcPr>
            <w:tcW w:type="dxa" w:w="6623"/>
            <w:shd w:val="clear" w:fill="F2F5F8"/>
          </w:tcPr>
          <w:p>
            <w:pPr>
              <w:spacing w:after="40" w:before="40"/>
            </w:pPr>
            <w:r>
              <w:rPr>
                <w:sz w:val="17"/>
              </w:rPr>
            </w:r>
            <w:r>
              <w:rPr>
                <w:sz w:val="17"/>
              </w:rPr>
              <w:t>[1.3x ; 1.5x[</w:t>
            </w:r>
          </w:p>
        </w:tc>
      </w:tr>
      <w:tr>
        <w:tc>
          <w:tcPr>
            <w:tcW w:type="dxa" w:w="2838"/>
          </w:tcPr>
          <w:p>
            <w:pPr>
              <w:spacing w:after="40" w:before="40"/>
            </w:pPr>
            <w:r>
              <w:rPr>
                <w:sz w:val="17"/>
              </w:rPr>
            </w:r>
            <w:r>
              <w:rPr>
                <w:sz w:val="17"/>
              </w:rPr>
              <w:t>50</w:t>
            </w:r>
          </w:p>
        </w:tc>
        <w:tc>
          <w:tcPr>
            <w:tcW w:type="dxa" w:w="6623"/>
          </w:tcPr>
          <w:p>
            <w:pPr>
              <w:spacing w:after="40" w:before="40"/>
            </w:pPr>
            <w:r>
              <w:rPr>
                <w:sz w:val="17"/>
              </w:rPr>
            </w:r>
            <w:r>
              <w:rPr>
                <w:sz w:val="17"/>
              </w:rPr>
              <w:t>[1.15x ; 1.3x[</w:t>
            </w:r>
          </w:p>
        </w:tc>
      </w:tr>
      <w:tr>
        <w:tc>
          <w:tcPr>
            <w:tcW w:type="dxa" w:w="2838"/>
            <w:shd w:val="clear" w:fill="F2F5F8"/>
          </w:tcPr>
          <w:p>
            <w:pPr>
              <w:spacing w:after="40" w:before="40"/>
            </w:pPr>
            <w:r>
              <w:rPr>
                <w:sz w:val="17"/>
              </w:rPr>
            </w:r>
            <w:r>
              <w:rPr>
                <w:sz w:val="17"/>
              </w:rPr>
              <w:t>25</w:t>
            </w:r>
          </w:p>
        </w:tc>
        <w:tc>
          <w:tcPr>
            <w:tcW w:type="dxa" w:w="6623"/>
            <w:shd w:val="clear" w:fill="F2F5F8"/>
          </w:tcPr>
          <w:p>
            <w:pPr>
              <w:spacing w:after="40" w:before="40"/>
            </w:pPr>
            <w:r>
              <w:rPr>
                <w:sz w:val="17"/>
              </w:rPr>
            </w:r>
            <w:r>
              <w:rPr>
                <w:sz w:val="17"/>
              </w:rPr>
              <w:t>[1x ; 1.15x[</w:t>
            </w:r>
          </w:p>
        </w:tc>
      </w:tr>
      <w:tr>
        <w:tc>
          <w:tcPr>
            <w:tcW w:type="dxa" w:w="2838"/>
          </w:tcPr>
          <w:p>
            <w:pPr>
              <w:spacing w:after="40" w:before="40"/>
            </w:pPr>
            <w:r>
              <w:rPr>
                <w:sz w:val="17"/>
              </w:rPr>
            </w:r>
            <w:r>
              <w:rPr>
                <w:sz w:val="17"/>
              </w:rPr>
              <w:t>0</w:t>
            </w:r>
          </w:p>
        </w:tc>
        <w:tc>
          <w:tcPr>
            <w:tcW w:type="dxa" w:w="6623"/>
          </w:tcPr>
          <w:p>
            <w:pPr>
              <w:spacing w:after="40" w:before="40"/>
            </w:pPr>
            <w:r>
              <w:rPr>
                <w:sz w:val="17"/>
              </w:rPr>
            </w:r>
            <w:r>
              <w:rPr>
                <w:sz w:val="17"/>
              </w:rPr>
              <w:t>&lt; 1x</w:t>
            </w:r>
          </w:p>
        </w:tc>
      </w:tr>
    </w:tbl>
    <w:p>
      <w:pPr>
        <w:spacing w:after="80"/>
      </w:pPr>
    </w:p>
    <w:p>
      <w:pPr>
        <w:pStyle w:val="Heading4"/>
      </w:pPr>
      <w:r>
        <w:t>B2.2 — Stabilité mensuelle des encaissements</w:t>
      </w:r>
    </w:p>
    <w:p>
      <w:r>
        <w:t>Coefficient de variation mensuel des encaissements (%), tendance ≥ 0.</w:t>
      </w:r>
    </w:p>
    <w:p>
      <w:r>
        <w:rPr>
          <w:b/>
        </w:rPr>
        <w:t>Poids :</w:t>
      </w:r>
      <w:r>
        <w:t xml:space="preserve"> TPE 5.00 %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15 %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]15 % ; 25 %]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]25 % ; 40 %]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]40 % ; 60 %]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60 %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445"/>
            <w:shd w:val="clear" w:fill="0F3D63"/>
          </w:tcPr>
          <w:p>
            <w:pPr>
              <w:spacing w:after="40" w:before="40"/>
            </w:pPr>
            <w:r>
              <w:rPr>
                <w:color w:val="FFFFFF"/>
                <w:sz w:val="17"/>
              </w:rPr>
            </w:r>
            <w:r>
              <w:rPr>
                <w:b/>
                <w:color w:val="FFFFFF"/>
                <w:sz w:val="17"/>
              </w:rPr>
              <w:t>Code</w:t>
            </w:r>
          </w:p>
        </w:tc>
        <w:tc>
          <w:tcPr>
            <w:tcW w:type="dxa" w:w="5740"/>
            <w:shd w:val="clear" w:fill="0F3D63"/>
          </w:tcPr>
          <w:p>
            <w:pPr>
              <w:spacing w:after="40" w:before="40"/>
            </w:pPr>
            <w:r>
              <w:rPr>
                <w:color w:val="FFFFFF"/>
                <w:sz w:val="17"/>
              </w:rPr>
            </w:r>
            <w:r>
              <w:rPr>
                <w:b/>
                <w:color w:val="FFFFFF"/>
                <w:sz w:val="17"/>
              </w:rPr>
              <w:t>Cas</w:t>
            </w:r>
          </w:p>
        </w:tc>
        <w:tc>
          <w:tcPr>
            <w:tcW w:type="dxa" w:w="1276"/>
            <w:shd w:val="clear" w:fill="0F3D63"/>
          </w:tcPr>
          <w:p>
            <w:pPr>
              <w:spacing w:after="40" w:before="40"/>
            </w:pPr>
            <w:r>
              <w:rPr>
                <w:color w:val="FFFFFF"/>
                <w:sz w:val="17"/>
              </w:rPr>
            </w:r>
            <w:r>
              <w:rPr>
                <w:b/>
                <w:color w:val="FFFFFF"/>
                <w:sz w:val="17"/>
              </w:rPr>
              <w:t>Score imposé</w:t>
            </w:r>
          </w:p>
        </w:tc>
      </w:tr>
      <w:tr>
        <w:tc>
          <w:tcPr>
            <w:tcW w:type="dxa" w:w="2445"/>
          </w:tcPr>
          <w:p>
            <w:pPr>
              <w:spacing w:after="40" w:before="40"/>
            </w:pPr>
            <w:r>
              <w:rPr>
                <w:sz w:val="17"/>
              </w:rPr>
            </w:r>
            <w:r>
              <w:rPr>
                <w:rFonts w:ascii="Consolas" w:hAnsi="Consolas"/>
                <w:color w:val="8A2B2B"/>
                <w:sz w:val="17"/>
              </w:rPr>
              <w:t>FLOWS_DOWN_OVER_30PCT</w:t>
            </w:r>
          </w:p>
        </w:tc>
        <w:tc>
          <w:tcPr>
            <w:tcW w:type="dxa" w:w="5740"/>
          </w:tcPr>
          <w:p>
            <w:pPr>
              <w:spacing w:after="40" w:before="40"/>
            </w:pPr>
            <w:r>
              <w:rPr>
                <w:sz w:val="17"/>
              </w:rPr>
            </w:r>
            <w:r>
              <w:rPr>
                <w:sz w:val="17"/>
              </w:rPr>
              <w:t>Encaissements en baisse de plus de 30 % sur la période</w:t>
            </w:r>
          </w:p>
        </w:tc>
        <w:tc>
          <w:tcPr>
            <w:tcW w:type="dxa" w:w="1276"/>
          </w:tcPr>
          <w:p>
            <w:pPr>
              <w:spacing w:after="40" w:before="40"/>
            </w:pPr>
            <w:r>
              <w:rPr>
                <w:sz w:val="17"/>
              </w:rPr>
            </w:r>
            <w:r>
              <w:rPr>
                <w:sz w:val="17"/>
              </w:rPr>
              <w:t>0</w:t>
            </w:r>
          </w:p>
        </w:tc>
      </w:tr>
      <w:tr>
        <w:tc>
          <w:tcPr>
            <w:tcW w:type="dxa" w:w="2445"/>
            <w:shd w:val="clear" w:fill="F2F5F8"/>
          </w:tcPr>
          <w:p>
            <w:pPr>
              <w:spacing w:after="40" w:before="40"/>
            </w:pPr>
            <w:r>
              <w:rPr>
                <w:sz w:val="17"/>
              </w:rPr>
            </w:r>
            <w:r>
              <w:rPr>
                <w:rFonts w:ascii="Consolas" w:hAnsi="Consolas"/>
                <w:color w:val="8A2B2B"/>
                <w:sz w:val="17"/>
              </w:rPr>
              <w:t>FLOWS_DOWN_OVER_15PCT</w:t>
            </w:r>
          </w:p>
        </w:tc>
        <w:tc>
          <w:tcPr>
            <w:tcW w:type="dxa" w:w="5740"/>
            <w:shd w:val="clear" w:fill="F2F5F8"/>
          </w:tcPr>
          <w:p>
            <w:pPr>
              <w:spacing w:after="40" w:before="40"/>
            </w:pPr>
            <w:r>
              <w:rPr>
                <w:sz w:val="17"/>
              </w:rPr>
            </w:r>
            <w:r>
              <w:rPr>
                <w:sz w:val="17"/>
              </w:rPr>
              <w:t>Encaissements en baisse de plus de 15 % sur la période</w:t>
            </w:r>
          </w:p>
        </w:tc>
        <w:tc>
          <w:tcPr>
            <w:tcW w:type="dxa" w:w="1276"/>
            <w:shd w:val="clear" w:fill="F2F5F8"/>
          </w:tcPr>
          <w:p>
            <w:pPr>
              <w:spacing w:after="40" w:before="40"/>
            </w:pPr>
            <w:r>
              <w:rPr>
                <w:sz w:val="17"/>
              </w:rPr>
            </w:r>
            <w:r>
              <w:rPr>
                <w:sz w:val="17"/>
              </w:rPr>
              <w:t>25</w:t>
            </w:r>
          </w:p>
        </w:tc>
      </w:tr>
    </w:tbl>
    <w:p>
      <w:pPr>
        <w:spacing w:after="80"/>
      </w:pPr>
    </w:p>
    <w:p>
      <w:pPr>
        <w:pStyle w:val="Heading4"/>
      </w:pPr>
      <w:r>
        <w:t>B2.3 — Solde minimum, jours débiteurs et liquidité</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Aucun jour débiteur non autorisé, solde de sécurité &gt; 30 jours de charges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 3 jours débiteurs et solde &gt; 20 jours de charges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4–15 jours débiteurs et solde &gt; 10 jours de charges</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16–30 jours débiteurs ou solde &lt; 10 jours de charges</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&gt; 30 jours débiteurs ou rupture de trésorerie</w:t>
            </w:r>
          </w:p>
        </w:tc>
      </w:tr>
    </w:tbl>
    <w:p>
      <w:pPr>
        <w:spacing w:after="80"/>
      </w:pPr>
    </w:p>
    <w:p>
      <w:pPr>
        <w:pStyle w:val="Heading4"/>
      </w:pPr>
      <w:r>
        <w:t>B2.4 — Saisonnalité et résistance à un choc de flux</w:t>
      </w:r>
    </w:p>
    <w:p>
      <w:r>
        <w:t>Couverture du service de dette après choc de flux −20 %.</w:t>
      </w:r>
    </w:p>
    <w:p>
      <w:r>
        <w:rPr>
          <w:b/>
        </w:rPr>
        <w:t>Poids :</w:t>
      </w:r>
      <w:r>
        <w:t xml:space="preserve"> TPE 4.00 %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838"/>
            <w:shd w:val="clear" w:fill="0F3D63"/>
          </w:tcPr>
          <w:p>
            <w:pPr>
              <w:spacing w:after="40" w:before="40"/>
            </w:pPr>
            <w:r>
              <w:rPr>
                <w:color w:val="FFFFFF"/>
                <w:sz w:val="17"/>
              </w:rPr>
            </w:r>
            <w:r>
              <w:rPr>
                <w:b/>
                <w:color w:val="FFFFFF"/>
                <w:sz w:val="17"/>
              </w:rPr>
              <w:t>Score</w:t>
            </w:r>
          </w:p>
        </w:tc>
        <w:tc>
          <w:tcPr>
            <w:tcW w:type="dxa" w:w="6623"/>
            <w:shd w:val="clear" w:fill="0F3D63"/>
          </w:tcPr>
          <w:p>
            <w:pPr>
              <w:spacing w:after="40" w:before="40"/>
            </w:pPr>
            <w:r>
              <w:rPr>
                <w:color w:val="FFFFFF"/>
                <w:sz w:val="17"/>
              </w:rPr>
            </w:r>
            <w:r>
              <w:rPr>
                <w:b/>
                <w:color w:val="FFFFFF"/>
                <w:sz w:val="17"/>
              </w:rPr>
              <w:t>Bande</w:t>
            </w:r>
          </w:p>
        </w:tc>
      </w:tr>
      <w:tr>
        <w:tc>
          <w:tcPr>
            <w:tcW w:type="dxa" w:w="2838"/>
          </w:tcPr>
          <w:p>
            <w:pPr>
              <w:spacing w:after="40" w:before="40"/>
            </w:pPr>
            <w:r>
              <w:rPr>
                <w:sz w:val="17"/>
              </w:rPr>
            </w:r>
            <w:r>
              <w:rPr>
                <w:sz w:val="17"/>
              </w:rPr>
              <w:t>100</w:t>
            </w:r>
          </w:p>
        </w:tc>
        <w:tc>
          <w:tcPr>
            <w:tcW w:type="dxa" w:w="6623"/>
          </w:tcPr>
          <w:p>
            <w:pPr>
              <w:spacing w:after="40" w:before="40"/>
            </w:pPr>
            <w:r>
              <w:rPr>
                <w:sz w:val="17"/>
              </w:rPr>
            </w:r>
            <w:r>
              <w:rPr>
                <w:sz w:val="17"/>
              </w:rPr>
              <w:t>≥ 1.3x</w:t>
            </w:r>
          </w:p>
        </w:tc>
      </w:tr>
      <w:tr>
        <w:tc>
          <w:tcPr>
            <w:tcW w:type="dxa" w:w="2838"/>
            <w:shd w:val="clear" w:fill="F2F5F8"/>
          </w:tcPr>
          <w:p>
            <w:pPr>
              <w:spacing w:after="40" w:before="40"/>
            </w:pPr>
            <w:r>
              <w:rPr>
                <w:sz w:val="17"/>
              </w:rPr>
            </w:r>
            <w:r>
              <w:rPr>
                <w:sz w:val="17"/>
              </w:rPr>
              <w:t>75</w:t>
            </w:r>
          </w:p>
        </w:tc>
        <w:tc>
          <w:tcPr>
            <w:tcW w:type="dxa" w:w="6623"/>
            <w:shd w:val="clear" w:fill="F2F5F8"/>
          </w:tcPr>
          <w:p>
            <w:pPr>
              <w:spacing w:after="40" w:before="40"/>
            </w:pPr>
            <w:r>
              <w:rPr>
                <w:sz w:val="17"/>
              </w:rPr>
            </w:r>
            <w:r>
              <w:rPr>
                <w:sz w:val="17"/>
              </w:rPr>
              <w:t>[1.15x ; 1.3x[</w:t>
            </w:r>
          </w:p>
        </w:tc>
      </w:tr>
      <w:tr>
        <w:tc>
          <w:tcPr>
            <w:tcW w:type="dxa" w:w="2838"/>
          </w:tcPr>
          <w:p>
            <w:pPr>
              <w:spacing w:after="40" w:before="40"/>
            </w:pPr>
            <w:r>
              <w:rPr>
                <w:sz w:val="17"/>
              </w:rPr>
            </w:r>
            <w:r>
              <w:rPr>
                <w:sz w:val="17"/>
              </w:rPr>
              <w:t>50</w:t>
            </w:r>
          </w:p>
        </w:tc>
        <w:tc>
          <w:tcPr>
            <w:tcW w:type="dxa" w:w="6623"/>
          </w:tcPr>
          <w:p>
            <w:pPr>
              <w:spacing w:after="40" w:before="40"/>
            </w:pPr>
            <w:r>
              <w:rPr>
                <w:sz w:val="17"/>
              </w:rPr>
            </w:r>
            <w:r>
              <w:rPr>
                <w:sz w:val="17"/>
              </w:rPr>
              <w:t>[1x ; 1.15x[</w:t>
            </w:r>
          </w:p>
        </w:tc>
      </w:tr>
      <w:tr>
        <w:tc>
          <w:tcPr>
            <w:tcW w:type="dxa" w:w="2838"/>
            <w:shd w:val="clear" w:fill="F2F5F8"/>
          </w:tcPr>
          <w:p>
            <w:pPr>
              <w:spacing w:after="40" w:before="40"/>
            </w:pPr>
            <w:r>
              <w:rPr>
                <w:sz w:val="17"/>
              </w:rPr>
            </w:r>
            <w:r>
              <w:rPr>
                <w:sz w:val="17"/>
              </w:rPr>
              <w:t>25</w:t>
            </w:r>
          </w:p>
        </w:tc>
        <w:tc>
          <w:tcPr>
            <w:tcW w:type="dxa" w:w="6623"/>
            <w:shd w:val="clear" w:fill="F2F5F8"/>
          </w:tcPr>
          <w:p>
            <w:pPr>
              <w:spacing w:after="40" w:before="40"/>
            </w:pPr>
            <w:r>
              <w:rPr>
                <w:sz w:val="17"/>
              </w:rPr>
            </w:r>
            <w:r>
              <w:rPr>
                <w:sz w:val="17"/>
              </w:rPr>
              <w:t>[0.8x ; 1x[</w:t>
            </w:r>
          </w:p>
        </w:tc>
      </w:tr>
      <w:tr>
        <w:tc>
          <w:tcPr>
            <w:tcW w:type="dxa" w:w="2838"/>
          </w:tcPr>
          <w:p>
            <w:pPr>
              <w:spacing w:after="40" w:before="40"/>
            </w:pPr>
            <w:r>
              <w:rPr>
                <w:sz w:val="17"/>
              </w:rPr>
            </w:r>
            <w:r>
              <w:rPr>
                <w:sz w:val="17"/>
              </w:rPr>
              <w:t>0</w:t>
            </w:r>
          </w:p>
        </w:tc>
        <w:tc>
          <w:tcPr>
            <w:tcW w:type="dxa" w:w="6623"/>
          </w:tcPr>
          <w:p>
            <w:pPr>
              <w:spacing w:after="40" w:before="40"/>
            </w:pPr>
            <w:r>
              <w:rPr>
                <w:sz w:val="17"/>
              </w:rPr>
            </w:r>
            <w:r>
              <w:rPr>
                <w:sz w:val="17"/>
              </w:rPr>
              <w:t>&lt; 0.8x</w:t>
            </w:r>
          </w:p>
        </w:tc>
      </w:tr>
    </w:tbl>
    <w:p>
      <w:pPr>
        <w:spacing w:after="80"/>
      </w:pPr>
    </w:p>
    <w:p>
      <w:pPr>
        <w:pStyle w:val="Heading3"/>
      </w:pPr>
      <w:r>
        <w:t>B3 — Activité</w:t>
      </w:r>
    </w:p>
    <w:p>
      <w:pPr>
        <w:pStyle w:val="Heading4"/>
      </w:pPr>
      <w:r>
        <w:t>B3.1 — Risque sectoriel</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071"/>
            <w:shd w:val="clear" w:fill="0F3D63"/>
          </w:tcPr>
          <w:p>
            <w:pPr>
              <w:spacing w:after="40" w:before="40"/>
            </w:pPr>
            <w:r>
              <w:rPr>
                <w:color w:val="FFFFFF"/>
                <w:sz w:val="17"/>
              </w:rPr>
            </w:r>
            <w:r>
              <w:rPr>
                <w:b/>
                <w:color w:val="FFFFFF"/>
                <w:sz w:val="17"/>
              </w:rPr>
              <w:t>Score</w:t>
            </w:r>
          </w:p>
        </w:tc>
        <w:tc>
          <w:tcPr>
            <w:tcW w:type="dxa" w:w="8390"/>
            <w:shd w:val="clear" w:fill="0F3D63"/>
          </w:tcPr>
          <w:p>
            <w:pPr>
              <w:spacing w:after="40" w:before="40"/>
            </w:pPr>
            <w:r>
              <w:rPr>
                <w:color w:val="FFFFFF"/>
                <w:sz w:val="17"/>
              </w:rPr>
            </w:r>
            <w:r>
              <w:rPr>
                <w:b/>
                <w:color w:val="FFFFFF"/>
                <w:sz w:val="17"/>
              </w:rPr>
              <w:t>Ancrage et preuves attendues</w:t>
            </w:r>
          </w:p>
        </w:tc>
      </w:tr>
      <w:tr>
        <w:tc>
          <w:tcPr>
            <w:tcW w:type="dxa" w:w="1071"/>
          </w:tcPr>
          <w:p>
            <w:pPr>
              <w:spacing w:after="40" w:before="40"/>
            </w:pPr>
            <w:r>
              <w:rPr>
                <w:sz w:val="17"/>
              </w:rPr>
            </w:r>
            <w:r>
              <w:rPr>
                <w:sz w:val="17"/>
              </w:rPr>
              <w:t>100</w:t>
            </w:r>
          </w:p>
        </w:tc>
        <w:tc>
          <w:tcPr>
            <w:tcW w:type="dxa" w:w="8390"/>
          </w:tcPr>
          <w:p>
            <w:pPr>
              <w:spacing w:after="40" w:before="40"/>
            </w:pPr>
            <w:r>
              <w:rPr>
                <w:sz w:val="17"/>
              </w:rPr>
            </w:r>
            <w:r>
              <w:rPr>
                <w:sz w:val="17"/>
              </w:rPr>
              <w:t>S1 — secteur très résilient</w:t>
            </w:r>
          </w:p>
        </w:tc>
      </w:tr>
      <w:tr>
        <w:tc>
          <w:tcPr>
            <w:tcW w:type="dxa" w:w="1071"/>
            <w:shd w:val="clear" w:fill="F2F5F8"/>
          </w:tcPr>
          <w:p>
            <w:pPr>
              <w:spacing w:after="40" w:before="40"/>
            </w:pPr>
            <w:r>
              <w:rPr>
                <w:sz w:val="17"/>
              </w:rPr>
            </w:r>
            <w:r>
              <w:rPr>
                <w:sz w:val="17"/>
              </w:rPr>
              <w:t>75</w:t>
            </w:r>
          </w:p>
        </w:tc>
        <w:tc>
          <w:tcPr>
            <w:tcW w:type="dxa" w:w="8390"/>
            <w:shd w:val="clear" w:fill="F2F5F8"/>
          </w:tcPr>
          <w:p>
            <w:pPr>
              <w:spacing w:after="40" w:before="40"/>
            </w:pPr>
            <w:r>
              <w:rPr>
                <w:sz w:val="17"/>
              </w:rPr>
            </w:r>
            <w:r>
              <w:rPr>
                <w:sz w:val="17"/>
              </w:rPr>
              <w:t>S2 — secteur résilient</w:t>
            </w:r>
          </w:p>
        </w:tc>
      </w:tr>
      <w:tr>
        <w:tc>
          <w:tcPr>
            <w:tcW w:type="dxa" w:w="1071"/>
          </w:tcPr>
          <w:p>
            <w:pPr>
              <w:spacing w:after="40" w:before="40"/>
            </w:pPr>
            <w:r>
              <w:rPr>
                <w:sz w:val="17"/>
              </w:rPr>
            </w:r>
            <w:r>
              <w:rPr>
                <w:sz w:val="17"/>
              </w:rPr>
              <w:t>50</w:t>
            </w:r>
          </w:p>
        </w:tc>
        <w:tc>
          <w:tcPr>
            <w:tcW w:type="dxa" w:w="8390"/>
          </w:tcPr>
          <w:p>
            <w:pPr>
              <w:spacing w:after="40" w:before="40"/>
            </w:pPr>
            <w:r>
              <w:rPr>
                <w:sz w:val="17"/>
              </w:rPr>
            </w:r>
            <w:r>
              <w:rPr>
                <w:sz w:val="17"/>
              </w:rPr>
              <w:t>S3 — secteur moyen/cyclique maîtrisable</w:t>
            </w:r>
          </w:p>
        </w:tc>
      </w:tr>
      <w:tr>
        <w:tc>
          <w:tcPr>
            <w:tcW w:type="dxa" w:w="1071"/>
            <w:shd w:val="clear" w:fill="F2F5F8"/>
          </w:tcPr>
          <w:p>
            <w:pPr>
              <w:spacing w:after="40" w:before="40"/>
            </w:pPr>
            <w:r>
              <w:rPr>
                <w:sz w:val="17"/>
              </w:rPr>
            </w:r>
            <w:r>
              <w:rPr>
                <w:sz w:val="17"/>
              </w:rPr>
              <w:t>25</w:t>
            </w:r>
          </w:p>
        </w:tc>
        <w:tc>
          <w:tcPr>
            <w:tcW w:type="dxa" w:w="8390"/>
            <w:shd w:val="clear" w:fill="F2F5F8"/>
          </w:tcPr>
          <w:p>
            <w:pPr>
              <w:spacing w:after="40" w:before="40"/>
            </w:pPr>
            <w:r>
              <w:rPr>
                <w:sz w:val="17"/>
              </w:rPr>
            </w:r>
            <w:r>
              <w:rPr>
                <w:sz w:val="17"/>
              </w:rPr>
              <w:t>S4 — secteur vulnérable/sous surveillance</w:t>
            </w:r>
          </w:p>
        </w:tc>
      </w:tr>
      <w:tr>
        <w:tc>
          <w:tcPr>
            <w:tcW w:type="dxa" w:w="1071"/>
          </w:tcPr>
          <w:p>
            <w:pPr>
              <w:spacing w:after="40" w:before="40"/>
            </w:pPr>
            <w:r>
              <w:rPr>
                <w:sz w:val="17"/>
              </w:rPr>
            </w:r>
            <w:r>
              <w:rPr>
                <w:sz w:val="17"/>
              </w:rPr>
              <w:t>0</w:t>
            </w:r>
          </w:p>
        </w:tc>
        <w:tc>
          <w:tcPr>
            <w:tcW w:type="dxa" w:w="8390"/>
          </w:tcPr>
          <w:p>
            <w:pPr>
              <w:spacing w:after="40" w:before="40"/>
            </w:pPr>
            <w:r>
              <w:rPr>
                <w:sz w:val="17"/>
              </w:rPr>
            </w:r>
            <w:r>
              <w:rPr>
                <w:sz w:val="17"/>
              </w:rPr>
              <w:t>S5 — secteur très vulnérable/crise structurelle</w:t>
            </w:r>
          </w:p>
        </w:tc>
      </w:tr>
    </w:tbl>
    <w:p>
      <w:pPr>
        <w:spacing w:after="80"/>
      </w:pPr>
    </w:p>
    <w:p>
      <w:pPr>
        <w:pStyle w:val="Heading4"/>
      </w:pPr>
      <w:r>
        <w:t>B3.2 — Ancienneté et continuité de l'activité</w:t>
      </w:r>
    </w:p>
    <w:p>
      <w:r>
        <w:rPr>
          <w:b/>
        </w:rPr>
        <w:t>Poids :</w:t>
      </w:r>
      <w:r>
        <w:t xml:space="preserve"> TPE 3.00 % · </w:t>
      </w:r>
      <w:r>
        <w:rPr>
          <w:b/>
        </w:rPr>
        <w:t>Nature :</w:t>
      </w:r>
      <w:r>
        <w:t xml:space="preserve"> quantitatif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703"/>
            <w:shd w:val="clear" w:fill="0F3D63"/>
          </w:tcPr>
          <w:p>
            <w:pPr>
              <w:spacing w:after="40" w:before="40"/>
            </w:pPr>
            <w:r>
              <w:rPr>
                <w:color w:val="FFFFFF"/>
                <w:sz w:val="17"/>
              </w:rPr>
            </w:r>
            <w:r>
              <w:rPr>
                <w:b/>
                <w:color w:val="FFFFFF"/>
                <w:sz w:val="17"/>
              </w:rPr>
              <w:t>Score</w:t>
            </w:r>
          </w:p>
        </w:tc>
        <w:tc>
          <w:tcPr>
            <w:tcW w:type="dxa" w:w="6758"/>
            <w:shd w:val="clear" w:fill="0F3D63"/>
          </w:tcPr>
          <w:p>
            <w:pPr>
              <w:spacing w:after="40" w:before="40"/>
            </w:pPr>
            <w:r>
              <w:rPr>
                <w:color w:val="FFFFFF"/>
                <w:sz w:val="17"/>
              </w:rPr>
            </w:r>
            <w:r>
              <w:rPr>
                <w:b/>
                <w:color w:val="FFFFFF"/>
                <w:sz w:val="17"/>
              </w:rPr>
              <w:t>Bande</w:t>
            </w:r>
          </w:p>
        </w:tc>
      </w:tr>
      <w:tr>
        <w:tc>
          <w:tcPr>
            <w:tcW w:type="dxa" w:w="2703"/>
          </w:tcPr>
          <w:p>
            <w:pPr>
              <w:spacing w:after="40" w:before="40"/>
            </w:pPr>
            <w:r>
              <w:rPr>
                <w:sz w:val="17"/>
              </w:rPr>
            </w:r>
            <w:r>
              <w:rPr>
                <w:sz w:val="17"/>
              </w:rPr>
              <w:t>100</w:t>
            </w:r>
          </w:p>
        </w:tc>
        <w:tc>
          <w:tcPr>
            <w:tcW w:type="dxa" w:w="6758"/>
          </w:tcPr>
          <w:p>
            <w:pPr>
              <w:spacing w:after="40" w:before="40"/>
            </w:pPr>
            <w:r>
              <w:rPr>
                <w:sz w:val="17"/>
              </w:rPr>
            </w:r>
            <w:r>
              <w:rPr>
                <w:sz w:val="17"/>
              </w:rPr>
              <w:t>≥ 7 ans</w:t>
            </w:r>
          </w:p>
        </w:tc>
      </w:tr>
      <w:tr>
        <w:tc>
          <w:tcPr>
            <w:tcW w:type="dxa" w:w="2703"/>
            <w:shd w:val="clear" w:fill="F2F5F8"/>
          </w:tcPr>
          <w:p>
            <w:pPr>
              <w:spacing w:after="40" w:before="40"/>
            </w:pPr>
            <w:r>
              <w:rPr>
                <w:sz w:val="17"/>
              </w:rPr>
            </w:r>
            <w:r>
              <w:rPr>
                <w:sz w:val="17"/>
              </w:rPr>
              <w:t>75</w:t>
            </w:r>
          </w:p>
        </w:tc>
        <w:tc>
          <w:tcPr>
            <w:tcW w:type="dxa" w:w="6758"/>
            <w:shd w:val="clear" w:fill="F2F5F8"/>
          </w:tcPr>
          <w:p>
            <w:pPr>
              <w:spacing w:after="40" w:before="40"/>
            </w:pPr>
            <w:r>
              <w:rPr>
                <w:sz w:val="17"/>
              </w:rPr>
            </w:r>
            <w:r>
              <w:rPr>
                <w:sz w:val="17"/>
              </w:rPr>
              <w:t>[5 ans ; 7 ans[</w:t>
            </w:r>
          </w:p>
        </w:tc>
      </w:tr>
      <w:tr>
        <w:tc>
          <w:tcPr>
            <w:tcW w:type="dxa" w:w="2703"/>
          </w:tcPr>
          <w:p>
            <w:pPr>
              <w:spacing w:after="40" w:before="40"/>
            </w:pPr>
            <w:r>
              <w:rPr>
                <w:sz w:val="17"/>
              </w:rPr>
            </w:r>
            <w:r>
              <w:rPr>
                <w:sz w:val="17"/>
              </w:rPr>
              <w:t>50</w:t>
            </w:r>
          </w:p>
        </w:tc>
        <w:tc>
          <w:tcPr>
            <w:tcW w:type="dxa" w:w="6758"/>
          </w:tcPr>
          <w:p>
            <w:pPr>
              <w:spacing w:after="40" w:before="40"/>
            </w:pPr>
            <w:r>
              <w:rPr>
                <w:sz w:val="17"/>
              </w:rPr>
            </w:r>
            <w:r>
              <w:rPr>
                <w:sz w:val="17"/>
              </w:rPr>
              <w:t>[3 ans ; 5 ans[</w:t>
            </w:r>
          </w:p>
        </w:tc>
      </w:tr>
      <w:tr>
        <w:tc>
          <w:tcPr>
            <w:tcW w:type="dxa" w:w="2703"/>
            <w:shd w:val="clear" w:fill="F2F5F8"/>
          </w:tcPr>
          <w:p>
            <w:pPr>
              <w:spacing w:after="40" w:before="40"/>
            </w:pPr>
            <w:r>
              <w:rPr>
                <w:sz w:val="17"/>
              </w:rPr>
            </w:r>
            <w:r>
              <w:rPr>
                <w:sz w:val="17"/>
              </w:rPr>
              <w:t>25</w:t>
            </w:r>
          </w:p>
        </w:tc>
        <w:tc>
          <w:tcPr>
            <w:tcW w:type="dxa" w:w="6758"/>
            <w:shd w:val="clear" w:fill="F2F5F8"/>
          </w:tcPr>
          <w:p>
            <w:pPr>
              <w:spacing w:after="40" w:before="40"/>
            </w:pPr>
            <w:r>
              <w:rPr>
                <w:sz w:val="17"/>
              </w:rPr>
            </w:r>
            <w:r>
              <w:rPr>
                <w:sz w:val="17"/>
              </w:rPr>
              <w:t>[2 ans ; 3 ans[</w:t>
            </w:r>
          </w:p>
        </w:tc>
      </w:tr>
      <w:tr>
        <w:tc>
          <w:tcPr>
            <w:tcW w:type="dxa" w:w="2703"/>
          </w:tcPr>
          <w:p>
            <w:pPr>
              <w:spacing w:after="40" w:before="40"/>
            </w:pPr>
            <w:r>
              <w:rPr>
                <w:sz w:val="17"/>
              </w:rPr>
            </w:r>
            <w:r>
              <w:rPr>
                <w:sz w:val="17"/>
              </w:rPr>
              <w:t>0</w:t>
            </w:r>
          </w:p>
        </w:tc>
        <w:tc>
          <w:tcPr>
            <w:tcW w:type="dxa" w:w="6758"/>
          </w:tcPr>
          <w:p>
            <w:pPr>
              <w:spacing w:after="40" w:before="40"/>
            </w:pPr>
            <w:r>
              <w:rPr>
                <w:sz w:val="17"/>
              </w:rPr>
            </w:r>
            <w:r>
              <w:rPr>
                <w:sz w:val="17"/>
              </w:rPr>
              <w:t>&lt; 2 ans</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136"/>
            <w:shd w:val="clear" w:fill="0F3D63"/>
          </w:tcPr>
          <w:p>
            <w:pPr>
              <w:spacing w:after="40" w:before="40"/>
            </w:pPr>
            <w:r>
              <w:rPr>
                <w:color w:val="FFFFFF"/>
                <w:sz w:val="17"/>
              </w:rPr>
            </w:r>
            <w:r>
              <w:rPr>
                <w:b/>
                <w:color w:val="FFFFFF"/>
                <w:sz w:val="17"/>
              </w:rPr>
              <w:t>Code</w:t>
            </w:r>
          </w:p>
        </w:tc>
        <w:tc>
          <w:tcPr>
            <w:tcW w:type="dxa" w:w="6104"/>
            <w:shd w:val="clear" w:fill="0F3D63"/>
          </w:tcPr>
          <w:p>
            <w:pPr>
              <w:spacing w:after="40" w:before="40"/>
            </w:pPr>
            <w:r>
              <w:rPr>
                <w:color w:val="FFFFFF"/>
                <w:sz w:val="17"/>
              </w:rPr>
            </w:r>
            <w:r>
              <w:rPr>
                <w:b/>
                <w:color w:val="FFFFFF"/>
                <w:sz w:val="17"/>
              </w:rPr>
              <w:t>Cas</w:t>
            </w:r>
          </w:p>
        </w:tc>
        <w:tc>
          <w:tcPr>
            <w:tcW w:type="dxa" w:w="1221"/>
            <w:shd w:val="clear" w:fill="0F3D63"/>
          </w:tcPr>
          <w:p>
            <w:pPr>
              <w:spacing w:after="40" w:before="40"/>
            </w:pPr>
            <w:r>
              <w:rPr>
                <w:color w:val="FFFFFF"/>
                <w:sz w:val="17"/>
              </w:rPr>
            </w:r>
            <w:r>
              <w:rPr>
                <w:b/>
                <w:color w:val="FFFFFF"/>
                <w:sz w:val="17"/>
              </w:rPr>
              <w:t>Score imposé</w:t>
            </w:r>
          </w:p>
        </w:tc>
      </w:tr>
      <w:tr>
        <w:tc>
          <w:tcPr>
            <w:tcW w:type="dxa" w:w="2136"/>
          </w:tcPr>
          <w:p>
            <w:pPr>
              <w:spacing w:after="40" w:before="40"/>
            </w:pPr>
            <w:r>
              <w:rPr>
                <w:sz w:val="17"/>
              </w:rPr>
            </w:r>
            <w:r>
              <w:rPr>
                <w:rFonts w:ascii="Consolas" w:hAnsi="Consolas"/>
                <w:color w:val="8A2B2B"/>
                <w:sz w:val="17"/>
              </w:rPr>
              <w:t>UNDER_2Y_NO_SUPPORT</w:t>
            </w:r>
          </w:p>
        </w:tc>
        <w:tc>
          <w:tcPr>
            <w:tcW w:type="dxa" w:w="6104"/>
          </w:tcPr>
          <w:p>
            <w:pPr>
              <w:spacing w:after="40" w:before="40"/>
            </w:pPr>
            <w:r>
              <w:rPr>
                <w:sz w:val="17"/>
              </w:rPr>
            </w:r>
            <w:r>
              <w:rPr>
                <w:sz w:val="17"/>
              </w:rPr>
              <w:t>Moins de deux ans d'activité sans support ni contrat structurant — déclenche le cap CAP01</w:t>
            </w:r>
          </w:p>
        </w:tc>
        <w:tc>
          <w:tcPr>
            <w:tcW w:type="dxa" w:w="1221"/>
          </w:tcPr>
          <w:p>
            <w:pPr>
              <w:spacing w:after="40" w:before="40"/>
            </w:pPr>
            <w:r>
              <w:rPr>
                <w:sz w:val="17"/>
              </w:rPr>
            </w:r>
            <w:r>
              <w:rPr>
                <w:sz w:val="17"/>
              </w:rPr>
              <w:t>0</w:t>
            </w:r>
          </w:p>
        </w:tc>
      </w:tr>
    </w:tbl>
    <w:p>
      <w:pPr>
        <w:spacing w:after="80"/>
      </w:pPr>
    </w:p>
    <w:p>
      <w:pPr>
        <w:pStyle w:val="Heading4"/>
      </w:pPr>
      <w:r>
        <w:t>B3.3 — Concentration clients/fournisseurs</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Concentration très faible, alternatives disponibles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Concentration faible, contrats sécurisés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Concentration moyenne, substituabilité raisonnable</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Concentration élevée ou dépendance difficilement remplaçable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Concentration critique, mono-client ou mono-source vital</w:t>
            </w:r>
          </w:p>
        </w:tc>
      </w:tr>
    </w:tbl>
    <w:p>
      <w:pPr>
        <w:spacing w:after="80"/>
      </w:pPr>
    </w:p>
    <w:p>
      <w:pPr>
        <w:pStyle w:val="Heading4"/>
      </w:pPr>
      <w:r>
        <w:t>B3.4 — Marge brute ou proxy vérifié</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419"/>
            <w:shd w:val="clear" w:fill="0F3D63"/>
          </w:tcPr>
          <w:p>
            <w:pPr>
              <w:spacing w:after="40" w:before="40"/>
            </w:pPr>
            <w:r>
              <w:rPr>
                <w:color w:val="FFFFFF"/>
                <w:sz w:val="17"/>
              </w:rPr>
            </w:r>
            <w:r>
              <w:rPr>
                <w:b/>
                <w:color w:val="FFFFFF"/>
                <w:sz w:val="17"/>
              </w:rPr>
              <w:t>Score</w:t>
            </w:r>
          </w:p>
        </w:tc>
        <w:tc>
          <w:tcPr>
            <w:tcW w:type="dxa" w:w="8042"/>
            <w:shd w:val="clear" w:fill="0F3D63"/>
          </w:tcPr>
          <w:p>
            <w:pPr>
              <w:spacing w:after="40" w:before="40"/>
            </w:pPr>
            <w:r>
              <w:rPr>
                <w:color w:val="FFFFFF"/>
                <w:sz w:val="17"/>
              </w:rPr>
            </w:r>
            <w:r>
              <w:rPr>
                <w:b/>
                <w:color w:val="FFFFFF"/>
                <w:sz w:val="17"/>
              </w:rPr>
              <w:t>Ancrage et preuves attendues</w:t>
            </w:r>
          </w:p>
        </w:tc>
      </w:tr>
      <w:tr>
        <w:tc>
          <w:tcPr>
            <w:tcW w:type="dxa" w:w="1419"/>
          </w:tcPr>
          <w:p>
            <w:pPr>
              <w:spacing w:after="40" w:before="40"/>
            </w:pPr>
            <w:r>
              <w:rPr>
                <w:sz w:val="17"/>
              </w:rPr>
            </w:r>
            <w:r>
              <w:rPr>
                <w:sz w:val="17"/>
              </w:rPr>
              <w:t>100</w:t>
            </w:r>
          </w:p>
        </w:tc>
        <w:tc>
          <w:tcPr>
            <w:tcW w:type="dxa" w:w="8042"/>
          </w:tcPr>
          <w:p>
            <w:pPr>
              <w:spacing w:after="40" w:before="40"/>
            </w:pPr>
            <w:r>
              <w:rPr>
                <w:sz w:val="17"/>
              </w:rPr>
            </w:r>
            <w:r>
              <w:rPr>
                <w:sz w:val="17"/>
              </w:rPr>
              <w:t>≥ P75 secteur, rapprochée des flux</w:t>
            </w:r>
          </w:p>
        </w:tc>
      </w:tr>
      <w:tr>
        <w:tc>
          <w:tcPr>
            <w:tcW w:type="dxa" w:w="1419"/>
            <w:shd w:val="clear" w:fill="F2F5F8"/>
          </w:tcPr>
          <w:p>
            <w:pPr>
              <w:spacing w:after="40" w:before="40"/>
            </w:pPr>
            <w:r>
              <w:rPr>
                <w:sz w:val="17"/>
              </w:rPr>
            </w:r>
            <w:r>
              <w:rPr>
                <w:sz w:val="17"/>
              </w:rPr>
              <w:t>75</w:t>
            </w:r>
          </w:p>
        </w:tc>
        <w:tc>
          <w:tcPr>
            <w:tcW w:type="dxa" w:w="8042"/>
            <w:shd w:val="clear" w:fill="F2F5F8"/>
          </w:tcPr>
          <w:p>
            <w:pPr>
              <w:spacing w:after="40" w:before="40"/>
            </w:pPr>
            <w:r>
              <w:rPr>
                <w:sz w:val="17"/>
              </w:rPr>
            </w:r>
            <w:r>
              <w:rPr>
                <w:sz w:val="17"/>
              </w:rPr>
              <w:t>P50–P75</w:t>
            </w:r>
          </w:p>
        </w:tc>
      </w:tr>
      <w:tr>
        <w:tc>
          <w:tcPr>
            <w:tcW w:type="dxa" w:w="1419"/>
          </w:tcPr>
          <w:p>
            <w:pPr>
              <w:spacing w:after="40" w:before="40"/>
            </w:pPr>
            <w:r>
              <w:rPr>
                <w:sz w:val="17"/>
              </w:rPr>
            </w:r>
            <w:r>
              <w:rPr>
                <w:sz w:val="17"/>
              </w:rPr>
              <w:t>50</w:t>
            </w:r>
          </w:p>
        </w:tc>
        <w:tc>
          <w:tcPr>
            <w:tcW w:type="dxa" w:w="8042"/>
          </w:tcPr>
          <w:p>
            <w:pPr>
              <w:spacing w:after="40" w:before="40"/>
            </w:pPr>
            <w:r>
              <w:rPr>
                <w:sz w:val="17"/>
              </w:rPr>
            </w:r>
            <w:r>
              <w:rPr>
                <w:sz w:val="17"/>
              </w:rPr>
              <w:t>P25–P50</w:t>
            </w:r>
          </w:p>
        </w:tc>
      </w:tr>
      <w:tr>
        <w:tc>
          <w:tcPr>
            <w:tcW w:type="dxa" w:w="1419"/>
            <w:shd w:val="clear" w:fill="F2F5F8"/>
          </w:tcPr>
          <w:p>
            <w:pPr>
              <w:spacing w:after="40" w:before="40"/>
            </w:pPr>
            <w:r>
              <w:rPr>
                <w:sz w:val="17"/>
              </w:rPr>
            </w:r>
            <w:r>
              <w:rPr>
                <w:sz w:val="17"/>
              </w:rPr>
              <w:t>25</w:t>
            </w:r>
          </w:p>
        </w:tc>
        <w:tc>
          <w:tcPr>
            <w:tcW w:type="dxa" w:w="8042"/>
            <w:shd w:val="clear" w:fill="F2F5F8"/>
          </w:tcPr>
          <w:p>
            <w:pPr>
              <w:spacing w:after="40" w:before="40"/>
            </w:pPr>
            <w:r>
              <w:rPr>
                <w:sz w:val="17"/>
              </w:rPr>
            </w:r>
            <w:r>
              <w:rPr>
                <w:sz w:val="17"/>
              </w:rPr>
              <w:t>P10–P25</w:t>
            </w:r>
          </w:p>
        </w:tc>
      </w:tr>
      <w:tr>
        <w:tc>
          <w:tcPr>
            <w:tcW w:type="dxa" w:w="1419"/>
          </w:tcPr>
          <w:p>
            <w:pPr>
              <w:spacing w:after="40" w:before="40"/>
            </w:pPr>
            <w:r>
              <w:rPr>
                <w:sz w:val="17"/>
              </w:rPr>
            </w:r>
            <w:r>
              <w:rPr>
                <w:sz w:val="17"/>
              </w:rPr>
              <w:t>0</w:t>
            </w:r>
          </w:p>
        </w:tc>
        <w:tc>
          <w:tcPr>
            <w:tcW w:type="dxa" w:w="8042"/>
          </w:tcPr>
          <w:p>
            <w:pPr>
              <w:spacing w:after="40" w:before="40"/>
            </w:pPr>
            <w:r>
              <w:rPr>
                <w:sz w:val="17"/>
              </w:rPr>
            </w:r>
            <w:r>
              <w:rPr>
                <w:sz w:val="17"/>
              </w:rPr>
              <w:t>&lt; P10, négative ou non fiable</w:t>
            </w:r>
          </w:p>
        </w:tc>
      </w:tr>
    </w:tbl>
    <w:p>
      <w:pPr>
        <w:spacing w:after="80"/>
      </w:pPr>
    </w:p>
    <w:p>
      <w:pPr>
        <w:pStyle w:val="Heading4"/>
      </w:pPr>
      <w:r>
        <w:t>B3.5 — Contrats, commandes et récurrence</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Revenus fortement sécurisés ou récurrents, contreparties solides</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Bonne visibilité, annulations faibles</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Visibilité moyenne cohérente avec le secteur</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Faible visibilité, carnet non ferme ou churn élevé</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Aucune visibilité, carnet artificiel ou arrêt prévisible</w:t>
            </w:r>
          </w:p>
        </w:tc>
      </w:tr>
    </w:tbl>
    <w:p>
      <w:pPr>
        <w:spacing w:after="80"/>
      </w:pPr>
    </w:p>
    <w:p>
      <w:pPr>
        <w:pStyle w:val="Heading3"/>
      </w:pPr>
      <w:r>
        <w:t>B4 — Management</w:t>
      </w:r>
    </w:p>
    <w:p>
      <w:pPr>
        <w:pStyle w:val="Heading4"/>
      </w:pPr>
      <w:r>
        <w:t>B4.1 — Expérience du dirigeant</w:t>
      </w:r>
    </w:p>
    <w:p>
      <w:r>
        <w:rPr>
          <w:b/>
        </w:rPr>
        <w:t>Poids :</w:t>
      </w:r>
      <w:r>
        <w:t xml:space="preserve"> TPE 4.00 %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916"/>
            <w:shd w:val="clear" w:fill="0F3D63"/>
          </w:tcPr>
          <w:p>
            <w:pPr>
              <w:spacing w:after="40" w:before="40"/>
            </w:pPr>
            <w:r>
              <w:rPr>
                <w:color w:val="FFFFFF"/>
                <w:sz w:val="17"/>
              </w:rPr>
            </w:r>
            <w:r>
              <w:rPr>
                <w:b/>
                <w:color w:val="FFFFFF"/>
                <w:sz w:val="17"/>
              </w:rPr>
              <w:t>Score</w:t>
            </w:r>
          </w:p>
        </w:tc>
        <w:tc>
          <w:tcPr>
            <w:tcW w:type="dxa" w:w="8545"/>
            <w:shd w:val="clear" w:fill="0F3D63"/>
          </w:tcPr>
          <w:p>
            <w:pPr>
              <w:spacing w:after="40" w:before="40"/>
            </w:pPr>
            <w:r>
              <w:rPr>
                <w:color w:val="FFFFFF"/>
                <w:sz w:val="17"/>
              </w:rPr>
            </w:r>
            <w:r>
              <w:rPr>
                <w:b/>
                <w:color w:val="FFFFFF"/>
                <w:sz w:val="17"/>
              </w:rPr>
              <w:t>Ancrage et preuves attendues</w:t>
            </w:r>
          </w:p>
        </w:tc>
      </w:tr>
      <w:tr>
        <w:tc>
          <w:tcPr>
            <w:tcW w:type="dxa" w:w="916"/>
          </w:tcPr>
          <w:p>
            <w:pPr>
              <w:spacing w:after="40" w:before="40"/>
            </w:pPr>
            <w:r>
              <w:rPr>
                <w:sz w:val="17"/>
              </w:rPr>
            </w:r>
            <w:r>
              <w:rPr>
                <w:sz w:val="17"/>
              </w:rPr>
              <w:t>100</w:t>
            </w:r>
          </w:p>
        </w:tc>
        <w:tc>
          <w:tcPr>
            <w:tcW w:type="dxa" w:w="8545"/>
          </w:tcPr>
          <w:p>
            <w:pPr>
              <w:spacing w:after="40" w:before="40"/>
            </w:pPr>
            <w:r>
              <w:rPr>
                <w:sz w:val="17"/>
              </w:rPr>
            </w:r>
            <w:r>
              <w:rPr>
                <w:sz w:val="17"/>
              </w:rPr>
              <w:t>&gt; 10 ans d'expérience pertinente, réalisations vérifiées</w:t>
            </w:r>
          </w:p>
        </w:tc>
      </w:tr>
      <w:tr>
        <w:tc>
          <w:tcPr>
            <w:tcW w:type="dxa" w:w="916"/>
            <w:shd w:val="clear" w:fill="F2F5F8"/>
          </w:tcPr>
          <w:p>
            <w:pPr>
              <w:spacing w:after="40" w:before="40"/>
            </w:pPr>
            <w:r>
              <w:rPr>
                <w:sz w:val="17"/>
              </w:rPr>
            </w:r>
            <w:r>
              <w:rPr>
                <w:sz w:val="17"/>
              </w:rPr>
              <w:t>75</w:t>
            </w:r>
          </w:p>
        </w:tc>
        <w:tc>
          <w:tcPr>
            <w:tcW w:type="dxa" w:w="8545"/>
            <w:shd w:val="clear" w:fill="F2F5F8"/>
          </w:tcPr>
          <w:p>
            <w:pPr>
              <w:spacing w:after="40" w:before="40"/>
            </w:pPr>
            <w:r>
              <w:rPr>
                <w:sz w:val="17"/>
              </w:rPr>
            </w:r>
            <w:r>
              <w:rPr>
                <w:sz w:val="17"/>
              </w:rPr>
              <w:t>5–10 ans, résultats cohérents</w:t>
            </w:r>
          </w:p>
        </w:tc>
      </w:tr>
      <w:tr>
        <w:tc>
          <w:tcPr>
            <w:tcW w:type="dxa" w:w="916"/>
          </w:tcPr>
          <w:p>
            <w:pPr>
              <w:spacing w:after="40" w:before="40"/>
            </w:pPr>
            <w:r>
              <w:rPr>
                <w:sz w:val="17"/>
              </w:rPr>
            </w:r>
            <w:r>
              <w:rPr>
                <w:sz w:val="17"/>
              </w:rPr>
              <w:t>50</w:t>
            </w:r>
          </w:p>
        </w:tc>
        <w:tc>
          <w:tcPr>
            <w:tcW w:type="dxa" w:w="8545"/>
          </w:tcPr>
          <w:p>
            <w:pPr>
              <w:spacing w:after="40" w:before="40"/>
            </w:pPr>
            <w:r>
              <w:rPr>
                <w:sz w:val="17"/>
              </w:rPr>
            </w:r>
            <w:r>
              <w:rPr>
                <w:sz w:val="17"/>
              </w:rPr>
              <w:t>3–5 ans ou reprise récente maîtrisée</w:t>
            </w:r>
          </w:p>
        </w:tc>
      </w:tr>
      <w:tr>
        <w:tc>
          <w:tcPr>
            <w:tcW w:type="dxa" w:w="916"/>
            <w:shd w:val="clear" w:fill="F2F5F8"/>
          </w:tcPr>
          <w:p>
            <w:pPr>
              <w:spacing w:after="40" w:before="40"/>
            </w:pPr>
            <w:r>
              <w:rPr>
                <w:sz w:val="17"/>
              </w:rPr>
            </w:r>
            <w:r>
              <w:rPr>
                <w:sz w:val="17"/>
              </w:rPr>
              <w:t>25</w:t>
            </w:r>
          </w:p>
        </w:tc>
        <w:tc>
          <w:tcPr>
            <w:tcW w:type="dxa" w:w="8545"/>
            <w:shd w:val="clear" w:fill="F2F5F8"/>
          </w:tcPr>
          <w:p>
            <w:pPr>
              <w:spacing w:after="40" w:before="40"/>
            </w:pPr>
            <w:r>
              <w:rPr>
                <w:sz w:val="17"/>
              </w:rPr>
            </w:r>
            <w:r>
              <w:rPr>
                <w:sz w:val="17"/>
              </w:rPr>
              <w:t>Expérience limitée, objectifs non atteints</w:t>
            </w:r>
          </w:p>
        </w:tc>
      </w:tr>
      <w:tr>
        <w:tc>
          <w:tcPr>
            <w:tcW w:type="dxa" w:w="916"/>
          </w:tcPr>
          <w:p>
            <w:pPr>
              <w:spacing w:after="40" w:before="40"/>
            </w:pPr>
            <w:r>
              <w:rPr>
                <w:sz w:val="17"/>
              </w:rPr>
            </w:r>
            <w:r>
              <w:rPr>
                <w:sz w:val="17"/>
              </w:rPr>
              <w:t>0</w:t>
            </w:r>
          </w:p>
        </w:tc>
        <w:tc>
          <w:tcPr>
            <w:tcW w:type="dxa" w:w="8545"/>
          </w:tcPr>
          <w:p>
            <w:pPr>
              <w:spacing w:after="40" w:before="40"/>
            </w:pPr>
            <w:r>
              <w:rPr>
                <w:sz w:val="17"/>
              </w:rPr>
            </w:r>
            <w:r>
              <w:rPr>
                <w:sz w:val="17"/>
              </w:rPr>
              <w:t>Incompétence manifeste ou information trompeuse</w:t>
            </w:r>
          </w:p>
        </w:tc>
      </w:tr>
    </w:tbl>
    <w:p>
      <w:pPr>
        <w:spacing w:after="80"/>
      </w:pPr>
    </w:p>
    <w:p>
      <w:pPr>
        <w:pStyle w:val="Heading4"/>
      </w:pPr>
      <w:r>
        <w:t>B4.2 — Dépendance homme-clé</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87"/>
            <w:shd w:val="clear" w:fill="0F3D63"/>
          </w:tcPr>
          <w:p>
            <w:pPr>
              <w:spacing w:after="40" w:before="40"/>
            </w:pPr>
            <w:r>
              <w:rPr>
                <w:color w:val="FFFFFF"/>
                <w:sz w:val="17"/>
              </w:rPr>
            </w:r>
            <w:r>
              <w:rPr>
                <w:b/>
                <w:color w:val="FFFFFF"/>
                <w:sz w:val="17"/>
              </w:rPr>
              <w:t>Score</w:t>
            </w:r>
          </w:p>
        </w:tc>
        <w:tc>
          <w:tcPr>
            <w:tcW w:type="dxa" w:w="8574"/>
            <w:shd w:val="clear" w:fill="0F3D63"/>
          </w:tcPr>
          <w:p>
            <w:pPr>
              <w:spacing w:after="40" w:before="40"/>
            </w:pPr>
            <w:r>
              <w:rPr>
                <w:color w:val="FFFFFF"/>
                <w:sz w:val="17"/>
              </w:rPr>
            </w:r>
            <w:r>
              <w:rPr>
                <w:b/>
                <w:color w:val="FFFFFF"/>
                <w:sz w:val="17"/>
              </w:rPr>
              <w:t>Ancrage et preuves attendues</w:t>
            </w:r>
          </w:p>
        </w:tc>
      </w:tr>
      <w:tr>
        <w:tc>
          <w:tcPr>
            <w:tcW w:type="dxa" w:w="887"/>
          </w:tcPr>
          <w:p>
            <w:pPr>
              <w:spacing w:after="40" w:before="40"/>
            </w:pPr>
            <w:r>
              <w:rPr>
                <w:sz w:val="17"/>
              </w:rPr>
            </w:r>
            <w:r>
              <w:rPr>
                <w:sz w:val="17"/>
              </w:rPr>
              <w:t>100</w:t>
            </w:r>
          </w:p>
        </w:tc>
        <w:tc>
          <w:tcPr>
            <w:tcW w:type="dxa" w:w="8574"/>
          </w:tcPr>
          <w:p>
            <w:pPr>
              <w:spacing w:after="40" w:before="40"/>
            </w:pPr>
            <w:r>
              <w:rPr>
                <w:sz w:val="17"/>
              </w:rPr>
            </w:r>
            <w:r>
              <w:rPr>
                <w:sz w:val="17"/>
              </w:rPr>
              <w:t>Responsabilités distribuées, relais opérationnels en place</w:t>
            </w:r>
          </w:p>
        </w:tc>
      </w:tr>
      <w:tr>
        <w:tc>
          <w:tcPr>
            <w:tcW w:type="dxa" w:w="887"/>
            <w:shd w:val="clear" w:fill="F2F5F8"/>
          </w:tcPr>
          <w:p>
            <w:pPr>
              <w:spacing w:after="40" w:before="40"/>
            </w:pPr>
            <w:r>
              <w:rPr>
                <w:sz w:val="17"/>
              </w:rPr>
            </w:r>
            <w:r>
              <w:rPr>
                <w:sz w:val="17"/>
              </w:rPr>
              <w:t>75</w:t>
            </w:r>
          </w:p>
        </w:tc>
        <w:tc>
          <w:tcPr>
            <w:tcW w:type="dxa" w:w="8574"/>
            <w:shd w:val="clear" w:fill="F2F5F8"/>
          </w:tcPr>
          <w:p>
            <w:pPr>
              <w:spacing w:after="40" w:before="40"/>
            </w:pPr>
            <w:r>
              <w:rPr>
                <w:sz w:val="17"/>
              </w:rPr>
            </w:r>
            <w:r>
              <w:rPr>
                <w:sz w:val="17"/>
              </w:rPr>
              <w:t>Dépendance limitée, adjoint compétent</w:t>
            </w:r>
          </w:p>
        </w:tc>
      </w:tr>
      <w:tr>
        <w:tc>
          <w:tcPr>
            <w:tcW w:type="dxa" w:w="887"/>
          </w:tcPr>
          <w:p>
            <w:pPr>
              <w:spacing w:after="40" w:before="40"/>
            </w:pPr>
            <w:r>
              <w:rPr>
                <w:sz w:val="17"/>
              </w:rPr>
            </w:r>
            <w:r>
              <w:rPr>
                <w:sz w:val="17"/>
              </w:rPr>
              <w:t>50</w:t>
            </w:r>
          </w:p>
        </w:tc>
        <w:tc>
          <w:tcPr>
            <w:tcW w:type="dxa" w:w="8574"/>
          </w:tcPr>
          <w:p>
            <w:pPr>
              <w:spacing w:after="40" w:before="40"/>
            </w:pPr>
            <w:r>
              <w:rPr>
                <w:sz w:val="17"/>
              </w:rPr>
            </w:r>
            <w:r>
              <w:rPr>
                <w:sz w:val="17"/>
              </w:rPr>
              <w:t>Dépendance réelle mais remplaçable en 3–6 mois</w:t>
            </w:r>
          </w:p>
        </w:tc>
      </w:tr>
      <w:tr>
        <w:tc>
          <w:tcPr>
            <w:tcW w:type="dxa" w:w="887"/>
            <w:shd w:val="clear" w:fill="F2F5F8"/>
          </w:tcPr>
          <w:p>
            <w:pPr>
              <w:spacing w:after="40" w:before="40"/>
            </w:pPr>
            <w:r>
              <w:rPr>
                <w:sz w:val="17"/>
              </w:rPr>
            </w:r>
            <w:r>
              <w:rPr>
                <w:sz w:val="17"/>
              </w:rPr>
              <w:t>25</w:t>
            </w:r>
          </w:p>
        </w:tc>
        <w:tc>
          <w:tcPr>
            <w:tcW w:type="dxa" w:w="8574"/>
            <w:shd w:val="clear" w:fill="F2F5F8"/>
          </w:tcPr>
          <w:p>
            <w:pPr>
              <w:spacing w:after="40" w:before="40"/>
            </w:pPr>
            <w:r>
              <w:rPr>
                <w:sz w:val="17"/>
              </w:rPr>
            </w:r>
            <w:r>
              <w:rPr>
                <w:sz w:val="17"/>
              </w:rPr>
              <w:t>Dirigeant concentre tout, succession absente</w:t>
            </w:r>
          </w:p>
        </w:tc>
      </w:tr>
      <w:tr>
        <w:tc>
          <w:tcPr>
            <w:tcW w:type="dxa" w:w="887"/>
          </w:tcPr>
          <w:p>
            <w:pPr>
              <w:spacing w:after="40" w:before="40"/>
            </w:pPr>
            <w:r>
              <w:rPr>
                <w:sz w:val="17"/>
              </w:rPr>
            </w:r>
            <w:r>
              <w:rPr>
                <w:sz w:val="17"/>
              </w:rPr>
              <w:t>0</w:t>
            </w:r>
          </w:p>
        </w:tc>
        <w:tc>
          <w:tcPr>
            <w:tcW w:type="dxa" w:w="8574"/>
          </w:tcPr>
          <w:p>
            <w:pPr>
              <w:spacing w:after="40" w:before="40"/>
            </w:pPr>
            <w:r>
              <w:rPr>
                <w:sz w:val="17"/>
              </w:rPr>
            </w:r>
            <w:r>
              <w:rPr>
                <w:sz w:val="17"/>
              </w:rPr>
              <w:t>Indisponibilité compromettant immédiatement l'activité</w:t>
            </w:r>
          </w:p>
        </w:tc>
      </w:tr>
    </w:tbl>
    <w:p>
      <w:pPr>
        <w:spacing w:after="80"/>
      </w:pPr>
    </w:p>
    <w:p>
      <w:pPr>
        <w:pStyle w:val="Heading4"/>
      </w:pPr>
      <w:r>
        <w:t>B4.3 — Organisation et contrôles minimums</w:t>
      </w:r>
    </w:p>
    <w:p>
      <w:r>
        <w:rPr>
          <w:b/>
        </w:rPr>
        <w:t>Poids :</w:t>
      </w:r>
      <w:r>
        <w:t xml:space="preserve"> TPE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996"/>
            <w:shd w:val="clear" w:fill="0F3D63"/>
          </w:tcPr>
          <w:p>
            <w:pPr>
              <w:spacing w:after="40" w:before="40"/>
            </w:pPr>
            <w:r>
              <w:rPr>
                <w:color w:val="FFFFFF"/>
                <w:sz w:val="17"/>
              </w:rPr>
            </w:r>
            <w:r>
              <w:rPr>
                <w:b/>
                <w:color w:val="FFFFFF"/>
                <w:sz w:val="17"/>
              </w:rPr>
              <w:t>Score</w:t>
            </w:r>
          </w:p>
        </w:tc>
        <w:tc>
          <w:tcPr>
            <w:tcW w:type="dxa" w:w="8465"/>
            <w:shd w:val="clear" w:fill="0F3D63"/>
          </w:tcPr>
          <w:p>
            <w:pPr>
              <w:spacing w:after="40" w:before="40"/>
            </w:pPr>
            <w:r>
              <w:rPr>
                <w:color w:val="FFFFFF"/>
                <w:sz w:val="17"/>
              </w:rPr>
            </w:r>
            <w:r>
              <w:rPr>
                <w:b/>
                <w:color w:val="FFFFFF"/>
                <w:sz w:val="17"/>
              </w:rPr>
              <w:t>Ancrage et preuves attendues</w:t>
            </w:r>
          </w:p>
        </w:tc>
      </w:tr>
      <w:tr>
        <w:tc>
          <w:tcPr>
            <w:tcW w:type="dxa" w:w="996"/>
          </w:tcPr>
          <w:p>
            <w:pPr>
              <w:spacing w:after="40" w:before="40"/>
            </w:pPr>
            <w:r>
              <w:rPr>
                <w:sz w:val="17"/>
              </w:rPr>
            </w:r>
            <w:r>
              <w:rPr>
                <w:sz w:val="17"/>
              </w:rPr>
              <w:t>100</w:t>
            </w:r>
          </w:p>
        </w:tc>
        <w:tc>
          <w:tcPr>
            <w:tcW w:type="dxa" w:w="8465"/>
          </w:tcPr>
          <w:p>
            <w:pPr>
              <w:spacing w:after="40" w:before="40"/>
            </w:pPr>
            <w:r>
              <w:rPr>
                <w:sz w:val="17"/>
              </w:rPr>
            </w:r>
            <w:r>
              <w:rPr>
                <w:sz w:val="17"/>
              </w:rPr>
              <w:t>Organisation claire, contrôles essentiels effectifs</w:t>
            </w:r>
          </w:p>
        </w:tc>
      </w:tr>
      <w:tr>
        <w:tc>
          <w:tcPr>
            <w:tcW w:type="dxa" w:w="996"/>
            <w:shd w:val="clear" w:fill="F2F5F8"/>
          </w:tcPr>
          <w:p>
            <w:pPr>
              <w:spacing w:after="40" w:before="40"/>
            </w:pPr>
            <w:r>
              <w:rPr>
                <w:sz w:val="17"/>
              </w:rPr>
            </w:r>
            <w:r>
              <w:rPr>
                <w:sz w:val="17"/>
              </w:rPr>
              <w:t>75</w:t>
            </w:r>
          </w:p>
        </w:tc>
        <w:tc>
          <w:tcPr>
            <w:tcW w:type="dxa" w:w="8465"/>
            <w:shd w:val="clear" w:fill="F2F5F8"/>
          </w:tcPr>
          <w:p>
            <w:pPr>
              <w:spacing w:after="40" w:before="40"/>
            </w:pPr>
            <w:r>
              <w:rPr>
                <w:sz w:val="17"/>
              </w:rPr>
            </w:r>
            <w:r>
              <w:rPr>
                <w:sz w:val="17"/>
              </w:rPr>
              <w:t>Organisation correcte, quelques contrôles informels</w:t>
            </w:r>
          </w:p>
        </w:tc>
      </w:tr>
      <w:tr>
        <w:tc>
          <w:tcPr>
            <w:tcW w:type="dxa" w:w="996"/>
          </w:tcPr>
          <w:p>
            <w:pPr>
              <w:spacing w:after="40" w:before="40"/>
            </w:pPr>
            <w:r>
              <w:rPr>
                <w:sz w:val="17"/>
              </w:rPr>
            </w:r>
            <w:r>
              <w:rPr>
                <w:sz w:val="17"/>
              </w:rPr>
              <w:t>50</w:t>
            </w:r>
          </w:p>
        </w:tc>
        <w:tc>
          <w:tcPr>
            <w:tcW w:type="dxa" w:w="8465"/>
          </w:tcPr>
          <w:p>
            <w:pPr>
              <w:spacing w:after="40" w:before="40"/>
            </w:pPr>
            <w:r>
              <w:rPr>
                <w:sz w:val="17"/>
              </w:rPr>
            </w:r>
            <w:r>
              <w:rPr>
                <w:sz w:val="17"/>
              </w:rPr>
              <w:t>Organisation informelle mais fonctionnelle</w:t>
            </w:r>
          </w:p>
        </w:tc>
      </w:tr>
      <w:tr>
        <w:tc>
          <w:tcPr>
            <w:tcW w:type="dxa" w:w="996"/>
            <w:shd w:val="clear" w:fill="F2F5F8"/>
          </w:tcPr>
          <w:p>
            <w:pPr>
              <w:spacing w:after="40" w:before="40"/>
            </w:pPr>
            <w:r>
              <w:rPr>
                <w:sz w:val="17"/>
              </w:rPr>
            </w:r>
            <w:r>
              <w:rPr>
                <w:sz w:val="17"/>
              </w:rPr>
              <w:t>25</w:t>
            </w:r>
          </w:p>
        </w:tc>
        <w:tc>
          <w:tcPr>
            <w:tcW w:type="dxa" w:w="8465"/>
            <w:shd w:val="clear" w:fill="F2F5F8"/>
          </w:tcPr>
          <w:p>
            <w:pPr>
              <w:spacing w:after="40" w:before="40"/>
            </w:pPr>
            <w:r>
              <w:rPr>
                <w:sz w:val="17"/>
              </w:rPr>
            </w:r>
            <w:r>
              <w:rPr>
                <w:sz w:val="17"/>
              </w:rPr>
              <w:t>Contrôles faibles, incidents récurrents</w:t>
            </w:r>
          </w:p>
        </w:tc>
      </w:tr>
      <w:tr>
        <w:tc>
          <w:tcPr>
            <w:tcW w:type="dxa" w:w="996"/>
          </w:tcPr>
          <w:p>
            <w:pPr>
              <w:spacing w:after="40" w:before="40"/>
            </w:pPr>
            <w:r>
              <w:rPr>
                <w:sz w:val="17"/>
              </w:rPr>
            </w:r>
            <w:r>
              <w:rPr>
                <w:sz w:val="17"/>
              </w:rPr>
              <w:t>0</w:t>
            </w:r>
          </w:p>
        </w:tc>
        <w:tc>
          <w:tcPr>
            <w:tcW w:type="dxa" w:w="8465"/>
          </w:tcPr>
          <w:p>
            <w:pPr>
              <w:spacing w:after="40" w:before="40"/>
            </w:pPr>
            <w:r>
              <w:rPr>
                <w:sz w:val="17"/>
              </w:rPr>
            </w:r>
            <w:r>
              <w:rPr>
                <w:sz w:val="17"/>
              </w:rPr>
              <w:t>Absence de contrôle ou irrégularités</w:t>
            </w:r>
          </w:p>
        </w:tc>
      </w:tr>
    </w:tbl>
    <w:p>
      <w:pPr>
        <w:spacing w:after="80"/>
      </w:pPr>
    </w:p>
    <w:p>
      <w:pPr>
        <w:pStyle w:val="Heading4"/>
      </w:pPr>
      <w:r>
        <w:t>B4.4 — Succession / continuité</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385"/>
            <w:shd w:val="clear" w:fill="0F3D63"/>
          </w:tcPr>
          <w:p>
            <w:pPr>
              <w:spacing w:after="40" w:before="40"/>
            </w:pPr>
            <w:r>
              <w:rPr>
                <w:color w:val="FFFFFF"/>
                <w:sz w:val="17"/>
              </w:rPr>
            </w:r>
            <w:r>
              <w:rPr>
                <w:b/>
                <w:color w:val="FFFFFF"/>
                <w:sz w:val="17"/>
              </w:rPr>
              <w:t>Score</w:t>
            </w:r>
          </w:p>
        </w:tc>
        <w:tc>
          <w:tcPr>
            <w:tcW w:type="dxa" w:w="8076"/>
            <w:shd w:val="clear" w:fill="0F3D63"/>
          </w:tcPr>
          <w:p>
            <w:pPr>
              <w:spacing w:after="40" w:before="40"/>
            </w:pPr>
            <w:r>
              <w:rPr>
                <w:color w:val="FFFFFF"/>
                <w:sz w:val="17"/>
              </w:rPr>
            </w:r>
            <w:r>
              <w:rPr>
                <w:b/>
                <w:color w:val="FFFFFF"/>
                <w:sz w:val="17"/>
              </w:rPr>
              <w:t>Ancrage et preuves attendues</w:t>
            </w:r>
          </w:p>
        </w:tc>
      </w:tr>
      <w:tr>
        <w:tc>
          <w:tcPr>
            <w:tcW w:type="dxa" w:w="1385"/>
          </w:tcPr>
          <w:p>
            <w:pPr>
              <w:spacing w:after="40" w:before="40"/>
            </w:pPr>
            <w:r>
              <w:rPr>
                <w:sz w:val="17"/>
              </w:rPr>
            </w:r>
            <w:r>
              <w:rPr>
                <w:sz w:val="17"/>
              </w:rPr>
              <w:t>100</w:t>
            </w:r>
          </w:p>
        </w:tc>
        <w:tc>
          <w:tcPr>
            <w:tcW w:type="dxa" w:w="8076"/>
          </w:tcPr>
          <w:p>
            <w:pPr>
              <w:spacing w:after="40" w:before="40"/>
            </w:pPr>
            <w:r>
              <w:rPr>
                <w:sz w:val="17"/>
              </w:rPr>
            </w:r>
            <w:r>
              <w:rPr>
                <w:sz w:val="17"/>
              </w:rPr>
              <w:t>Succession identifiée et plan testé</w:t>
            </w:r>
          </w:p>
        </w:tc>
      </w:tr>
      <w:tr>
        <w:tc>
          <w:tcPr>
            <w:tcW w:type="dxa" w:w="1385"/>
            <w:shd w:val="clear" w:fill="F2F5F8"/>
          </w:tcPr>
          <w:p>
            <w:pPr>
              <w:spacing w:after="40" w:before="40"/>
            </w:pPr>
            <w:r>
              <w:rPr>
                <w:sz w:val="17"/>
              </w:rPr>
            </w:r>
            <w:r>
              <w:rPr>
                <w:sz w:val="17"/>
              </w:rPr>
              <w:t>75</w:t>
            </w:r>
          </w:p>
        </w:tc>
        <w:tc>
          <w:tcPr>
            <w:tcW w:type="dxa" w:w="8076"/>
            <w:shd w:val="clear" w:fill="F2F5F8"/>
          </w:tcPr>
          <w:p>
            <w:pPr>
              <w:spacing w:after="40" w:before="40"/>
            </w:pPr>
            <w:r>
              <w:rPr>
                <w:sz w:val="17"/>
              </w:rPr>
            </w:r>
            <w:r>
              <w:rPr>
                <w:sz w:val="17"/>
              </w:rPr>
              <w:t>Relais crédible identifié</w:t>
            </w:r>
          </w:p>
        </w:tc>
      </w:tr>
      <w:tr>
        <w:tc>
          <w:tcPr>
            <w:tcW w:type="dxa" w:w="1385"/>
          </w:tcPr>
          <w:p>
            <w:pPr>
              <w:spacing w:after="40" w:before="40"/>
            </w:pPr>
            <w:r>
              <w:rPr>
                <w:sz w:val="17"/>
              </w:rPr>
            </w:r>
            <w:r>
              <w:rPr>
                <w:sz w:val="17"/>
              </w:rPr>
              <w:t>50</w:t>
            </w:r>
          </w:p>
        </w:tc>
        <w:tc>
          <w:tcPr>
            <w:tcW w:type="dxa" w:w="8076"/>
          </w:tcPr>
          <w:p>
            <w:pPr>
              <w:spacing w:after="40" w:before="40"/>
            </w:pPr>
            <w:r>
              <w:rPr>
                <w:sz w:val="17"/>
              </w:rPr>
            </w:r>
            <w:r>
              <w:rPr>
                <w:sz w:val="17"/>
              </w:rPr>
              <w:t>Plan partiel</w:t>
            </w:r>
          </w:p>
        </w:tc>
      </w:tr>
      <w:tr>
        <w:tc>
          <w:tcPr>
            <w:tcW w:type="dxa" w:w="1385"/>
            <w:shd w:val="clear" w:fill="F2F5F8"/>
          </w:tcPr>
          <w:p>
            <w:pPr>
              <w:spacing w:after="40" w:before="40"/>
            </w:pPr>
            <w:r>
              <w:rPr>
                <w:sz w:val="17"/>
              </w:rPr>
            </w:r>
            <w:r>
              <w:rPr>
                <w:sz w:val="17"/>
              </w:rPr>
              <w:t>25</w:t>
            </w:r>
          </w:p>
        </w:tc>
        <w:tc>
          <w:tcPr>
            <w:tcW w:type="dxa" w:w="8076"/>
            <w:shd w:val="clear" w:fill="F2F5F8"/>
          </w:tcPr>
          <w:p>
            <w:pPr>
              <w:spacing w:after="40" w:before="40"/>
            </w:pPr>
            <w:r>
              <w:rPr>
                <w:sz w:val="17"/>
              </w:rPr>
            </w:r>
            <w:r>
              <w:rPr>
                <w:sz w:val="17"/>
              </w:rPr>
              <w:t>Aucune succession crédible</w:t>
            </w:r>
          </w:p>
        </w:tc>
      </w:tr>
      <w:tr>
        <w:tc>
          <w:tcPr>
            <w:tcW w:type="dxa" w:w="1385"/>
          </w:tcPr>
          <w:p>
            <w:pPr>
              <w:spacing w:after="40" w:before="40"/>
            </w:pPr>
            <w:r>
              <w:rPr>
                <w:sz w:val="17"/>
              </w:rPr>
            </w:r>
            <w:r>
              <w:rPr>
                <w:sz w:val="17"/>
              </w:rPr>
              <w:t>0</w:t>
            </w:r>
          </w:p>
        </w:tc>
        <w:tc>
          <w:tcPr>
            <w:tcW w:type="dxa" w:w="8076"/>
          </w:tcPr>
          <w:p>
            <w:pPr>
              <w:spacing w:after="40" w:before="40"/>
            </w:pPr>
            <w:r>
              <w:rPr>
                <w:sz w:val="17"/>
              </w:rPr>
            </w:r>
            <w:r>
              <w:rPr>
                <w:sz w:val="17"/>
              </w:rPr>
              <w:t>Continuité immédiatement menacée</w:t>
            </w:r>
          </w:p>
        </w:tc>
      </w:tr>
    </w:tbl>
    <w:p>
      <w:pPr>
        <w:spacing w:after="80"/>
      </w:pPr>
    </w:p>
    <w:p>
      <w:pPr>
        <w:pStyle w:val="Heading3"/>
      </w:pPr>
      <w:r>
        <w:t>B5 — Transparence et conformité</w:t>
      </w:r>
    </w:p>
    <w:p>
      <w:pPr>
        <w:pStyle w:val="Heading4"/>
      </w:pPr>
      <w:r>
        <w:t>B5.1 — Documents et autorisations</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051"/>
            <w:shd w:val="clear" w:fill="0F3D63"/>
          </w:tcPr>
          <w:p>
            <w:pPr>
              <w:spacing w:after="40" w:before="40"/>
            </w:pPr>
            <w:r>
              <w:rPr>
                <w:color w:val="FFFFFF"/>
                <w:sz w:val="17"/>
              </w:rPr>
            </w:r>
            <w:r>
              <w:rPr>
                <w:b/>
                <w:color w:val="FFFFFF"/>
                <w:sz w:val="17"/>
              </w:rPr>
              <w:t>Score</w:t>
            </w:r>
          </w:p>
        </w:tc>
        <w:tc>
          <w:tcPr>
            <w:tcW w:type="dxa" w:w="8410"/>
            <w:shd w:val="clear" w:fill="0F3D63"/>
          </w:tcPr>
          <w:p>
            <w:pPr>
              <w:spacing w:after="40" w:before="40"/>
            </w:pPr>
            <w:r>
              <w:rPr>
                <w:color w:val="FFFFFF"/>
                <w:sz w:val="17"/>
              </w:rPr>
            </w:r>
            <w:r>
              <w:rPr>
                <w:b/>
                <w:color w:val="FFFFFF"/>
                <w:sz w:val="17"/>
              </w:rPr>
              <w:t>Ancrage et preuves attendues</w:t>
            </w:r>
          </w:p>
        </w:tc>
      </w:tr>
      <w:tr>
        <w:tc>
          <w:tcPr>
            <w:tcW w:type="dxa" w:w="1051"/>
          </w:tcPr>
          <w:p>
            <w:pPr>
              <w:spacing w:after="40" w:before="40"/>
            </w:pPr>
            <w:r>
              <w:rPr>
                <w:sz w:val="17"/>
              </w:rPr>
            </w:r>
            <w:r>
              <w:rPr>
                <w:sz w:val="17"/>
              </w:rPr>
              <w:t>100</w:t>
            </w:r>
          </w:p>
        </w:tc>
        <w:tc>
          <w:tcPr>
            <w:tcW w:type="dxa" w:w="8410"/>
          </w:tcPr>
          <w:p>
            <w:pPr>
              <w:spacing w:after="40" w:before="40"/>
            </w:pPr>
            <w:r>
              <w:rPr>
                <w:sz w:val="17"/>
              </w:rPr>
            </w:r>
            <w:r>
              <w:rPr>
                <w:sz w:val="17"/>
              </w:rPr>
              <w:t>Documents complets, valides et vérifiés</w:t>
            </w:r>
          </w:p>
        </w:tc>
      </w:tr>
      <w:tr>
        <w:tc>
          <w:tcPr>
            <w:tcW w:type="dxa" w:w="1051"/>
            <w:shd w:val="clear" w:fill="F2F5F8"/>
          </w:tcPr>
          <w:p>
            <w:pPr>
              <w:spacing w:after="40" w:before="40"/>
            </w:pPr>
            <w:r>
              <w:rPr>
                <w:sz w:val="17"/>
              </w:rPr>
            </w:r>
            <w:r>
              <w:rPr>
                <w:sz w:val="17"/>
              </w:rPr>
              <w:t>75</w:t>
            </w:r>
          </w:p>
        </w:tc>
        <w:tc>
          <w:tcPr>
            <w:tcW w:type="dxa" w:w="8410"/>
            <w:shd w:val="clear" w:fill="F2F5F8"/>
          </w:tcPr>
          <w:p>
            <w:pPr>
              <w:spacing w:after="40" w:before="40"/>
            </w:pPr>
            <w:r>
              <w:rPr>
                <w:sz w:val="17"/>
              </w:rPr>
            </w:r>
            <w:r>
              <w:rPr>
                <w:sz w:val="17"/>
              </w:rPr>
              <w:t>Lacune mineure corrigée rapidement</w:t>
            </w:r>
          </w:p>
        </w:tc>
      </w:tr>
      <w:tr>
        <w:tc>
          <w:tcPr>
            <w:tcW w:type="dxa" w:w="1051"/>
          </w:tcPr>
          <w:p>
            <w:pPr>
              <w:spacing w:after="40" w:before="40"/>
            </w:pPr>
            <w:r>
              <w:rPr>
                <w:sz w:val="17"/>
              </w:rPr>
            </w:r>
            <w:r>
              <w:rPr>
                <w:sz w:val="17"/>
              </w:rPr>
              <w:t>50</w:t>
            </w:r>
          </w:p>
        </w:tc>
        <w:tc>
          <w:tcPr>
            <w:tcW w:type="dxa" w:w="8410"/>
          </w:tcPr>
          <w:p>
            <w:pPr>
              <w:spacing w:after="40" w:before="40"/>
            </w:pPr>
            <w:r>
              <w:rPr>
                <w:sz w:val="17"/>
              </w:rPr>
            </w:r>
            <w:r>
              <w:rPr>
                <w:sz w:val="17"/>
              </w:rPr>
              <w:t>Documents partiels mais activité établie</w:t>
            </w:r>
          </w:p>
        </w:tc>
      </w:tr>
      <w:tr>
        <w:tc>
          <w:tcPr>
            <w:tcW w:type="dxa" w:w="1051"/>
            <w:shd w:val="clear" w:fill="F2F5F8"/>
          </w:tcPr>
          <w:p>
            <w:pPr>
              <w:spacing w:after="40" w:before="40"/>
            </w:pPr>
            <w:r>
              <w:rPr>
                <w:sz w:val="17"/>
              </w:rPr>
            </w:r>
            <w:r>
              <w:rPr>
                <w:sz w:val="17"/>
              </w:rPr>
              <w:t>25</w:t>
            </w:r>
          </w:p>
        </w:tc>
        <w:tc>
          <w:tcPr>
            <w:tcW w:type="dxa" w:w="8410"/>
            <w:shd w:val="clear" w:fill="F2F5F8"/>
          </w:tcPr>
          <w:p>
            <w:pPr>
              <w:spacing w:after="40" w:before="40"/>
            </w:pPr>
            <w:r>
              <w:rPr>
                <w:sz w:val="17"/>
              </w:rPr>
            </w:r>
            <w:r>
              <w:rPr>
                <w:sz w:val="17"/>
              </w:rPr>
              <w:t>Documents expirés ou incomplets</w:t>
            </w:r>
          </w:p>
        </w:tc>
      </w:tr>
      <w:tr>
        <w:tc>
          <w:tcPr>
            <w:tcW w:type="dxa" w:w="1051"/>
          </w:tcPr>
          <w:p>
            <w:pPr>
              <w:spacing w:after="40" w:before="40"/>
            </w:pPr>
            <w:r>
              <w:rPr>
                <w:sz w:val="17"/>
              </w:rPr>
            </w:r>
            <w:r>
              <w:rPr>
                <w:sz w:val="17"/>
              </w:rPr>
              <w:t>0</w:t>
            </w:r>
          </w:p>
        </w:tc>
        <w:tc>
          <w:tcPr>
            <w:tcW w:type="dxa" w:w="8410"/>
          </w:tcPr>
          <w:p>
            <w:pPr>
              <w:spacing w:after="40" w:before="40"/>
            </w:pPr>
            <w:r>
              <w:rPr>
                <w:sz w:val="17"/>
              </w:rPr>
            </w:r>
            <w:r>
              <w:rPr>
                <w:sz w:val="17"/>
              </w:rPr>
              <w:t>Documents faux/refusés ou activité non autorisée</w:t>
            </w:r>
          </w:p>
        </w:tc>
      </w:tr>
    </w:tbl>
    <w:p>
      <w:pPr>
        <w:spacing w:after="80"/>
      </w:pPr>
    </w:p>
    <w:p>
      <w:pPr>
        <w:pStyle w:val="Heading4"/>
      </w:pPr>
      <w:r>
        <w:t>B5.2 — Rapprochement flux / CA déclaré / fiscal</w:t>
      </w:r>
    </w:p>
    <w:p>
      <w:r>
        <w:t>Écart (%) entre flux bancaires annualisés, CA déclaré et données fiscales.</w:t>
      </w:r>
    </w:p>
    <w:p>
      <w:r>
        <w:rPr>
          <w:b/>
        </w:rPr>
        <w:t>Poids :</w:t>
      </w:r>
      <w:r>
        <w:t xml:space="preserve"> TPE 4.00 % · </w:t>
      </w:r>
      <w:r>
        <w:rPr>
          <w:b/>
        </w:rPr>
        <w:t>Nature :</w:t>
      </w:r>
      <w:r>
        <w:t xml:space="preserve"> quantitatif · </w:t>
      </w:r>
      <w:r>
        <w:rPr>
          <w:b/>
        </w:rPr>
        <w:t>donnée critique — absence bloquante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988"/>
            <w:shd w:val="clear" w:fill="0F3D63"/>
          </w:tcPr>
          <w:p>
            <w:pPr>
              <w:spacing w:after="40" w:before="40"/>
            </w:pPr>
            <w:r>
              <w:rPr>
                <w:color w:val="FFFFFF"/>
                <w:sz w:val="17"/>
              </w:rPr>
            </w:r>
            <w:r>
              <w:rPr>
                <w:b/>
                <w:color w:val="FFFFFF"/>
                <w:sz w:val="17"/>
              </w:rPr>
              <w:t>Score</w:t>
            </w:r>
          </w:p>
        </w:tc>
        <w:tc>
          <w:tcPr>
            <w:tcW w:type="dxa" w:w="6473"/>
            <w:shd w:val="clear" w:fill="0F3D63"/>
          </w:tcPr>
          <w:p>
            <w:pPr>
              <w:spacing w:after="40" w:before="40"/>
            </w:pPr>
            <w:r>
              <w:rPr>
                <w:color w:val="FFFFFF"/>
                <w:sz w:val="17"/>
              </w:rPr>
            </w:r>
            <w:r>
              <w:rPr>
                <w:b/>
                <w:color w:val="FFFFFF"/>
                <w:sz w:val="17"/>
              </w:rPr>
              <w:t>Bande</w:t>
            </w:r>
          </w:p>
        </w:tc>
      </w:tr>
      <w:tr>
        <w:tc>
          <w:tcPr>
            <w:tcW w:type="dxa" w:w="2988"/>
          </w:tcPr>
          <w:p>
            <w:pPr>
              <w:spacing w:after="40" w:before="40"/>
            </w:pPr>
            <w:r>
              <w:rPr>
                <w:sz w:val="17"/>
              </w:rPr>
            </w:r>
            <w:r>
              <w:rPr>
                <w:sz w:val="17"/>
              </w:rPr>
              <w:t>100</w:t>
            </w:r>
          </w:p>
        </w:tc>
        <w:tc>
          <w:tcPr>
            <w:tcW w:type="dxa" w:w="6473"/>
          </w:tcPr>
          <w:p>
            <w:pPr>
              <w:spacing w:after="40" w:before="40"/>
            </w:pPr>
            <w:r>
              <w:rPr>
                <w:sz w:val="17"/>
              </w:rPr>
            </w:r>
            <w:r>
              <w:rPr>
                <w:sz w:val="17"/>
              </w:rPr>
              <w:t>≤ 5 %</w:t>
            </w:r>
          </w:p>
        </w:tc>
      </w:tr>
      <w:tr>
        <w:tc>
          <w:tcPr>
            <w:tcW w:type="dxa" w:w="2988"/>
            <w:shd w:val="clear" w:fill="F2F5F8"/>
          </w:tcPr>
          <w:p>
            <w:pPr>
              <w:spacing w:after="40" w:before="40"/>
            </w:pPr>
            <w:r>
              <w:rPr>
                <w:sz w:val="17"/>
              </w:rPr>
            </w:r>
            <w:r>
              <w:rPr>
                <w:sz w:val="17"/>
              </w:rPr>
              <w:t>75</w:t>
            </w:r>
          </w:p>
        </w:tc>
        <w:tc>
          <w:tcPr>
            <w:tcW w:type="dxa" w:w="6473"/>
            <w:shd w:val="clear" w:fill="F2F5F8"/>
          </w:tcPr>
          <w:p>
            <w:pPr>
              <w:spacing w:after="40" w:before="40"/>
            </w:pPr>
            <w:r>
              <w:rPr>
                <w:sz w:val="17"/>
              </w:rPr>
            </w:r>
            <w:r>
              <w:rPr>
                <w:sz w:val="17"/>
              </w:rPr>
              <w:t>]5 % ; 10 %]</w:t>
            </w:r>
          </w:p>
        </w:tc>
      </w:tr>
      <w:tr>
        <w:tc>
          <w:tcPr>
            <w:tcW w:type="dxa" w:w="2988"/>
          </w:tcPr>
          <w:p>
            <w:pPr>
              <w:spacing w:after="40" w:before="40"/>
            </w:pPr>
            <w:r>
              <w:rPr>
                <w:sz w:val="17"/>
              </w:rPr>
            </w:r>
            <w:r>
              <w:rPr>
                <w:sz w:val="17"/>
              </w:rPr>
              <w:t>50</w:t>
            </w:r>
          </w:p>
        </w:tc>
        <w:tc>
          <w:tcPr>
            <w:tcW w:type="dxa" w:w="6473"/>
          </w:tcPr>
          <w:p>
            <w:pPr>
              <w:spacing w:after="40" w:before="40"/>
            </w:pPr>
            <w:r>
              <w:rPr>
                <w:sz w:val="17"/>
              </w:rPr>
            </w:r>
            <w:r>
              <w:rPr>
                <w:sz w:val="17"/>
              </w:rPr>
              <w:t>]10 % ; 20 %]</w:t>
            </w:r>
          </w:p>
        </w:tc>
      </w:tr>
      <w:tr>
        <w:tc>
          <w:tcPr>
            <w:tcW w:type="dxa" w:w="2988"/>
            <w:shd w:val="clear" w:fill="F2F5F8"/>
          </w:tcPr>
          <w:p>
            <w:pPr>
              <w:spacing w:after="40" w:before="40"/>
            </w:pPr>
            <w:r>
              <w:rPr>
                <w:sz w:val="17"/>
              </w:rPr>
            </w:r>
            <w:r>
              <w:rPr>
                <w:sz w:val="17"/>
              </w:rPr>
              <w:t>25</w:t>
            </w:r>
          </w:p>
        </w:tc>
        <w:tc>
          <w:tcPr>
            <w:tcW w:type="dxa" w:w="6473"/>
            <w:shd w:val="clear" w:fill="F2F5F8"/>
          </w:tcPr>
          <w:p>
            <w:pPr>
              <w:spacing w:after="40" w:before="40"/>
            </w:pPr>
            <w:r>
              <w:rPr>
                <w:sz w:val="17"/>
              </w:rPr>
            </w:r>
            <w:r>
              <w:rPr>
                <w:sz w:val="17"/>
              </w:rPr>
              <w:t>]20 % ; 30 %]</w:t>
            </w:r>
          </w:p>
        </w:tc>
      </w:tr>
      <w:tr>
        <w:tc>
          <w:tcPr>
            <w:tcW w:type="dxa" w:w="2988"/>
          </w:tcPr>
          <w:p>
            <w:pPr>
              <w:spacing w:after="40" w:before="40"/>
            </w:pPr>
            <w:r>
              <w:rPr>
                <w:sz w:val="17"/>
              </w:rPr>
            </w:r>
            <w:r>
              <w:rPr>
                <w:sz w:val="17"/>
              </w:rPr>
              <w:t>0</w:t>
            </w:r>
          </w:p>
        </w:tc>
        <w:tc>
          <w:tcPr>
            <w:tcW w:type="dxa" w:w="6473"/>
          </w:tcPr>
          <w:p>
            <w:pPr>
              <w:spacing w:after="40" w:before="40"/>
            </w:pPr>
            <w:r>
              <w:rPr>
                <w:sz w:val="17"/>
              </w:rPr>
            </w:r>
            <w:r>
              <w:rPr>
                <w:sz w:val="17"/>
              </w:rPr>
              <w:t>&gt; 30 %</w:t>
            </w:r>
          </w:p>
        </w:tc>
      </w:tr>
    </w:tbl>
    <w:p>
      <w:pPr>
        <w:spacing w:after="80"/>
      </w:pPr>
    </w:p>
    <w:p>
      <w:r>
        <w:rPr>
          <w:b/>
        </w:rPr>
        <w:t>Cas particuliers :</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136"/>
            <w:shd w:val="clear" w:fill="0F3D63"/>
          </w:tcPr>
          <w:p>
            <w:pPr>
              <w:spacing w:after="40" w:before="40"/>
            </w:pPr>
            <w:r>
              <w:rPr>
                <w:color w:val="FFFFFF"/>
                <w:sz w:val="17"/>
              </w:rPr>
            </w:r>
            <w:r>
              <w:rPr>
                <w:b/>
                <w:color w:val="FFFFFF"/>
                <w:sz w:val="17"/>
              </w:rPr>
              <w:t>Code</w:t>
            </w:r>
          </w:p>
        </w:tc>
        <w:tc>
          <w:tcPr>
            <w:tcW w:type="dxa" w:w="6104"/>
            <w:shd w:val="clear" w:fill="0F3D63"/>
          </w:tcPr>
          <w:p>
            <w:pPr>
              <w:spacing w:after="40" w:before="40"/>
            </w:pPr>
            <w:r>
              <w:rPr>
                <w:color w:val="FFFFFF"/>
                <w:sz w:val="17"/>
              </w:rPr>
            </w:r>
            <w:r>
              <w:rPr>
                <w:b/>
                <w:color w:val="FFFFFF"/>
                <w:sz w:val="17"/>
              </w:rPr>
              <w:t>Cas</w:t>
            </w:r>
          </w:p>
        </w:tc>
        <w:tc>
          <w:tcPr>
            <w:tcW w:type="dxa" w:w="1221"/>
            <w:shd w:val="clear" w:fill="0F3D63"/>
          </w:tcPr>
          <w:p>
            <w:pPr>
              <w:spacing w:after="40" w:before="40"/>
            </w:pPr>
            <w:r>
              <w:rPr>
                <w:color w:val="FFFFFF"/>
                <w:sz w:val="17"/>
              </w:rPr>
            </w:r>
            <w:r>
              <w:rPr>
                <w:b/>
                <w:color w:val="FFFFFF"/>
                <w:sz w:val="17"/>
              </w:rPr>
              <w:t>Score imposé</w:t>
            </w:r>
          </w:p>
        </w:tc>
      </w:tr>
      <w:tr>
        <w:tc>
          <w:tcPr>
            <w:tcW w:type="dxa" w:w="2136"/>
          </w:tcPr>
          <w:p>
            <w:pPr>
              <w:spacing w:after="40" w:before="40"/>
            </w:pPr>
            <w:r>
              <w:rPr>
                <w:sz w:val="17"/>
              </w:rPr>
            </w:r>
            <w:r>
              <w:rPr>
                <w:rFonts w:ascii="Consolas" w:hAnsi="Consolas"/>
                <w:color w:val="8A2B2B"/>
                <w:sz w:val="17"/>
              </w:rPr>
              <w:t>MAJOR_INCONSISTENCY</w:t>
            </w:r>
          </w:p>
        </w:tc>
        <w:tc>
          <w:tcPr>
            <w:tcW w:type="dxa" w:w="6104"/>
          </w:tcPr>
          <w:p>
            <w:pPr>
              <w:spacing w:after="40" w:before="40"/>
            </w:pPr>
            <w:r>
              <w:rPr>
                <w:sz w:val="17"/>
              </w:rPr>
            </w:r>
            <w:r>
              <w:rPr>
                <w:sz w:val="17"/>
              </w:rPr>
              <w:t>Incohérence majeure entre flux, chiffre d'affaires déclaré et données fiscales</w:t>
            </w:r>
          </w:p>
        </w:tc>
        <w:tc>
          <w:tcPr>
            <w:tcW w:type="dxa" w:w="1221"/>
          </w:tcPr>
          <w:p>
            <w:pPr>
              <w:spacing w:after="40" w:before="40"/>
            </w:pPr>
            <w:r>
              <w:rPr>
                <w:sz w:val="17"/>
              </w:rPr>
            </w:r>
            <w:r>
              <w:rPr>
                <w:sz w:val="17"/>
              </w:rPr>
              <w:t>0</w:t>
            </w:r>
          </w:p>
        </w:tc>
      </w:tr>
    </w:tbl>
    <w:p>
      <w:pPr>
        <w:spacing w:after="80"/>
      </w:pPr>
    </w:p>
    <w:p>
      <w:pPr>
        <w:pStyle w:val="Heading4"/>
      </w:pPr>
      <w:r>
        <w:t>B5.3 — Situation fiscale et sociale</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014"/>
            <w:shd w:val="clear" w:fill="0F3D63"/>
          </w:tcPr>
          <w:p>
            <w:pPr>
              <w:spacing w:after="40" w:before="40"/>
            </w:pPr>
            <w:r>
              <w:rPr>
                <w:color w:val="FFFFFF"/>
                <w:sz w:val="17"/>
              </w:rPr>
            </w:r>
            <w:r>
              <w:rPr>
                <w:b/>
                <w:color w:val="FFFFFF"/>
                <w:sz w:val="17"/>
              </w:rPr>
              <w:t>Score</w:t>
            </w:r>
          </w:p>
        </w:tc>
        <w:tc>
          <w:tcPr>
            <w:tcW w:type="dxa" w:w="8447"/>
            <w:shd w:val="clear" w:fill="0F3D63"/>
          </w:tcPr>
          <w:p>
            <w:pPr>
              <w:spacing w:after="40" w:before="40"/>
            </w:pPr>
            <w:r>
              <w:rPr>
                <w:color w:val="FFFFFF"/>
                <w:sz w:val="17"/>
              </w:rPr>
            </w:r>
            <w:r>
              <w:rPr>
                <w:b/>
                <w:color w:val="FFFFFF"/>
                <w:sz w:val="17"/>
              </w:rPr>
              <w:t>Ancrage et preuves attendues</w:t>
            </w:r>
          </w:p>
        </w:tc>
      </w:tr>
      <w:tr>
        <w:tc>
          <w:tcPr>
            <w:tcW w:type="dxa" w:w="1014"/>
          </w:tcPr>
          <w:p>
            <w:pPr>
              <w:spacing w:after="40" w:before="40"/>
            </w:pPr>
            <w:r>
              <w:rPr>
                <w:sz w:val="17"/>
              </w:rPr>
            </w:r>
            <w:r>
              <w:rPr>
                <w:sz w:val="17"/>
              </w:rPr>
              <w:t>100</w:t>
            </w:r>
          </w:p>
        </w:tc>
        <w:tc>
          <w:tcPr>
            <w:tcW w:type="dxa" w:w="8447"/>
          </w:tcPr>
          <w:p>
            <w:pPr>
              <w:spacing w:after="40" w:before="40"/>
            </w:pPr>
            <w:r>
              <w:rPr>
                <w:sz w:val="17"/>
              </w:rPr>
            </w:r>
            <w:r>
              <w:rPr>
                <w:sz w:val="17"/>
              </w:rPr>
              <w:t>Obligations à jour, aucun arriéré</w:t>
            </w:r>
          </w:p>
        </w:tc>
      </w:tr>
      <w:tr>
        <w:tc>
          <w:tcPr>
            <w:tcW w:type="dxa" w:w="1014"/>
            <w:shd w:val="clear" w:fill="F2F5F8"/>
          </w:tcPr>
          <w:p>
            <w:pPr>
              <w:spacing w:after="40" w:before="40"/>
            </w:pPr>
            <w:r>
              <w:rPr>
                <w:sz w:val="17"/>
              </w:rPr>
            </w:r>
            <w:r>
              <w:rPr>
                <w:sz w:val="17"/>
              </w:rPr>
              <w:t>75</w:t>
            </w:r>
          </w:p>
        </w:tc>
        <w:tc>
          <w:tcPr>
            <w:tcW w:type="dxa" w:w="8447"/>
            <w:shd w:val="clear" w:fill="F2F5F8"/>
          </w:tcPr>
          <w:p>
            <w:pPr>
              <w:spacing w:after="40" w:before="40"/>
            </w:pPr>
            <w:r>
              <w:rPr>
                <w:sz w:val="17"/>
              </w:rPr>
            </w:r>
            <w:r>
              <w:rPr>
                <w:sz w:val="17"/>
              </w:rPr>
              <w:t>Retard mineur régularisé</w:t>
            </w:r>
          </w:p>
        </w:tc>
      </w:tr>
      <w:tr>
        <w:tc>
          <w:tcPr>
            <w:tcW w:type="dxa" w:w="1014"/>
          </w:tcPr>
          <w:p>
            <w:pPr>
              <w:spacing w:after="40" w:before="40"/>
            </w:pPr>
            <w:r>
              <w:rPr>
                <w:sz w:val="17"/>
              </w:rPr>
            </w:r>
            <w:r>
              <w:rPr>
                <w:sz w:val="17"/>
              </w:rPr>
              <w:t>50</w:t>
            </w:r>
          </w:p>
        </w:tc>
        <w:tc>
          <w:tcPr>
            <w:tcW w:type="dxa" w:w="8447"/>
          </w:tcPr>
          <w:p>
            <w:pPr>
              <w:spacing w:after="40" w:before="40"/>
            </w:pPr>
            <w:r>
              <w:rPr>
                <w:sz w:val="17"/>
              </w:rPr>
            </w:r>
            <w:r>
              <w:rPr>
                <w:sz w:val="17"/>
              </w:rPr>
              <w:t>Plan d'apurement respecté</w:t>
            </w:r>
          </w:p>
        </w:tc>
      </w:tr>
      <w:tr>
        <w:tc>
          <w:tcPr>
            <w:tcW w:type="dxa" w:w="1014"/>
            <w:shd w:val="clear" w:fill="F2F5F8"/>
          </w:tcPr>
          <w:p>
            <w:pPr>
              <w:spacing w:after="40" w:before="40"/>
            </w:pPr>
            <w:r>
              <w:rPr>
                <w:sz w:val="17"/>
              </w:rPr>
            </w:r>
            <w:r>
              <w:rPr>
                <w:sz w:val="17"/>
              </w:rPr>
              <w:t>25</w:t>
            </w:r>
          </w:p>
        </w:tc>
        <w:tc>
          <w:tcPr>
            <w:tcW w:type="dxa" w:w="8447"/>
            <w:shd w:val="clear" w:fill="F2F5F8"/>
          </w:tcPr>
          <w:p>
            <w:pPr>
              <w:spacing w:after="40" w:before="40"/>
            </w:pPr>
            <w:r>
              <w:rPr>
                <w:sz w:val="17"/>
              </w:rPr>
            </w:r>
            <w:r>
              <w:rPr>
                <w:sz w:val="17"/>
              </w:rPr>
              <w:t>Arriérés matériels ou plan fragile</w:t>
            </w:r>
          </w:p>
        </w:tc>
      </w:tr>
      <w:tr>
        <w:tc>
          <w:tcPr>
            <w:tcW w:type="dxa" w:w="1014"/>
          </w:tcPr>
          <w:p>
            <w:pPr>
              <w:spacing w:after="40" w:before="40"/>
            </w:pPr>
            <w:r>
              <w:rPr>
                <w:sz w:val="17"/>
              </w:rPr>
            </w:r>
            <w:r>
              <w:rPr>
                <w:sz w:val="17"/>
              </w:rPr>
              <w:t>0</w:t>
            </w:r>
          </w:p>
        </w:tc>
        <w:tc>
          <w:tcPr>
            <w:tcW w:type="dxa" w:w="8447"/>
          </w:tcPr>
          <w:p>
            <w:pPr>
              <w:spacing w:after="40" w:before="40"/>
            </w:pPr>
            <w:r>
              <w:rPr>
                <w:sz w:val="17"/>
              </w:rPr>
            </w:r>
            <w:r>
              <w:rPr>
                <w:sz w:val="17"/>
              </w:rPr>
              <w:t>Dette non soutenable ou mesure d'exécution majeure</w:t>
            </w:r>
          </w:p>
        </w:tc>
      </w:tr>
    </w:tbl>
    <w:p>
      <w:pPr>
        <w:spacing w:after="80"/>
      </w:pPr>
    </w:p>
    <w:p>
      <w:pPr>
        <w:pStyle w:val="Heading4"/>
      </w:pPr>
      <w:r>
        <w:t>B5.4 — Actionnariat / UBO / KYC</w:t>
      </w:r>
    </w:p>
    <w:p>
      <w:r>
        <w:rPr>
          <w:b/>
        </w:rPr>
        <w:t>Poids :</w:t>
      </w:r>
      <w:r>
        <w:t xml:space="preserve"> TPE 2.00 %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1261"/>
            <w:shd w:val="clear" w:fill="0F3D63"/>
          </w:tcPr>
          <w:p>
            <w:pPr>
              <w:spacing w:after="40" w:before="40"/>
            </w:pPr>
            <w:r>
              <w:rPr>
                <w:color w:val="FFFFFF"/>
                <w:sz w:val="17"/>
              </w:rPr>
            </w:r>
            <w:r>
              <w:rPr>
                <w:b/>
                <w:color w:val="FFFFFF"/>
                <w:sz w:val="17"/>
              </w:rPr>
              <w:t>Score</w:t>
            </w:r>
          </w:p>
        </w:tc>
        <w:tc>
          <w:tcPr>
            <w:tcW w:type="dxa" w:w="8200"/>
            <w:shd w:val="clear" w:fill="0F3D63"/>
          </w:tcPr>
          <w:p>
            <w:pPr>
              <w:spacing w:after="40" w:before="40"/>
            </w:pPr>
            <w:r>
              <w:rPr>
                <w:color w:val="FFFFFF"/>
                <w:sz w:val="17"/>
              </w:rPr>
            </w:r>
            <w:r>
              <w:rPr>
                <w:b/>
                <w:color w:val="FFFFFF"/>
                <w:sz w:val="17"/>
              </w:rPr>
              <w:t>Ancrage et preuves attendues</w:t>
            </w:r>
          </w:p>
        </w:tc>
      </w:tr>
      <w:tr>
        <w:tc>
          <w:tcPr>
            <w:tcW w:type="dxa" w:w="1261"/>
          </w:tcPr>
          <w:p>
            <w:pPr>
              <w:spacing w:after="40" w:before="40"/>
            </w:pPr>
            <w:r>
              <w:rPr>
                <w:sz w:val="17"/>
              </w:rPr>
            </w:r>
            <w:r>
              <w:rPr>
                <w:sz w:val="17"/>
              </w:rPr>
              <w:t>100</w:t>
            </w:r>
          </w:p>
        </w:tc>
        <w:tc>
          <w:tcPr>
            <w:tcW w:type="dxa" w:w="8200"/>
          </w:tcPr>
          <w:p>
            <w:pPr>
              <w:spacing w:after="40" w:before="40"/>
            </w:pPr>
            <w:r>
              <w:rPr>
                <w:sz w:val="17"/>
              </w:rPr>
            </w:r>
            <w:r>
              <w:rPr>
                <w:sz w:val="17"/>
              </w:rPr>
              <w:t>UBO et pouvoirs complets et vérifiés</w:t>
            </w:r>
          </w:p>
        </w:tc>
      </w:tr>
      <w:tr>
        <w:tc>
          <w:tcPr>
            <w:tcW w:type="dxa" w:w="1261"/>
            <w:shd w:val="clear" w:fill="F2F5F8"/>
          </w:tcPr>
          <w:p>
            <w:pPr>
              <w:spacing w:after="40" w:before="40"/>
            </w:pPr>
            <w:r>
              <w:rPr>
                <w:sz w:val="17"/>
              </w:rPr>
            </w:r>
            <w:r>
              <w:rPr>
                <w:sz w:val="17"/>
              </w:rPr>
              <w:t>75</w:t>
            </w:r>
          </w:p>
        </w:tc>
        <w:tc>
          <w:tcPr>
            <w:tcW w:type="dxa" w:w="8200"/>
            <w:shd w:val="clear" w:fill="F2F5F8"/>
          </w:tcPr>
          <w:p>
            <w:pPr>
              <w:spacing w:after="40" w:before="40"/>
            </w:pPr>
            <w:r>
              <w:rPr>
                <w:sz w:val="17"/>
              </w:rPr>
            </w:r>
            <w:r>
              <w:rPr>
                <w:sz w:val="17"/>
              </w:rPr>
              <w:t>Lacune mineure sans ambiguïté</w:t>
            </w:r>
          </w:p>
        </w:tc>
      </w:tr>
      <w:tr>
        <w:tc>
          <w:tcPr>
            <w:tcW w:type="dxa" w:w="1261"/>
          </w:tcPr>
          <w:p>
            <w:pPr>
              <w:spacing w:after="40" w:before="40"/>
            </w:pPr>
            <w:r>
              <w:rPr>
                <w:sz w:val="17"/>
              </w:rPr>
            </w:r>
            <w:r>
              <w:rPr>
                <w:sz w:val="17"/>
              </w:rPr>
              <w:t>50</w:t>
            </w:r>
          </w:p>
        </w:tc>
        <w:tc>
          <w:tcPr>
            <w:tcW w:type="dxa" w:w="8200"/>
          </w:tcPr>
          <w:p>
            <w:pPr>
              <w:spacing w:after="40" w:before="40"/>
            </w:pPr>
            <w:r>
              <w:rPr>
                <w:sz w:val="17"/>
              </w:rPr>
            </w:r>
            <w:r>
              <w:rPr>
                <w:sz w:val="17"/>
              </w:rPr>
              <w:t>Structure raisonnablement établie</w:t>
            </w:r>
          </w:p>
        </w:tc>
      </w:tr>
      <w:tr>
        <w:tc>
          <w:tcPr>
            <w:tcW w:type="dxa" w:w="1261"/>
            <w:shd w:val="clear" w:fill="F2F5F8"/>
          </w:tcPr>
          <w:p>
            <w:pPr>
              <w:spacing w:after="40" w:before="40"/>
            </w:pPr>
            <w:r>
              <w:rPr>
                <w:sz w:val="17"/>
              </w:rPr>
            </w:r>
            <w:r>
              <w:rPr>
                <w:sz w:val="17"/>
              </w:rPr>
              <w:t>25</w:t>
            </w:r>
          </w:p>
        </w:tc>
        <w:tc>
          <w:tcPr>
            <w:tcW w:type="dxa" w:w="8200"/>
            <w:shd w:val="clear" w:fill="F2F5F8"/>
          </w:tcPr>
          <w:p>
            <w:pPr>
              <w:spacing w:after="40" w:before="40"/>
            </w:pPr>
            <w:r>
              <w:rPr>
                <w:sz w:val="17"/>
              </w:rPr>
            </w:r>
            <w:r>
              <w:rPr>
                <w:sz w:val="17"/>
              </w:rPr>
              <w:t>Chaîne de détention opaque</w:t>
            </w:r>
          </w:p>
        </w:tc>
      </w:tr>
      <w:tr>
        <w:tc>
          <w:tcPr>
            <w:tcW w:type="dxa" w:w="1261"/>
          </w:tcPr>
          <w:p>
            <w:pPr>
              <w:spacing w:after="40" w:before="40"/>
            </w:pPr>
            <w:r>
              <w:rPr>
                <w:sz w:val="17"/>
              </w:rPr>
            </w:r>
            <w:r>
              <w:rPr>
                <w:sz w:val="17"/>
              </w:rPr>
              <w:t>0</w:t>
            </w:r>
          </w:p>
        </w:tc>
        <w:tc>
          <w:tcPr>
            <w:tcW w:type="dxa" w:w="8200"/>
          </w:tcPr>
          <w:p>
            <w:pPr>
              <w:spacing w:after="40" w:before="40"/>
            </w:pPr>
            <w:r>
              <w:rPr>
                <w:sz w:val="17"/>
              </w:rPr>
            </w:r>
            <w:r>
              <w:rPr>
                <w:sz w:val="17"/>
              </w:rPr>
              <w:t>UBO impossible à établir ou blocage KYC</w:t>
            </w:r>
          </w:p>
        </w:tc>
      </w:tr>
    </w:tbl>
    <w:p>
      <w:pPr>
        <w:spacing w:after="80"/>
      </w:pPr>
    </w:p>
    <w:p>
      <w:pPr>
        <w:pStyle w:val="Heading3"/>
      </w:pPr>
      <w:r>
        <w:t>B6 — Groupe / support</w:t>
      </w:r>
    </w:p>
    <w:p>
      <w:pPr>
        <w:pStyle w:val="Heading4"/>
      </w:pPr>
      <w:r>
        <w:t>B6.1 — Groupe, garant et soutien démontré</w:t>
      </w:r>
    </w:p>
    <w:p>
      <w:r>
        <w:rPr>
          <w:b/>
        </w:rPr>
        <w:t>Poids :</w:t>
      </w:r>
      <w:r>
        <w:t xml:space="preserve"> TPE 5.00 %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860"/>
            <w:shd w:val="clear" w:fill="0F3D63"/>
          </w:tcPr>
          <w:p>
            <w:pPr>
              <w:spacing w:after="40" w:before="40"/>
            </w:pPr>
            <w:r>
              <w:rPr>
                <w:color w:val="FFFFFF"/>
                <w:sz w:val="17"/>
              </w:rPr>
            </w:r>
            <w:r>
              <w:rPr>
                <w:b/>
                <w:color w:val="FFFFFF"/>
                <w:sz w:val="17"/>
              </w:rPr>
              <w:t>Score</w:t>
            </w:r>
          </w:p>
        </w:tc>
        <w:tc>
          <w:tcPr>
            <w:tcW w:type="dxa" w:w="8601"/>
            <w:shd w:val="clear" w:fill="0F3D63"/>
          </w:tcPr>
          <w:p>
            <w:pPr>
              <w:spacing w:after="40" w:before="40"/>
            </w:pPr>
            <w:r>
              <w:rPr>
                <w:color w:val="FFFFFF"/>
                <w:sz w:val="17"/>
              </w:rPr>
            </w:r>
            <w:r>
              <w:rPr>
                <w:b/>
                <w:color w:val="FFFFFF"/>
                <w:sz w:val="17"/>
              </w:rPr>
              <w:t>Ancrage et preuves attendues</w:t>
            </w:r>
          </w:p>
        </w:tc>
      </w:tr>
      <w:tr>
        <w:tc>
          <w:tcPr>
            <w:tcW w:type="dxa" w:w="860"/>
          </w:tcPr>
          <w:p>
            <w:pPr>
              <w:spacing w:after="40" w:before="40"/>
            </w:pPr>
            <w:r>
              <w:rPr>
                <w:sz w:val="17"/>
              </w:rPr>
            </w:r>
            <w:r>
              <w:rPr>
                <w:sz w:val="17"/>
              </w:rPr>
              <w:t>100</w:t>
            </w:r>
          </w:p>
        </w:tc>
        <w:tc>
          <w:tcPr>
            <w:tcW w:type="dxa" w:w="8601"/>
          </w:tcPr>
          <w:p>
            <w:pPr>
              <w:spacing w:after="40" w:before="40"/>
            </w:pPr>
            <w:r>
              <w:rPr>
                <w:sz w:val="17"/>
              </w:rPr>
            </w:r>
            <w:r>
              <w:rPr>
                <w:sz w:val="17"/>
              </w:rPr>
              <w:t>Support juridiquement engageant d'un tiers très solide, historique démontré</w:t>
            </w:r>
          </w:p>
        </w:tc>
      </w:tr>
      <w:tr>
        <w:tc>
          <w:tcPr>
            <w:tcW w:type="dxa" w:w="860"/>
            <w:shd w:val="clear" w:fill="F2F5F8"/>
          </w:tcPr>
          <w:p>
            <w:pPr>
              <w:spacing w:after="40" w:before="40"/>
            </w:pPr>
            <w:r>
              <w:rPr>
                <w:sz w:val="17"/>
              </w:rPr>
            </w:r>
            <w:r>
              <w:rPr>
                <w:sz w:val="17"/>
              </w:rPr>
              <w:t>75</w:t>
            </w:r>
          </w:p>
        </w:tc>
        <w:tc>
          <w:tcPr>
            <w:tcW w:type="dxa" w:w="8601"/>
            <w:shd w:val="clear" w:fill="F2F5F8"/>
          </w:tcPr>
          <w:p>
            <w:pPr>
              <w:spacing w:after="40" w:before="40"/>
            </w:pPr>
            <w:r>
              <w:rPr>
                <w:sz w:val="17"/>
              </w:rPr>
            </w:r>
            <w:r>
              <w:rPr>
                <w:sz w:val="17"/>
              </w:rPr>
              <w:t>Soutien documenté mais non totalement contraignant</w:t>
            </w:r>
          </w:p>
        </w:tc>
      </w:tr>
      <w:tr>
        <w:tc>
          <w:tcPr>
            <w:tcW w:type="dxa" w:w="860"/>
          </w:tcPr>
          <w:p>
            <w:pPr>
              <w:spacing w:after="40" w:before="40"/>
            </w:pPr>
            <w:r>
              <w:rPr>
                <w:sz w:val="17"/>
              </w:rPr>
            </w:r>
            <w:r>
              <w:rPr>
                <w:sz w:val="17"/>
              </w:rPr>
              <w:t>50</w:t>
            </w:r>
          </w:p>
        </w:tc>
        <w:tc>
          <w:tcPr>
            <w:tcW w:type="dxa" w:w="8601"/>
          </w:tcPr>
          <w:p>
            <w:pPr>
              <w:spacing w:after="40" w:before="40"/>
            </w:pPr>
            <w:r>
              <w:rPr>
                <w:sz w:val="17"/>
              </w:rPr>
            </w:r>
            <w:r>
              <w:rPr>
                <w:sz w:val="17"/>
              </w:rPr>
              <w:t>Entité autonome sans besoin de support</w:t>
            </w:r>
          </w:p>
        </w:tc>
      </w:tr>
      <w:tr>
        <w:tc>
          <w:tcPr>
            <w:tcW w:type="dxa" w:w="860"/>
            <w:shd w:val="clear" w:fill="F2F5F8"/>
          </w:tcPr>
          <w:p>
            <w:pPr>
              <w:spacing w:after="40" w:before="40"/>
            </w:pPr>
            <w:r>
              <w:rPr>
                <w:sz w:val="17"/>
              </w:rPr>
            </w:r>
            <w:r>
              <w:rPr>
                <w:sz w:val="17"/>
              </w:rPr>
              <w:t>25</w:t>
            </w:r>
          </w:p>
        </w:tc>
        <w:tc>
          <w:tcPr>
            <w:tcW w:type="dxa" w:w="8601"/>
            <w:shd w:val="clear" w:fill="F2F5F8"/>
          </w:tcPr>
          <w:p>
            <w:pPr>
              <w:spacing w:after="40" w:before="40"/>
            </w:pPr>
            <w:r>
              <w:rPr>
                <w:sz w:val="17"/>
              </w:rPr>
            </w:r>
            <w:r>
              <w:rPr>
                <w:sz w:val="17"/>
              </w:rPr>
              <w:t>Soutien incertain ou garant lui-même fragile</w:t>
            </w:r>
          </w:p>
        </w:tc>
      </w:tr>
      <w:tr>
        <w:tc>
          <w:tcPr>
            <w:tcW w:type="dxa" w:w="860"/>
          </w:tcPr>
          <w:p>
            <w:pPr>
              <w:spacing w:after="40" w:before="40"/>
            </w:pPr>
            <w:r>
              <w:rPr>
                <w:sz w:val="17"/>
              </w:rPr>
            </w:r>
            <w:r>
              <w:rPr>
                <w:sz w:val="17"/>
              </w:rPr>
              <w:t>0</w:t>
            </w:r>
          </w:p>
        </w:tc>
        <w:tc>
          <w:tcPr>
            <w:tcW w:type="dxa" w:w="8601"/>
          </w:tcPr>
          <w:p>
            <w:pPr>
              <w:spacing w:after="40" w:before="40"/>
            </w:pPr>
            <w:r>
              <w:rPr>
                <w:sz w:val="17"/>
              </w:rPr>
            </w:r>
            <w:r>
              <w:rPr>
                <w:sz w:val="17"/>
              </w:rPr>
              <w:t>Groupe en difficulté, ponctions de cash ou soutien promis non honoré</w:t>
            </w:r>
          </w:p>
        </w:tc>
      </w:tr>
    </w:tbl>
    <w:p>
      <w:pPr>
        <w:spacing w:after="80"/>
      </w:pPr>
    </w:p>
    <w:p>
      <w:pPr>
        <w:pStyle w:val="Heading3"/>
      </w:pPr>
      <w:r>
        <w:t>B7 — ESG / climat</w:t>
      </w:r>
    </w:p>
    <w:p>
      <w:pPr>
        <w:pStyle w:val="Heading4"/>
      </w:pPr>
      <w:r>
        <w:t>B7.1 — Risques ESG/climat matériels</w:t>
      </w:r>
    </w:p>
    <w:p>
      <w:r>
        <w:rPr>
          <w:b/>
        </w:rPr>
        <w:t>Poids :</w:t>
      </w:r>
      <w:r>
        <w:t xml:space="preserve"> TPE 3.00 % · </w:t>
      </w:r>
      <w:r>
        <w:rPr>
          <w:b/>
        </w:rPr>
        <w:t>Nature :</w:t>
      </w:r>
      <w:r>
        <w:t xml:space="preserve"> qualitatif ancré · </w:t>
      </w:r>
      <w:r>
        <w:rPr>
          <w:b/>
        </w:rPr>
        <w:t>politique en cas d'absence : WARN</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996"/>
            <w:shd w:val="clear" w:fill="0F3D63"/>
          </w:tcPr>
          <w:p>
            <w:pPr>
              <w:spacing w:after="40" w:before="40"/>
            </w:pPr>
            <w:r>
              <w:rPr>
                <w:color w:val="FFFFFF"/>
                <w:sz w:val="17"/>
              </w:rPr>
            </w:r>
            <w:r>
              <w:rPr>
                <w:b/>
                <w:color w:val="FFFFFF"/>
                <w:sz w:val="17"/>
              </w:rPr>
              <w:t>Score</w:t>
            </w:r>
          </w:p>
        </w:tc>
        <w:tc>
          <w:tcPr>
            <w:tcW w:type="dxa" w:w="8465"/>
            <w:shd w:val="clear" w:fill="0F3D63"/>
          </w:tcPr>
          <w:p>
            <w:pPr>
              <w:spacing w:after="40" w:before="40"/>
            </w:pPr>
            <w:r>
              <w:rPr>
                <w:color w:val="FFFFFF"/>
                <w:sz w:val="17"/>
              </w:rPr>
            </w:r>
            <w:r>
              <w:rPr>
                <w:b/>
                <w:color w:val="FFFFFF"/>
                <w:sz w:val="17"/>
              </w:rPr>
              <w:t>Ancrage et preuves attendues</w:t>
            </w:r>
          </w:p>
        </w:tc>
      </w:tr>
      <w:tr>
        <w:tc>
          <w:tcPr>
            <w:tcW w:type="dxa" w:w="996"/>
          </w:tcPr>
          <w:p>
            <w:pPr>
              <w:spacing w:after="40" w:before="40"/>
            </w:pPr>
            <w:r>
              <w:rPr>
                <w:sz w:val="17"/>
              </w:rPr>
            </w:r>
            <w:r>
              <w:rPr>
                <w:sz w:val="17"/>
              </w:rPr>
              <w:t>100</w:t>
            </w:r>
          </w:p>
        </w:tc>
        <w:tc>
          <w:tcPr>
            <w:tcW w:type="dxa" w:w="8465"/>
          </w:tcPr>
          <w:p>
            <w:pPr>
              <w:spacing w:after="40" w:before="40"/>
            </w:pPr>
            <w:r>
              <w:rPr>
                <w:sz w:val="17"/>
              </w:rPr>
            </w:r>
            <w:r>
              <w:rPr>
                <w:sz w:val="17"/>
              </w:rPr>
              <w:t>Exposition faible vérifiée</w:t>
            </w:r>
          </w:p>
        </w:tc>
      </w:tr>
      <w:tr>
        <w:tc>
          <w:tcPr>
            <w:tcW w:type="dxa" w:w="996"/>
            <w:shd w:val="clear" w:fill="F2F5F8"/>
          </w:tcPr>
          <w:p>
            <w:pPr>
              <w:spacing w:after="40" w:before="40"/>
            </w:pPr>
            <w:r>
              <w:rPr>
                <w:sz w:val="17"/>
              </w:rPr>
            </w:r>
            <w:r>
              <w:rPr>
                <w:sz w:val="17"/>
              </w:rPr>
              <w:t>75</w:t>
            </w:r>
          </w:p>
        </w:tc>
        <w:tc>
          <w:tcPr>
            <w:tcW w:type="dxa" w:w="8465"/>
            <w:shd w:val="clear" w:fill="F2F5F8"/>
          </w:tcPr>
          <w:p>
            <w:pPr>
              <w:spacing w:after="40" w:before="40"/>
            </w:pPr>
            <w:r>
              <w:rPr>
                <w:sz w:val="17"/>
              </w:rPr>
            </w:r>
            <w:r>
              <w:rPr>
                <w:sz w:val="17"/>
              </w:rPr>
              <w:t>Exposition modérée, mitigations en place</w:t>
            </w:r>
          </w:p>
        </w:tc>
      </w:tr>
      <w:tr>
        <w:tc>
          <w:tcPr>
            <w:tcW w:type="dxa" w:w="996"/>
          </w:tcPr>
          <w:p>
            <w:pPr>
              <w:spacing w:after="40" w:before="40"/>
            </w:pPr>
            <w:r>
              <w:rPr>
                <w:sz w:val="17"/>
              </w:rPr>
            </w:r>
            <w:r>
              <w:rPr>
                <w:sz w:val="17"/>
              </w:rPr>
              <w:t>50</w:t>
            </w:r>
          </w:p>
        </w:tc>
        <w:tc>
          <w:tcPr>
            <w:tcW w:type="dxa" w:w="8465"/>
          </w:tcPr>
          <w:p>
            <w:pPr>
              <w:spacing w:after="40" w:before="40"/>
            </w:pPr>
            <w:r>
              <w:rPr>
                <w:sz w:val="17"/>
              </w:rPr>
            </w:r>
            <w:r>
              <w:rPr>
                <w:sz w:val="17"/>
              </w:rPr>
              <w:t>Exposition matérielle cartographiée, plan partiel</w:t>
            </w:r>
          </w:p>
        </w:tc>
      </w:tr>
      <w:tr>
        <w:tc>
          <w:tcPr>
            <w:tcW w:type="dxa" w:w="996"/>
            <w:shd w:val="clear" w:fill="F2F5F8"/>
          </w:tcPr>
          <w:p>
            <w:pPr>
              <w:spacing w:after="40" w:before="40"/>
            </w:pPr>
            <w:r>
              <w:rPr>
                <w:sz w:val="17"/>
              </w:rPr>
            </w:r>
            <w:r>
              <w:rPr>
                <w:sz w:val="17"/>
              </w:rPr>
              <w:t>25</w:t>
            </w:r>
          </w:p>
        </w:tc>
        <w:tc>
          <w:tcPr>
            <w:tcW w:type="dxa" w:w="8465"/>
            <w:shd w:val="clear" w:fill="F2F5F8"/>
          </w:tcPr>
          <w:p>
            <w:pPr>
              <w:spacing w:after="40" w:before="40"/>
            </w:pPr>
            <w:r>
              <w:rPr>
                <w:sz w:val="17"/>
              </w:rPr>
            </w:r>
            <w:r>
              <w:rPr>
                <w:sz w:val="17"/>
              </w:rPr>
              <w:t>Exposition élevée, mitigation insuffisante</w:t>
            </w:r>
          </w:p>
        </w:tc>
      </w:tr>
      <w:tr>
        <w:tc>
          <w:tcPr>
            <w:tcW w:type="dxa" w:w="996"/>
          </w:tcPr>
          <w:p>
            <w:pPr>
              <w:spacing w:after="40" w:before="40"/>
            </w:pPr>
            <w:r>
              <w:rPr>
                <w:sz w:val="17"/>
              </w:rPr>
            </w:r>
            <w:r>
              <w:rPr>
                <w:sz w:val="17"/>
              </w:rPr>
              <w:t>0</w:t>
            </w:r>
          </w:p>
        </w:tc>
        <w:tc>
          <w:tcPr>
            <w:tcW w:type="dxa" w:w="8465"/>
          </w:tcPr>
          <w:p>
            <w:pPr>
              <w:spacing w:after="40" w:before="40"/>
            </w:pPr>
            <w:r>
              <w:rPr>
                <w:sz w:val="17"/>
              </w:rPr>
            </w:r>
            <w:r>
              <w:rPr>
                <w:sz w:val="17"/>
              </w:rPr>
              <w:t>Activité menacée à court terme sans solution viable</w:t>
            </w:r>
          </w:p>
        </w:tc>
      </w:tr>
    </w:tbl>
    <w:p>
      <w:pPr>
        <w:spacing w:after="80"/>
      </w:pPr>
    </w:p>
    <w:p>
      <w:pPr>
        <w:pStyle w:val="Heading3"/>
      </w:pPr>
      <w:r>
        <w:t>Échelle interne (master scale)</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1330"/>
            <w:shd w:val="clear" w:fill="0F3D63"/>
          </w:tcPr>
          <w:p>
            <w:pPr>
              <w:spacing w:after="40" w:before="40"/>
            </w:pPr>
            <w:r>
              <w:rPr>
                <w:color w:val="FFFFFF"/>
                <w:sz w:val="17"/>
              </w:rPr>
            </w:r>
            <w:r>
              <w:rPr>
                <w:b/>
                <w:color w:val="FFFFFF"/>
                <w:sz w:val="17"/>
              </w:rPr>
              <w:t>Grade</w:t>
            </w:r>
          </w:p>
        </w:tc>
        <w:tc>
          <w:tcPr>
            <w:tcW w:type="dxa" w:w="2291"/>
            <w:shd w:val="clear" w:fill="0F3D63"/>
          </w:tcPr>
          <w:p>
            <w:pPr>
              <w:spacing w:after="40" w:before="40"/>
            </w:pPr>
            <w:r>
              <w:rPr>
                <w:color w:val="FFFFFF"/>
                <w:sz w:val="17"/>
              </w:rPr>
            </w:r>
            <w:r>
              <w:rPr>
                <w:b/>
                <w:color w:val="FFFFFF"/>
                <w:sz w:val="17"/>
              </w:rPr>
              <w:t>Score</w:t>
            </w:r>
          </w:p>
        </w:tc>
        <w:tc>
          <w:tcPr>
            <w:tcW w:type="dxa" w:w="1626"/>
            <w:shd w:val="clear" w:fill="0F3D63"/>
          </w:tcPr>
          <w:p>
            <w:pPr>
              <w:spacing w:after="40" w:before="40"/>
            </w:pPr>
            <w:r>
              <w:rPr>
                <w:color w:val="FFFFFF"/>
                <w:sz w:val="17"/>
              </w:rPr>
            </w:r>
            <w:r>
              <w:rPr>
                <w:b/>
                <w:color w:val="FFFFFF"/>
                <w:sz w:val="17"/>
              </w:rPr>
              <w:t>Libellé</w:t>
            </w:r>
          </w:p>
        </w:tc>
        <w:tc>
          <w:tcPr>
            <w:tcW w:type="dxa" w:w="4213"/>
            <w:shd w:val="clear" w:fill="0F3D63"/>
          </w:tcPr>
          <w:p>
            <w:pPr>
              <w:spacing w:after="40" w:before="40"/>
            </w:pPr>
            <w:r>
              <w:rPr>
                <w:color w:val="FFFFFF"/>
                <w:sz w:val="17"/>
              </w:rPr>
            </w:r>
            <w:r>
              <w:rPr>
                <w:b/>
                <w:color w:val="FFFFFF"/>
                <w:sz w:val="17"/>
              </w:rPr>
              <w:t>Décision indicative</w:t>
            </w:r>
          </w:p>
        </w:tc>
      </w:tr>
      <w:tr>
        <w:tc>
          <w:tcPr>
            <w:tcW w:type="dxa" w:w="1330"/>
          </w:tcPr>
          <w:p>
            <w:pPr>
              <w:spacing w:after="40" w:before="40"/>
            </w:pPr>
            <w:r>
              <w:rPr>
                <w:sz w:val="17"/>
              </w:rPr>
            </w:r>
            <w:r>
              <w:rPr>
                <w:sz w:val="17"/>
              </w:rPr>
              <w:t>G1</w:t>
            </w:r>
          </w:p>
        </w:tc>
        <w:tc>
          <w:tcPr>
            <w:tcW w:type="dxa" w:w="2291"/>
          </w:tcPr>
          <w:p>
            <w:pPr>
              <w:spacing w:after="40" w:before="40"/>
            </w:pPr>
            <w:r>
              <w:rPr>
                <w:sz w:val="17"/>
              </w:rPr>
            </w:r>
            <w:r>
              <w:rPr>
                <w:sz w:val="17"/>
              </w:rPr>
              <w:t>≥ 90</w:t>
            </w:r>
          </w:p>
        </w:tc>
        <w:tc>
          <w:tcPr>
            <w:tcW w:type="dxa" w:w="1626"/>
          </w:tcPr>
          <w:p>
            <w:pPr>
              <w:spacing w:after="40" w:before="40"/>
            </w:pPr>
            <w:r>
              <w:rPr>
                <w:sz w:val="17"/>
              </w:rPr>
            </w:r>
            <w:r>
              <w:rPr>
                <w:sz w:val="17"/>
              </w:rPr>
              <w:t>Excellent</w:t>
            </w:r>
          </w:p>
        </w:tc>
        <w:tc>
          <w:tcPr>
            <w:tcW w:type="dxa" w:w="4213"/>
          </w:tcPr>
          <w:p>
            <w:pPr>
              <w:spacing w:after="40" w:before="40"/>
            </w:pPr>
            <w:r>
              <w:rPr>
                <w:sz w:val="17"/>
              </w:rPr>
            </w:r>
            <w:r>
              <w:rPr>
                <w:sz w:val="17"/>
              </w:rPr>
              <w:t>Délégation favorable sous contrôles usuels</w:t>
            </w:r>
          </w:p>
        </w:tc>
      </w:tr>
      <w:tr>
        <w:tc>
          <w:tcPr>
            <w:tcW w:type="dxa" w:w="1330"/>
            <w:shd w:val="clear" w:fill="F2F5F8"/>
          </w:tcPr>
          <w:p>
            <w:pPr>
              <w:spacing w:after="40" w:before="40"/>
            </w:pPr>
            <w:r>
              <w:rPr>
                <w:sz w:val="17"/>
              </w:rPr>
            </w:r>
            <w:r>
              <w:rPr>
                <w:sz w:val="17"/>
              </w:rPr>
              <w:t>G2</w:t>
            </w:r>
          </w:p>
        </w:tc>
        <w:tc>
          <w:tcPr>
            <w:tcW w:type="dxa" w:w="2291"/>
            <w:shd w:val="clear" w:fill="F2F5F8"/>
          </w:tcPr>
          <w:p>
            <w:pPr>
              <w:spacing w:after="40" w:before="40"/>
            </w:pPr>
            <w:r>
              <w:rPr>
                <w:sz w:val="17"/>
              </w:rPr>
            </w:r>
            <w:r>
              <w:rPr>
                <w:sz w:val="17"/>
              </w:rPr>
              <w:t>[85 ; 90[</w:t>
            </w:r>
          </w:p>
        </w:tc>
        <w:tc>
          <w:tcPr>
            <w:tcW w:type="dxa" w:w="1626"/>
            <w:shd w:val="clear" w:fill="F2F5F8"/>
          </w:tcPr>
          <w:p>
            <w:pPr>
              <w:spacing w:after="40" w:before="40"/>
            </w:pPr>
            <w:r>
              <w:rPr>
                <w:sz w:val="17"/>
              </w:rPr>
            </w:r>
            <w:r>
              <w:rPr>
                <w:sz w:val="17"/>
              </w:rPr>
              <w:t>Très solide</w:t>
            </w:r>
          </w:p>
        </w:tc>
        <w:tc>
          <w:tcPr>
            <w:tcW w:type="dxa" w:w="4213"/>
            <w:shd w:val="clear" w:fill="F2F5F8"/>
          </w:tcPr>
          <w:p>
            <w:pPr>
              <w:spacing w:after="40" w:before="40"/>
            </w:pPr>
            <w:r>
              <w:rPr>
                <w:sz w:val="17"/>
              </w:rPr>
            </w:r>
            <w:r>
              <w:rPr>
                <w:sz w:val="17"/>
              </w:rPr>
              <w:t>Favorable</w:t>
            </w:r>
          </w:p>
        </w:tc>
      </w:tr>
      <w:tr>
        <w:tc>
          <w:tcPr>
            <w:tcW w:type="dxa" w:w="1330"/>
          </w:tcPr>
          <w:p>
            <w:pPr>
              <w:spacing w:after="40" w:before="40"/>
            </w:pPr>
            <w:r>
              <w:rPr>
                <w:sz w:val="17"/>
              </w:rPr>
            </w:r>
            <w:r>
              <w:rPr>
                <w:sz w:val="17"/>
              </w:rPr>
              <w:t>G3</w:t>
            </w:r>
          </w:p>
        </w:tc>
        <w:tc>
          <w:tcPr>
            <w:tcW w:type="dxa" w:w="2291"/>
          </w:tcPr>
          <w:p>
            <w:pPr>
              <w:spacing w:after="40" w:before="40"/>
            </w:pPr>
            <w:r>
              <w:rPr>
                <w:sz w:val="17"/>
              </w:rPr>
            </w:r>
            <w:r>
              <w:rPr>
                <w:sz w:val="17"/>
              </w:rPr>
              <w:t>[80 ; 85[</w:t>
            </w:r>
          </w:p>
        </w:tc>
        <w:tc>
          <w:tcPr>
            <w:tcW w:type="dxa" w:w="1626"/>
          </w:tcPr>
          <w:p>
            <w:pPr>
              <w:spacing w:after="40" w:before="40"/>
            </w:pPr>
            <w:r>
              <w:rPr>
                <w:sz w:val="17"/>
              </w:rPr>
            </w:r>
            <w:r>
              <w:rPr>
                <w:sz w:val="17"/>
              </w:rPr>
              <w:t>Solide</w:t>
            </w:r>
          </w:p>
        </w:tc>
        <w:tc>
          <w:tcPr>
            <w:tcW w:type="dxa" w:w="4213"/>
          </w:tcPr>
          <w:p>
            <w:pPr>
              <w:spacing w:after="40" w:before="40"/>
            </w:pPr>
            <w:r>
              <w:rPr>
                <w:sz w:val="17"/>
              </w:rPr>
            </w:r>
            <w:r>
              <w:rPr>
                <w:sz w:val="17"/>
              </w:rPr>
              <w:t>Favorable</w:t>
            </w:r>
          </w:p>
        </w:tc>
      </w:tr>
      <w:tr>
        <w:tc>
          <w:tcPr>
            <w:tcW w:type="dxa" w:w="1330"/>
            <w:shd w:val="clear" w:fill="F2F5F8"/>
          </w:tcPr>
          <w:p>
            <w:pPr>
              <w:spacing w:after="40" w:before="40"/>
            </w:pPr>
            <w:r>
              <w:rPr>
                <w:sz w:val="17"/>
              </w:rPr>
            </w:r>
            <w:r>
              <w:rPr>
                <w:sz w:val="17"/>
              </w:rPr>
              <w:t>G4</w:t>
            </w:r>
          </w:p>
        </w:tc>
        <w:tc>
          <w:tcPr>
            <w:tcW w:type="dxa" w:w="2291"/>
            <w:shd w:val="clear" w:fill="F2F5F8"/>
          </w:tcPr>
          <w:p>
            <w:pPr>
              <w:spacing w:after="40" w:before="40"/>
            </w:pPr>
            <w:r>
              <w:rPr>
                <w:sz w:val="17"/>
              </w:rPr>
            </w:r>
            <w:r>
              <w:rPr>
                <w:sz w:val="17"/>
              </w:rPr>
              <w:t>[75 ; 80[</w:t>
            </w:r>
          </w:p>
        </w:tc>
        <w:tc>
          <w:tcPr>
            <w:tcW w:type="dxa" w:w="1626"/>
            <w:shd w:val="clear" w:fill="F2F5F8"/>
          </w:tcPr>
          <w:p>
            <w:pPr>
              <w:spacing w:after="40" w:before="40"/>
            </w:pPr>
            <w:r>
              <w:rPr>
                <w:sz w:val="17"/>
              </w:rPr>
            </w:r>
            <w:r>
              <w:rPr>
                <w:sz w:val="17"/>
              </w:rPr>
              <w:t>Bon</w:t>
            </w:r>
          </w:p>
        </w:tc>
        <w:tc>
          <w:tcPr>
            <w:tcW w:type="dxa" w:w="4213"/>
            <w:shd w:val="clear" w:fill="F2F5F8"/>
          </w:tcPr>
          <w:p>
            <w:pPr>
              <w:spacing w:after="40" w:before="40"/>
            </w:pPr>
            <w:r>
              <w:rPr>
                <w:sz w:val="17"/>
              </w:rPr>
            </w:r>
            <w:r>
              <w:rPr>
                <w:sz w:val="17"/>
              </w:rPr>
              <w:t>Favorable avec conditions usuelles</w:t>
            </w:r>
          </w:p>
        </w:tc>
      </w:tr>
      <w:tr>
        <w:tc>
          <w:tcPr>
            <w:tcW w:type="dxa" w:w="1330"/>
          </w:tcPr>
          <w:p>
            <w:pPr>
              <w:spacing w:after="40" w:before="40"/>
            </w:pPr>
            <w:r>
              <w:rPr>
                <w:sz w:val="17"/>
              </w:rPr>
            </w:r>
            <w:r>
              <w:rPr>
                <w:sz w:val="17"/>
              </w:rPr>
              <w:t>G5</w:t>
            </w:r>
          </w:p>
        </w:tc>
        <w:tc>
          <w:tcPr>
            <w:tcW w:type="dxa" w:w="2291"/>
          </w:tcPr>
          <w:p>
            <w:pPr>
              <w:spacing w:after="40" w:before="40"/>
            </w:pPr>
            <w:r>
              <w:rPr>
                <w:sz w:val="17"/>
              </w:rPr>
            </w:r>
            <w:r>
              <w:rPr>
                <w:sz w:val="17"/>
              </w:rPr>
              <w:t>[70 ; 75[</w:t>
            </w:r>
          </w:p>
        </w:tc>
        <w:tc>
          <w:tcPr>
            <w:tcW w:type="dxa" w:w="1626"/>
          </w:tcPr>
          <w:p>
            <w:pPr>
              <w:spacing w:after="40" w:before="40"/>
            </w:pPr>
            <w:r>
              <w:rPr>
                <w:sz w:val="17"/>
              </w:rPr>
            </w:r>
            <w:r>
              <w:rPr>
                <w:sz w:val="17"/>
              </w:rPr>
              <w:t>Satisfaisant</w:t>
            </w:r>
          </w:p>
        </w:tc>
        <w:tc>
          <w:tcPr>
            <w:tcW w:type="dxa" w:w="4213"/>
          </w:tcPr>
          <w:p>
            <w:pPr>
              <w:spacing w:after="40" w:before="40"/>
            </w:pPr>
            <w:r>
              <w:rPr>
                <w:sz w:val="17"/>
              </w:rPr>
            </w:r>
            <w:r>
              <w:rPr>
                <w:sz w:val="17"/>
              </w:rPr>
              <w:t>Analyse normale / conditions selon produit</w:t>
            </w:r>
          </w:p>
        </w:tc>
      </w:tr>
      <w:tr>
        <w:tc>
          <w:tcPr>
            <w:tcW w:type="dxa" w:w="1330"/>
            <w:shd w:val="clear" w:fill="F2F5F8"/>
          </w:tcPr>
          <w:p>
            <w:pPr>
              <w:spacing w:after="40" w:before="40"/>
            </w:pPr>
            <w:r>
              <w:rPr>
                <w:sz w:val="17"/>
              </w:rPr>
            </w:r>
            <w:r>
              <w:rPr>
                <w:sz w:val="17"/>
              </w:rPr>
              <w:t>G6</w:t>
            </w:r>
          </w:p>
        </w:tc>
        <w:tc>
          <w:tcPr>
            <w:tcW w:type="dxa" w:w="2291"/>
            <w:shd w:val="clear" w:fill="F2F5F8"/>
          </w:tcPr>
          <w:p>
            <w:pPr>
              <w:spacing w:after="40" w:before="40"/>
            </w:pPr>
            <w:r>
              <w:rPr>
                <w:sz w:val="17"/>
              </w:rPr>
            </w:r>
            <w:r>
              <w:rPr>
                <w:sz w:val="17"/>
              </w:rPr>
              <w:t>[65 ; 70[</w:t>
            </w:r>
          </w:p>
        </w:tc>
        <w:tc>
          <w:tcPr>
            <w:tcW w:type="dxa" w:w="1626"/>
            <w:shd w:val="clear" w:fill="F2F5F8"/>
          </w:tcPr>
          <w:p>
            <w:pPr>
              <w:spacing w:after="40" w:before="40"/>
            </w:pPr>
            <w:r>
              <w:rPr>
                <w:sz w:val="17"/>
              </w:rPr>
            </w:r>
            <w:r>
              <w:rPr>
                <w:sz w:val="17"/>
              </w:rPr>
              <w:t>Acceptable</w:t>
            </w:r>
          </w:p>
        </w:tc>
        <w:tc>
          <w:tcPr>
            <w:tcW w:type="dxa" w:w="4213"/>
            <w:shd w:val="clear" w:fill="F2F5F8"/>
          </w:tcPr>
          <w:p>
            <w:pPr>
              <w:spacing w:after="40" w:before="40"/>
            </w:pPr>
            <w:r>
              <w:rPr>
                <w:sz w:val="17"/>
              </w:rPr>
            </w:r>
            <w:r>
              <w:rPr>
                <w:sz w:val="17"/>
              </w:rPr>
              <w:t>Conditions renforcées et suivi</w:t>
            </w:r>
          </w:p>
        </w:tc>
      </w:tr>
      <w:tr>
        <w:tc>
          <w:tcPr>
            <w:tcW w:type="dxa" w:w="1330"/>
          </w:tcPr>
          <w:p>
            <w:pPr>
              <w:spacing w:after="40" w:before="40"/>
            </w:pPr>
            <w:r>
              <w:rPr>
                <w:sz w:val="17"/>
              </w:rPr>
            </w:r>
            <w:r>
              <w:rPr>
                <w:sz w:val="17"/>
              </w:rPr>
              <w:t>G7</w:t>
            </w:r>
          </w:p>
        </w:tc>
        <w:tc>
          <w:tcPr>
            <w:tcW w:type="dxa" w:w="2291"/>
          </w:tcPr>
          <w:p>
            <w:pPr>
              <w:spacing w:after="40" w:before="40"/>
            </w:pPr>
            <w:r>
              <w:rPr>
                <w:sz w:val="17"/>
              </w:rPr>
            </w:r>
            <w:r>
              <w:rPr>
                <w:sz w:val="17"/>
              </w:rPr>
              <w:t>[60 ; 65[</w:t>
            </w:r>
          </w:p>
        </w:tc>
        <w:tc>
          <w:tcPr>
            <w:tcW w:type="dxa" w:w="1626"/>
          </w:tcPr>
          <w:p>
            <w:pPr>
              <w:spacing w:after="40" w:before="40"/>
            </w:pPr>
            <w:r>
              <w:rPr>
                <w:sz w:val="17"/>
              </w:rPr>
            </w:r>
            <w:r>
              <w:rPr>
                <w:sz w:val="17"/>
              </w:rPr>
              <w:t>Fragile</w:t>
            </w:r>
          </w:p>
        </w:tc>
        <w:tc>
          <w:tcPr>
            <w:tcW w:type="dxa" w:w="4213"/>
          </w:tcPr>
          <w:p>
            <w:pPr>
              <w:spacing w:after="40" w:before="40"/>
            </w:pPr>
            <w:r>
              <w:rPr>
                <w:sz w:val="17"/>
              </w:rPr>
            </w:r>
            <w:r>
              <w:rPr>
                <w:sz w:val="17"/>
              </w:rPr>
              <w:t>Comité / revue renforcée, watchlist possible</w:t>
            </w:r>
          </w:p>
        </w:tc>
      </w:tr>
      <w:tr>
        <w:tc>
          <w:tcPr>
            <w:tcW w:type="dxa" w:w="1330"/>
            <w:shd w:val="clear" w:fill="F2F5F8"/>
          </w:tcPr>
          <w:p>
            <w:pPr>
              <w:spacing w:after="40" w:before="40"/>
            </w:pPr>
            <w:r>
              <w:rPr>
                <w:sz w:val="17"/>
              </w:rPr>
            </w:r>
            <w:r>
              <w:rPr>
                <w:sz w:val="17"/>
              </w:rPr>
              <w:t>G8</w:t>
            </w:r>
          </w:p>
        </w:tc>
        <w:tc>
          <w:tcPr>
            <w:tcW w:type="dxa" w:w="2291"/>
            <w:shd w:val="clear" w:fill="F2F5F8"/>
          </w:tcPr>
          <w:p>
            <w:pPr>
              <w:spacing w:after="40" w:before="40"/>
            </w:pPr>
            <w:r>
              <w:rPr>
                <w:sz w:val="17"/>
              </w:rPr>
            </w:r>
            <w:r>
              <w:rPr>
                <w:sz w:val="17"/>
              </w:rPr>
              <w:t>[55 ; 60[</w:t>
            </w:r>
          </w:p>
        </w:tc>
        <w:tc>
          <w:tcPr>
            <w:tcW w:type="dxa" w:w="1626"/>
            <w:shd w:val="clear" w:fill="F2F5F8"/>
          </w:tcPr>
          <w:p>
            <w:pPr>
              <w:spacing w:after="40" w:before="40"/>
            </w:pPr>
            <w:r>
              <w:rPr>
                <w:sz w:val="17"/>
              </w:rPr>
            </w:r>
            <w:r>
              <w:rPr>
                <w:sz w:val="17"/>
              </w:rPr>
              <w:t>Faible</w:t>
            </w:r>
          </w:p>
        </w:tc>
        <w:tc>
          <w:tcPr>
            <w:tcW w:type="dxa" w:w="4213"/>
            <w:shd w:val="clear" w:fill="F2F5F8"/>
          </w:tcPr>
          <w:p>
            <w:pPr>
              <w:spacing w:after="40" w:before="40"/>
            </w:pPr>
            <w:r>
              <w:rPr>
                <w:sz w:val="17"/>
              </w:rPr>
            </w:r>
            <w:r>
              <w:rPr>
                <w:sz w:val="17"/>
              </w:rPr>
              <w:t>Exception très encadrée ou réduction du risque</w:t>
            </w:r>
          </w:p>
        </w:tc>
      </w:tr>
      <w:tr>
        <w:tc>
          <w:tcPr>
            <w:tcW w:type="dxa" w:w="1330"/>
          </w:tcPr>
          <w:p>
            <w:pPr>
              <w:spacing w:after="40" w:before="40"/>
            </w:pPr>
            <w:r>
              <w:rPr>
                <w:sz w:val="17"/>
              </w:rPr>
            </w:r>
            <w:r>
              <w:rPr>
                <w:sz w:val="17"/>
              </w:rPr>
              <w:t>G9</w:t>
            </w:r>
          </w:p>
        </w:tc>
        <w:tc>
          <w:tcPr>
            <w:tcW w:type="dxa" w:w="2291"/>
          </w:tcPr>
          <w:p>
            <w:pPr>
              <w:spacing w:after="40" w:before="40"/>
            </w:pPr>
            <w:r>
              <w:rPr>
                <w:sz w:val="17"/>
              </w:rPr>
            </w:r>
            <w:r>
              <w:rPr>
                <w:sz w:val="17"/>
              </w:rPr>
              <w:t>[45 ; 55[</w:t>
            </w:r>
          </w:p>
        </w:tc>
        <w:tc>
          <w:tcPr>
            <w:tcW w:type="dxa" w:w="1626"/>
          </w:tcPr>
          <w:p>
            <w:pPr>
              <w:spacing w:after="40" w:before="40"/>
            </w:pPr>
            <w:r>
              <w:rPr>
                <w:sz w:val="17"/>
              </w:rPr>
            </w:r>
            <w:r>
              <w:rPr>
                <w:sz w:val="17"/>
              </w:rPr>
              <w:t>Très faible</w:t>
            </w:r>
          </w:p>
        </w:tc>
        <w:tc>
          <w:tcPr>
            <w:tcW w:type="dxa" w:w="4213"/>
          </w:tcPr>
          <w:p>
            <w:pPr>
              <w:spacing w:after="40" w:before="40"/>
            </w:pPr>
            <w:r>
              <w:rPr>
                <w:sz w:val="17"/>
              </w:rPr>
            </w:r>
            <w:r>
              <w:rPr>
                <w:sz w:val="17"/>
              </w:rPr>
              <w:t>Généralement défavorable, stratégie de réduction</w:t>
            </w:r>
          </w:p>
        </w:tc>
      </w:tr>
      <w:tr>
        <w:tc>
          <w:tcPr>
            <w:tcW w:type="dxa" w:w="1330"/>
            <w:shd w:val="clear" w:fill="F2F5F8"/>
          </w:tcPr>
          <w:p>
            <w:pPr>
              <w:spacing w:after="40" w:before="40"/>
            </w:pPr>
            <w:r>
              <w:rPr>
                <w:sz w:val="17"/>
              </w:rPr>
            </w:r>
            <w:r>
              <w:rPr>
                <w:sz w:val="17"/>
              </w:rPr>
              <w:t>G10</w:t>
            </w:r>
          </w:p>
        </w:tc>
        <w:tc>
          <w:tcPr>
            <w:tcW w:type="dxa" w:w="2291"/>
            <w:shd w:val="clear" w:fill="F2F5F8"/>
          </w:tcPr>
          <w:p>
            <w:pPr>
              <w:spacing w:after="40" w:before="40"/>
            </w:pPr>
            <w:r>
              <w:rPr>
                <w:sz w:val="17"/>
              </w:rPr>
            </w:r>
            <w:r>
              <w:rPr>
                <w:sz w:val="17"/>
              </w:rPr>
              <w:t>&lt; 45</w:t>
            </w:r>
          </w:p>
        </w:tc>
        <w:tc>
          <w:tcPr>
            <w:tcW w:type="dxa" w:w="1626"/>
            <w:shd w:val="clear" w:fill="F2F5F8"/>
          </w:tcPr>
          <w:p>
            <w:pPr>
              <w:spacing w:after="40" w:before="40"/>
            </w:pPr>
            <w:r>
              <w:rPr>
                <w:sz w:val="17"/>
              </w:rPr>
            </w:r>
            <w:r>
              <w:rPr>
                <w:sz w:val="17"/>
              </w:rPr>
              <w:t>Risque très élevé</w:t>
            </w:r>
          </w:p>
        </w:tc>
        <w:tc>
          <w:tcPr>
            <w:tcW w:type="dxa" w:w="4213"/>
            <w:shd w:val="clear" w:fill="F2F5F8"/>
          </w:tcPr>
          <w:p>
            <w:pPr>
              <w:spacing w:after="40" w:before="40"/>
            </w:pPr>
            <w:r>
              <w:rPr>
                <w:sz w:val="17"/>
              </w:rPr>
            </w:r>
            <w:r>
              <w:rPr>
                <w:sz w:val="17"/>
              </w:rPr>
              <w:t>Défavorable sauf décision exceptionnelle formelle</w:t>
            </w:r>
          </w:p>
        </w:tc>
      </w:tr>
      <w:tr>
        <w:tc>
          <w:tcPr>
            <w:tcW w:type="dxa" w:w="1330"/>
          </w:tcPr>
          <w:p>
            <w:pPr>
              <w:spacing w:after="40" w:before="40"/>
            </w:pPr>
            <w:r>
              <w:rPr>
                <w:sz w:val="17"/>
              </w:rPr>
            </w:r>
            <w:r>
              <w:rPr>
                <w:sz w:val="17"/>
              </w:rPr>
              <w:t>DEF1 · DEF2 · DEF3</w:t>
            </w:r>
          </w:p>
        </w:tc>
        <w:tc>
          <w:tcPr>
            <w:tcW w:type="dxa" w:w="2291"/>
          </w:tcPr>
          <w:p>
            <w:pPr>
              <w:spacing w:after="40" w:before="40"/>
            </w:pPr>
            <w:r>
              <w:rPr>
                <w:sz w:val="17"/>
              </w:rPr>
            </w:r>
            <w:r>
              <w:rPr>
                <w:sz w:val="17"/>
              </w:rPr>
              <w:t>définition de défaut déclenchée</w:t>
            </w:r>
          </w:p>
        </w:tc>
        <w:tc>
          <w:tcPr>
            <w:tcW w:type="dxa" w:w="1626"/>
          </w:tcPr>
          <w:p>
            <w:pPr>
              <w:spacing w:after="40" w:before="40"/>
            </w:pPr>
            <w:r>
              <w:rPr>
                <w:sz w:val="17"/>
              </w:rPr>
            </w:r>
            <w:r>
              <w:rPr>
                <w:sz w:val="17"/>
              </w:rPr>
              <w:t>Grades défaut internes</w:t>
            </w:r>
          </w:p>
        </w:tc>
        <w:tc>
          <w:tcPr>
            <w:tcW w:type="dxa" w:w="4213"/>
          </w:tcPr>
          <w:p>
            <w:pPr>
              <w:spacing w:after="40" w:before="40"/>
            </w:pPr>
            <w:r>
              <w:rPr>
                <w:sz w:val="17"/>
              </w:rPr>
            </w:r>
            <w:r>
              <w:rPr>
                <w:sz w:val="17"/>
              </w:rPr>
              <w:t>Recouvrement et classification par les dispositifs dédiés</w:t>
            </w:r>
          </w:p>
        </w:tc>
      </w:tr>
    </w:tbl>
    <w:p>
      <w:pPr>
        <w:spacing w:after="80"/>
      </w:pPr>
    </w:p>
    <w:p>
      <w:pPr>
        <w:pStyle w:val="Heading3"/>
      </w:pPr>
      <w:r>
        <w:t>Caps structurels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562"/>
            <w:shd w:val="clear" w:fill="0F3D63"/>
          </w:tcPr>
          <w:p>
            <w:pPr>
              <w:spacing w:after="40" w:before="40"/>
            </w:pPr>
            <w:r>
              <w:rPr>
                <w:color w:val="FFFFFF"/>
                <w:sz w:val="17"/>
              </w:rPr>
            </w:r>
            <w:r>
              <w:rPr>
                <w:b/>
                <w:color w:val="FFFFFF"/>
                <w:sz w:val="17"/>
              </w:rPr>
              <w:t>Code</w:t>
            </w:r>
          </w:p>
        </w:tc>
        <w:tc>
          <w:tcPr>
            <w:tcW w:type="dxa" w:w="5620"/>
            <w:shd w:val="clear" w:fill="0F3D63"/>
          </w:tcPr>
          <w:p>
            <w:pPr>
              <w:spacing w:after="40" w:before="40"/>
            </w:pPr>
            <w:r>
              <w:rPr>
                <w:color w:val="FFFFFF"/>
                <w:sz w:val="17"/>
              </w:rPr>
            </w:r>
            <w:r>
              <w:rPr>
                <w:b/>
                <w:color w:val="FFFFFF"/>
                <w:sz w:val="17"/>
              </w:rPr>
              <w:t>Situation</w:t>
            </w:r>
          </w:p>
        </w:tc>
        <w:tc>
          <w:tcPr>
            <w:tcW w:type="dxa" w:w="1592"/>
            <w:shd w:val="clear" w:fill="0F3D63"/>
          </w:tcPr>
          <w:p>
            <w:pPr>
              <w:spacing w:after="40" w:before="40"/>
            </w:pPr>
            <w:r>
              <w:rPr>
                <w:color w:val="FFFFFF"/>
                <w:sz w:val="17"/>
              </w:rPr>
            </w:r>
            <w:r>
              <w:rPr>
                <w:b/>
                <w:color w:val="FFFFFF"/>
                <w:sz w:val="17"/>
              </w:rPr>
              <w:t>Plafond de grade</w:t>
            </w:r>
          </w:p>
        </w:tc>
        <w:tc>
          <w:tcPr>
            <w:tcW w:type="dxa" w:w="1686"/>
            <w:shd w:val="clear" w:fill="0F3D63"/>
          </w:tcPr>
          <w:p>
            <w:pPr>
              <w:spacing w:after="40" w:before="40"/>
            </w:pPr>
            <w:r>
              <w:rPr>
                <w:color w:val="FFFFFF"/>
                <w:sz w:val="17"/>
              </w:rPr>
            </w:r>
            <w:r>
              <w:rPr>
                <w:b/>
                <w:color w:val="FFFFFF"/>
                <w:sz w:val="17"/>
              </w:rPr>
              <w:t>Source de la règle</w:t>
            </w:r>
          </w:p>
        </w:tc>
      </w:tr>
      <w:tr>
        <w:tc>
          <w:tcPr>
            <w:tcW w:type="dxa" w:w="562"/>
          </w:tcPr>
          <w:p>
            <w:pPr>
              <w:spacing w:after="40" w:before="40"/>
            </w:pPr>
            <w:r>
              <w:rPr>
                <w:sz w:val="17"/>
              </w:rPr>
            </w:r>
            <w:r>
              <w:rPr>
                <w:sz w:val="17"/>
              </w:rPr>
              <w:t>CAP01</w:t>
            </w:r>
          </w:p>
        </w:tc>
        <w:tc>
          <w:tcPr>
            <w:tcW w:type="dxa" w:w="5620"/>
          </w:tcPr>
          <w:p>
            <w:pPr>
              <w:spacing w:after="40" w:before="40"/>
            </w:pPr>
            <w:r>
              <w:rPr>
                <w:sz w:val="17"/>
              </w:rPr>
            </w:r>
            <w:r>
              <w:rPr>
                <w:sz w:val="17"/>
              </w:rPr>
              <w:t>Entreprise de moins de 2 ans, hors support groupe juridiquement robuste</w:t>
            </w:r>
          </w:p>
        </w:tc>
        <w:tc>
          <w:tcPr>
            <w:tcW w:type="dxa" w:w="1592"/>
          </w:tcPr>
          <w:p>
            <w:pPr>
              <w:spacing w:after="40" w:before="40"/>
            </w:pPr>
            <w:r>
              <w:rPr>
                <w:sz w:val="17"/>
              </w:rPr>
            </w:r>
            <w:r>
              <w:rPr>
                <w:sz w:val="17"/>
              </w:rPr>
              <w:t>pas mieux que G7</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CAP03</w:t>
            </w:r>
          </w:p>
        </w:tc>
        <w:tc>
          <w:tcPr>
            <w:tcW w:type="dxa" w:w="5620"/>
            <w:shd w:val="clear" w:fill="F2F5F8"/>
          </w:tcPr>
          <w:p>
            <w:pPr>
              <w:spacing w:after="40" w:before="40"/>
            </w:pPr>
            <w:r>
              <w:rPr>
                <w:sz w:val="17"/>
              </w:rPr>
            </w:r>
            <w:r>
              <w:rPr>
                <w:sz w:val="17"/>
              </w:rPr>
              <w:t>Incertitude matérielle sur la continuité d'exploitation</w:t>
            </w:r>
          </w:p>
        </w:tc>
        <w:tc>
          <w:tcPr>
            <w:tcW w:type="dxa" w:w="1592"/>
            <w:shd w:val="clear" w:fill="F2F5F8"/>
          </w:tcPr>
          <w:p>
            <w:pPr>
              <w:spacing w:after="40" w:before="40"/>
            </w:pPr>
            <w:r>
              <w:rPr>
                <w:sz w:val="17"/>
              </w:rPr>
            </w:r>
            <w:r>
              <w:rPr>
                <w:sz w:val="17"/>
              </w:rPr>
              <w:t>pas mieux que G9</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CAP04</w:t>
            </w:r>
          </w:p>
        </w:tc>
        <w:tc>
          <w:tcPr>
            <w:tcW w:type="dxa" w:w="5620"/>
          </w:tcPr>
          <w:p>
            <w:pPr>
              <w:spacing w:after="40" w:before="40"/>
            </w:pPr>
            <w:r>
              <w:rPr>
                <w:sz w:val="17"/>
              </w:rPr>
            </w:r>
            <w:r>
              <w:rPr>
                <w:sz w:val="17"/>
              </w:rPr>
              <w:t>Comptes annuels trop anciens (au-delà du maximum segment)</w:t>
            </w:r>
          </w:p>
        </w:tc>
        <w:tc>
          <w:tcPr>
            <w:tcW w:type="dxa" w:w="1592"/>
          </w:tcPr>
          <w:p>
            <w:pPr>
              <w:spacing w:after="40" w:before="40"/>
            </w:pPr>
            <w:r>
              <w:rPr>
                <w:sz w:val="17"/>
              </w:rPr>
            </w:r>
            <w:r>
              <w:rPr>
                <w:sz w:val="17"/>
              </w:rPr>
              <w:t>aucun grade final</w:t>
            </w:r>
          </w:p>
        </w:tc>
        <w:tc>
          <w:tcPr>
            <w:tcW w:type="dxa" w:w="1686"/>
          </w:tcPr>
          <w:p>
            <w:pPr>
              <w:spacing w:after="40" w:before="40"/>
            </w:pPr>
            <w:r>
              <w:rPr>
                <w:sz w:val="17"/>
              </w:rPr>
            </w:r>
            <w:r>
              <w:rPr>
                <w:sz w:val="17"/>
              </w:rPr>
              <w:t>CREDIT_POLICY</w:t>
            </w:r>
          </w:p>
        </w:tc>
      </w:tr>
      <w:tr>
        <w:tc>
          <w:tcPr>
            <w:tcW w:type="dxa" w:w="562"/>
            <w:shd w:val="clear" w:fill="F2F5F8"/>
          </w:tcPr>
          <w:p>
            <w:pPr>
              <w:spacing w:after="40" w:before="40"/>
            </w:pPr>
            <w:r>
              <w:rPr>
                <w:sz w:val="17"/>
              </w:rPr>
            </w:r>
            <w:r>
              <w:rPr>
                <w:sz w:val="17"/>
              </w:rPr>
              <w:t>CAP09</w:t>
            </w:r>
          </w:p>
        </w:tc>
        <w:tc>
          <w:tcPr>
            <w:tcW w:type="dxa" w:w="5620"/>
            <w:shd w:val="clear" w:fill="F2F5F8"/>
          </w:tcPr>
          <w:p>
            <w:pPr>
              <w:spacing w:after="40" w:before="40"/>
            </w:pPr>
            <w:r>
              <w:rPr>
                <w:sz w:val="17"/>
              </w:rPr>
            </w:r>
            <w:r>
              <w:rPr>
                <w:sz w:val="17"/>
              </w:rPr>
              <w:t>Restructuration active / forbearance</w:t>
            </w:r>
          </w:p>
        </w:tc>
        <w:tc>
          <w:tcPr>
            <w:tcW w:type="dxa" w:w="1592"/>
            <w:shd w:val="clear" w:fill="F2F5F8"/>
          </w:tcPr>
          <w:p>
            <w:pPr>
              <w:spacing w:after="40" w:before="40"/>
            </w:pPr>
            <w:r>
              <w:rPr>
                <w:sz w:val="17"/>
              </w:rPr>
            </w:r>
            <w:r>
              <w:rPr>
                <w:sz w:val="17"/>
              </w:rPr>
              <w:t>pas mieux que G8</w:t>
            </w:r>
          </w:p>
        </w:tc>
        <w:tc>
          <w:tcPr>
            <w:tcW w:type="dxa" w:w="1686"/>
            <w:shd w:val="clear" w:fill="F2F5F8"/>
          </w:tcPr>
          <w:p>
            <w:pPr>
              <w:spacing w:after="40" w:before="40"/>
            </w:pPr>
            <w:r>
              <w:rPr>
                <w:sz w:val="17"/>
              </w:rPr>
            </w:r>
            <w:r>
              <w:rPr>
                <w:sz w:val="17"/>
              </w:rPr>
              <w:t>CREDIT_POLICY</w:t>
            </w:r>
          </w:p>
        </w:tc>
      </w:tr>
      <w:tr>
        <w:tc>
          <w:tcPr>
            <w:tcW w:type="dxa" w:w="562"/>
          </w:tcPr>
          <w:p>
            <w:pPr>
              <w:spacing w:after="40" w:before="40"/>
            </w:pPr>
            <w:r>
              <w:rPr>
                <w:sz w:val="17"/>
              </w:rPr>
            </w:r>
            <w:r>
              <w:rPr>
                <w:sz w:val="17"/>
              </w:rPr>
              <w:t>CAP10</w:t>
            </w:r>
          </w:p>
        </w:tc>
        <w:tc>
          <w:tcPr>
            <w:tcW w:type="dxa" w:w="5620"/>
          </w:tcPr>
          <w:p>
            <w:pPr>
              <w:spacing w:after="40" w:before="40"/>
            </w:pPr>
            <w:r>
              <w:rPr>
                <w:sz w:val="17"/>
              </w:rPr>
            </w:r>
            <w:r>
              <w:rPr>
                <w:sz w:val="17"/>
              </w:rPr>
              <w:t>Dossier groupe incomplet alors que le groupe est matériel</w:t>
            </w:r>
          </w:p>
        </w:tc>
        <w:tc>
          <w:tcPr>
            <w:tcW w:type="dxa" w:w="1592"/>
          </w:tcPr>
          <w:p>
            <w:pPr>
              <w:spacing w:after="40" w:before="40"/>
            </w:pPr>
            <w:r>
              <w:rPr>
                <w:sz w:val="17"/>
              </w:rPr>
            </w:r>
            <w:r>
              <w:rPr>
                <w:sz w:val="17"/>
              </w:rPr>
              <w:t>pas mieux que G7</w:t>
            </w:r>
          </w:p>
        </w:tc>
        <w:tc>
          <w:tcPr>
            <w:tcW w:type="dxa" w:w="1686"/>
          </w:tcPr>
          <w:p>
            <w:pPr>
              <w:spacing w:after="40" w:before="40"/>
            </w:pPr>
            <w:r>
              <w:rPr>
                <w:sz w:val="17"/>
              </w:rPr>
            </w:r>
            <w:r>
              <w:rPr>
                <w:sz w:val="17"/>
              </w:rPr>
              <w:t>CREDIT_POLICY</w:t>
            </w:r>
          </w:p>
        </w:tc>
      </w:tr>
    </w:tbl>
    <w:p>
      <w:pPr>
        <w:spacing w:after="80"/>
      </w:pPr>
    </w:p>
    <w:p>
      <w:pPr>
        <w:pStyle w:val="Heading3"/>
      </w:pPr>
      <w:r>
        <w:t>Niveau de confiance et conséquence sur le grade</w:t>
      </w:r>
    </w:p>
    <w:p>
      <w:r>
        <w:t>Confiance = 35 % complétude + 20 % fraîcheur + 30 % fiabilité + 15 % provenance.</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1913"/>
            <w:shd w:val="clear" w:fill="0F3D63"/>
          </w:tcPr>
          <w:p>
            <w:pPr>
              <w:spacing w:after="40" w:before="40"/>
            </w:pPr>
            <w:r>
              <w:rPr>
                <w:color w:val="FFFFFF"/>
                <w:sz w:val="17"/>
              </w:rPr>
            </w:r>
            <w:r>
              <w:rPr>
                <w:b/>
                <w:color w:val="FFFFFF"/>
                <w:sz w:val="17"/>
              </w:rPr>
              <w:t>Score de confiance</w:t>
            </w:r>
          </w:p>
        </w:tc>
        <w:tc>
          <w:tcPr>
            <w:tcW w:type="dxa" w:w="1169"/>
            <w:shd w:val="clear" w:fill="0F3D63"/>
          </w:tcPr>
          <w:p>
            <w:pPr>
              <w:spacing w:after="40" w:before="40"/>
            </w:pPr>
            <w:r>
              <w:rPr>
                <w:color w:val="FFFFFF"/>
                <w:sz w:val="17"/>
              </w:rPr>
            </w:r>
            <w:r>
              <w:rPr>
                <w:b/>
                <w:color w:val="FFFFFF"/>
                <w:sz w:val="17"/>
              </w:rPr>
              <w:t>Niveau</w:t>
            </w:r>
          </w:p>
        </w:tc>
        <w:tc>
          <w:tcPr>
            <w:tcW w:type="dxa" w:w="6378"/>
            <w:shd w:val="clear" w:fill="0F3D63"/>
          </w:tcPr>
          <w:p>
            <w:pPr>
              <w:spacing w:after="40" w:before="40"/>
            </w:pPr>
            <w:r>
              <w:rPr>
                <w:color w:val="FFFFFF"/>
                <w:sz w:val="17"/>
              </w:rPr>
            </w:r>
            <w:r>
              <w:rPr>
                <w:b/>
                <w:color w:val="FFFFFF"/>
                <w:sz w:val="17"/>
              </w:rPr>
              <w:t>Conséquence</w:t>
            </w:r>
          </w:p>
        </w:tc>
      </w:tr>
      <w:tr>
        <w:tc>
          <w:tcPr>
            <w:tcW w:type="dxa" w:w="1913"/>
          </w:tcPr>
          <w:p>
            <w:pPr>
              <w:spacing w:after="40" w:before="40"/>
            </w:pPr>
            <w:r>
              <w:rPr>
                <w:sz w:val="17"/>
              </w:rPr>
            </w:r>
            <w:r>
              <w:rPr>
                <w:sz w:val="17"/>
              </w:rPr>
              <w:t>≥ 85</w:t>
            </w:r>
          </w:p>
        </w:tc>
        <w:tc>
          <w:tcPr>
            <w:tcW w:type="dxa" w:w="1169"/>
          </w:tcPr>
          <w:p>
            <w:pPr>
              <w:spacing w:after="40" w:before="40"/>
            </w:pPr>
            <w:r>
              <w:rPr>
                <w:sz w:val="17"/>
              </w:rPr>
            </w:r>
            <w:r>
              <w:rPr>
                <w:sz w:val="17"/>
              </w:rPr>
              <w:t>Élevé</w:t>
            </w:r>
          </w:p>
        </w:tc>
        <w:tc>
          <w:tcPr>
            <w:tcW w:type="dxa" w:w="6378"/>
          </w:tcPr>
          <w:p>
            <w:pPr>
              <w:spacing w:after="40" w:before="40"/>
            </w:pPr>
            <w:r>
              <w:rPr>
                <w:sz w:val="17"/>
              </w:rPr>
            </w:r>
            <w:r>
              <w:rPr>
                <w:sz w:val="17"/>
              </w:rPr>
              <w:t>aucun cap lié à la qualité des données</w:t>
            </w:r>
          </w:p>
        </w:tc>
      </w:tr>
      <w:tr>
        <w:tc>
          <w:tcPr>
            <w:tcW w:type="dxa" w:w="1913"/>
            <w:shd w:val="clear" w:fill="F2F5F8"/>
          </w:tcPr>
          <w:p>
            <w:pPr>
              <w:spacing w:after="40" w:before="40"/>
            </w:pPr>
            <w:r>
              <w:rPr>
                <w:sz w:val="17"/>
              </w:rPr>
            </w:r>
            <w:r>
              <w:rPr>
                <w:sz w:val="17"/>
              </w:rPr>
              <w:t>[70 ; 85[</w:t>
            </w:r>
          </w:p>
        </w:tc>
        <w:tc>
          <w:tcPr>
            <w:tcW w:type="dxa" w:w="1169"/>
            <w:shd w:val="clear" w:fill="F2F5F8"/>
          </w:tcPr>
          <w:p>
            <w:pPr>
              <w:spacing w:after="40" w:before="40"/>
            </w:pPr>
            <w:r>
              <w:rPr>
                <w:sz w:val="17"/>
              </w:rPr>
            </w:r>
            <w:r>
              <w:rPr>
                <w:sz w:val="17"/>
              </w:rPr>
              <w:t>Moyen</w:t>
            </w:r>
          </w:p>
        </w:tc>
        <w:tc>
          <w:tcPr>
            <w:tcW w:type="dxa" w:w="6378"/>
            <w:shd w:val="clear" w:fill="F2F5F8"/>
          </w:tcPr>
          <w:p>
            <w:pPr>
              <w:spacing w:after="40" w:before="40"/>
            </w:pPr>
            <w:r>
              <w:rPr>
                <w:sz w:val="17"/>
              </w:rPr>
            </w:r>
            <w:r>
              <w:rPr>
                <w:sz w:val="17"/>
              </w:rPr>
              <w:t>le grade final ne peut être meilleur que G4</w:t>
            </w:r>
          </w:p>
        </w:tc>
      </w:tr>
      <w:tr>
        <w:tc>
          <w:tcPr>
            <w:tcW w:type="dxa" w:w="1913"/>
          </w:tcPr>
          <w:p>
            <w:pPr>
              <w:spacing w:after="40" w:before="40"/>
            </w:pPr>
            <w:r>
              <w:rPr>
                <w:sz w:val="17"/>
              </w:rPr>
            </w:r>
            <w:r>
              <w:rPr>
                <w:sz w:val="17"/>
              </w:rPr>
              <w:t>[55 ; 70[</w:t>
            </w:r>
          </w:p>
        </w:tc>
        <w:tc>
          <w:tcPr>
            <w:tcW w:type="dxa" w:w="1169"/>
          </w:tcPr>
          <w:p>
            <w:pPr>
              <w:spacing w:after="40" w:before="40"/>
            </w:pPr>
            <w:r>
              <w:rPr>
                <w:sz w:val="17"/>
              </w:rPr>
            </w:r>
            <w:r>
              <w:rPr>
                <w:sz w:val="17"/>
              </w:rPr>
              <w:t>Faible</w:t>
            </w:r>
          </w:p>
        </w:tc>
        <w:tc>
          <w:tcPr>
            <w:tcW w:type="dxa" w:w="6378"/>
          </w:tcPr>
          <w:p>
            <w:pPr>
              <w:spacing w:after="40" w:before="40"/>
            </w:pPr>
            <w:r>
              <w:rPr>
                <w:sz w:val="17"/>
              </w:rPr>
            </w:r>
            <w:r>
              <w:rPr>
                <w:sz w:val="17"/>
              </w:rPr>
              <w:t>le grade final ne peut être meilleur que G7</w:t>
            </w:r>
          </w:p>
        </w:tc>
      </w:tr>
      <w:tr>
        <w:tc>
          <w:tcPr>
            <w:tcW w:type="dxa" w:w="1913"/>
            <w:shd w:val="clear" w:fill="F2F5F8"/>
          </w:tcPr>
          <w:p>
            <w:pPr>
              <w:spacing w:after="40" w:before="40"/>
            </w:pPr>
            <w:r>
              <w:rPr>
                <w:sz w:val="17"/>
              </w:rPr>
            </w:r>
            <w:r>
              <w:rPr>
                <w:sz w:val="17"/>
              </w:rPr>
              <w:t>[0 ; 55[</w:t>
            </w:r>
          </w:p>
        </w:tc>
        <w:tc>
          <w:tcPr>
            <w:tcW w:type="dxa" w:w="1169"/>
            <w:shd w:val="clear" w:fill="F2F5F8"/>
          </w:tcPr>
          <w:p>
            <w:pPr>
              <w:spacing w:after="40" w:before="40"/>
            </w:pPr>
            <w:r>
              <w:rPr>
                <w:sz w:val="17"/>
              </w:rPr>
            </w:r>
            <w:r>
              <w:rPr>
                <w:sz w:val="17"/>
              </w:rPr>
              <w:t>Insuffisant</w:t>
            </w:r>
          </w:p>
        </w:tc>
        <w:tc>
          <w:tcPr>
            <w:tcW w:type="dxa" w:w="6378"/>
            <w:shd w:val="clear" w:fill="F2F5F8"/>
          </w:tcPr>
          <w:p>
            <w:pPr>
              <w:spacing w:after="40" w:before="40"/>
            </w:pPr>
            <w:r>
              <w:rPr>
                <w:sz w:val="17"/>
              </w:rPr>
            </w:r>
            <w:r>
              <w:rPr>
                <w:sz w:val="17"/>
              </w:rPr>
              <w:t>aucun grade final : dossier incomplet ou modèle alternatif requis</w:t>
            </w:r>
          </w:p>
        </w:tc>
      </w:tr>
    </w:tbl>
    <w:p>
      <w:pPr>
        <w:spacing w:after="80"/>
      </w:pPr>
    </w:p>
    <w:p>
      <w:pPr>
        <w:pStyle w:val="Heading3"/>
      </w:pPr>
      <w:r>
        <w:t>Red flags</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tblGrid>
      <w:tr>
        <w:trPr>
          <w:tblHeader w:val="true"/>
        </w:trPr>
        <w:tc>
          <w:tcPr>
            <w:tcW w:type="dxa" w:w="373"/>
            <w:shd w:val="clear" w:fill="0F3D63"/>
          </w:tcPr>
          <w:p>
            <w:pPr>
              <w:spacing w:after="40" w:before="40"/>
            </w:pPr>
            <w:r>
              <w:rPr>
                <w:color w:val="FFFFFF"/>
                <w:sz w:val="17"/>
              </w:rPr>
            </w:r>
            <w:r>
              <w:rPr>
                <w:b/>
                <w:color w:val="FFFFFF"/>
                <w:sz w:val="17"/>
              </w:rPr>
              <w:t>Code</w:t>
            </w:r>
          </w:p>
        </w:tc>
        <w:tc>
          <w:tcPr>
            <w:tcW w:type="dxa" w:w="3735"/>
            <w:shd w:val="clear" w:fill="0F3D63"/>
          </w:tcPr>
          <w:p>
            <w:pPr>
              <w:spacing w:after="40" w:before="40"/>
            </w:pPr>
            <w:r>
              <w:rPr>
                <w:color w:val="FFFFFF"/>
                <w:sz w:val="17"/>
              </w:rPr>
            </w:r>
            <w:r>
              <w:rPr>
                <w:b/>
                <w:color w:val="FFFFFF"/>
                <w:sz w:val="17"/>
              </w:rPr>
              <w:t>Signal</w:t>
            </w:r>
          </w:p>
        </w:tc>
        <w:tc>
          <w:tcPr>
            <w:tcW w:type="dxa" w:w="809"/>
            <w:shd w:val="clear" w:fill="0F3D63"/>
          </w:tcPr>
          <w:p>
            <w:pPr>
              <w:spacing w:after="40" w:before="40"/>
            </w:pPr>
            <w:r>
              <w:rPr>
                <w:color w:val="FFFFFF"/>
                <w:sz w:val="17"/>
              </w:rPr>
            </w:r>
            <w:r>
              <w:rPr>
                <w:b/>
                <w:color w:val="FFFFFF"/>
                <w:sz w:val="17"/>
              </w:rPr>
              <w:t>Niveau</w:t>
            </w:r>
          </w:p>
        </w:tc>
        <w:tc>
          <w:tcPr>
            <w:tcW w:type="dxa" w:w="809"/>
            <w:shd w:val="clear" w:fill="0F3D63"/>
          </w:tcPr>
          <w:p>
            <w:pPr>
              <w:spacing w:after="40" w:before="40"/>
            </w:pPr>
            <w:r>
              <w:rPr>
                <w:color w:val="FFFFFF"/>
                <w:sz w:val="17"/>
              </w:rPr>
            </w:r>
            <w:r>
              <w:rPr>
                <w:b/>
                <w:color w:val="FFFFFF"/>
                <w:sz w:val="17"/>
              </w:rPr>
              <w:t>Source</w:t>
            </w:r>
          </w:p>
        </w:tc>
        <w:tc>
          <w:tcPr>
            <w:tcW w:type="dxa" w:w="3735"/>
            <w:shd w:val="clear" w:fill="0F3D63"/>
          </w:tcPr>
          <w:p>
            <w:pPr>
              <w:spacing w:after="40" w:before="40"/>
            </w:pPr>
            <w:r>
              <w:rPr>
                <w:color w:val="FFFFFF"/>
                <w:sz w:val="17"/>
              </w:rPr>
            </w:r>
            <w:r>
              <w:rPr>
                <w:b/>
                <w:color w:val="FFFFFF"/>
                <w:sz w:val="17"/>
              </w:rPr>
              <w:t>Traitement</w:t>
            </w:r>
          </w:p>
        </w:tc>
      </w:tr>
      <w:tr>
        <w:tc>
          <w:tcPr>
            <w:tcW w:type="dxa" w:w="373"/>
          </w:tcPr>
          <w:p>
            <w:pPr>
              <w:spacing w:after="40" w:before="40"/>
            </w:pPr>
            <w:r>
              <w:rPr>
                <w:sz w:val="17"/>
              </w:rPr>
            </w:r>
            <w:r>
              <w:rPr>
                <w:sz w:val="17"/>
              </w:rPr>
              <w:t>RF01</w:t>
            </w:r>
          </w:p>
        </w:tc>
        <w:tc>
          <w:tcPr>
            <w:tcW w:type="dxa" w:w="3735"/>
          </w:tcPr>
          <w:p>
            <w:pPr>
              <w:spacing w:after="40" w:before="40"/>
            </w:pPr>
            <w:r>
              <w:rPr>
                <w:sz w:val="17"/>
              </w:rPr>
            </w:r>
            <w:r>
              <w:rPr>
                <w:sz w:val="17"/>
              </w:rPr>
              <w:t>Identité/UBO/pouvoirs impossibles à valider</w:t>
            </w:r>
          </w:p>
        </w:tc>
        <w:tc>
          <w:tcPr>
            <w:tcW w:type="dxa" w:w="809"/>
          </w:tcPr>
          <w:p>
            <w:pPr>
              <w:spacing w:after="40" w:before="40"/>
            </w:pPr>
            <w:r>
              <w:rPr>
                <w:sz w:val="17"/>
              </w:rPr>
            </w:r>
            <w:r>
              <w:rPr>
                <w:sz w:val="17"/>
              </w:rPr>
              <w:t>BLOCK</w:t>
            </w:r>
          </w:p>
        </w:tc>
        <w:tc>
          <w:tcPr>
            <w:tcW w:type="dxa" w:w="809"/>
          </w:tcPr>
          <w:p>
            <w:pPr>
              <w:spacing w:after="40" w:before="40"/>
            </w:pPr>
            <w:r>
              <w:rPr>
                <w:sz w:val="17"/>
              </w:rPr>
            </w:r>
            <w:r>
              <w:rPr>
                <w:sz w:val="17"/>
              </w:rPr>
              <w:t>COMPLIANCE</w:t>
            </w:r>
          </w:p>
        </w:tc>
        <w:tc>
          <w:tcPr>
            <w:tcW w:type="dxa" w:w="3735"/>
          </w:tcPr>
          <w:p>
            <w:pPr>
              <w:spacing w:after="40" w:before="40"/>
            </w:pPr>
            <w:r>
              <w:rPr>
                <w:sz w:val="17"/>
              </w:rPr>
            </w:r>
            <w:r>
              <w:rPr>
                <w:sz w:val="17"/>
              </w:rPr>
              <w:t>Stop KYC, pas de score final</w:t>
            </w:r>
          </w:p>
        </w:tc>
      </w:tr>
      <w:tr>
        <w:tc>
          <w:tcPr>
            <w:tcW w:type="dxa" w:w="373"/>
            <w:shd w:val="clear" w:fill="F2F5F8"/>
          </w:tcPr>
          <w:p>
            <w:pPr>
              <w:spacing w:after="40" w:before="40"/>
            </w:pPr>
            <w:r>
              <w:rPr>
                <w:sz w:val="17"/>
              </w:rPr>
            </w:r>
            <w:r>
              <w:rPr>
                <w:sz w:val="17"/>
              </w:rPr>
              <w:t>RF02</w:t>
            </w:r>
          </w:p>
        </w:tc>
        <w:tc>
          <w:tcPr>
            <w:tcW w:type="dxa" w:w="3735"/>
            <w:shd w:val="clear" w:fill="F2F5F8"/>
          </w:tcPr>
          <w:p>
            <w:pPr>
              <w:spacing w:after="40" w:before="40"/>
            </w:pPr>
            <w:r>
              <w:rPr>
                <w:sz w:val="17"/>
              </w:rPr>
            </w:r>
            <w:r>
              <w:rPr>
                <w:sz w:val="17"/>
              </w:rPr>
              <w:t>Sanction ou interdiction issue du système conformité autoritatif</w:t>
            </w:r>
          </w:p>
        </w:tc>
        <w:tc>
          <w:tcPr>
            <w:tcW w:type="dxa" w:w="809"/>
            <w:shd w:val="clear" w:fill="F2F5F8"/>
          </w:tcPr>
          <w:p>
            <w:pPr>
              <w:spacing w:after="40" w:before="40"/>
            </w:pPr>
            <w:r>
              <w:rPr>
                <w:sz w:val="17"/>
              </w:rPr>
            </w:r>
            <w:r>
              <w:rPr>
                <w:sz w:val="17"/>
              </w:rPr>
              <w:t>BLOCK</w:t>
            </w:r>
          </w:p>
        </w:tc>
        <w:tc>
          <w:tcPr>
            <w:tcW w:type="dxa" w:w="809"/>
            <w:shd w:val="clear" w:fill="F2F5F8"/>
          </w:tcPr>
          <w:p>
            <w:pPr>
              <w:spacing w:after="40" w:before="40"/>
            </w:pPr>
            <w:r>
              <w:rPr>
                <w:sz w:val="17"/>
              </w:rPr>
            </w:r>
            <w:r>
              <w:rPr>
                <w:sz w:val="17"/>
              </w:rPr>
              <w:t>COMPLIANCE</w:t>
            </w:r>
          </w:p>
        </w:tc>
        <w:tc>
          <w:tcPr>
            <w:tcW w:type="dxa" w:w="3735"/>
            <w:shd w:val="clear" w:fill="F2F5F8"/>
          </w:tcPr>
          <w:p>
            <w:pPr>
              <w:spacing w:after="40" w:before="40"/>
            </w:pPr>
            <w:r>
              <w:rPr>
                <w:sz w:val="17"/>
              </w:rPr>
            </w:r>
            <w:r>
              <w:rPr>
                <w:sz w:val="17"/>
              </w:rPr>
              <w:t>Suivre la décision Conformité, jamais diluer dans le score</w:t>
            </w:r>
          </w:p>
        </w:tc>
      </w:tr>
      <w:tr>
        <w:tc>
          <w:tcPr>
            <w:tcW w:type="dxa" w:w="373"/>
          </w:tcPr>
          <w:p>
            <w:pPr>
              <w:spacing w:after="40" w:before="40"/>
            </w:pPr>
            <w:r>
              <w:rPr>
                <w:sz w:val="17"/>
              </w:rPr>
            </w:r>
            <w:r>
              <w:rPr>
                <w:sz w:val="17"/>
              </w:rPr>
              <w:t>RF03</w:t>
            </w:r>
          </w:p>
        </w:tc>
        <w:tc>
          <w:tcPr>
            <w:tcW w:type="dxa" w:w="3735"/>
          </w:tcPr>
          <w:p>
            <w:pPr>
              <w:spacing w:after="40" w:before="40"/>
            </w:pPr>
            <w:r>
              <w:rPr>
                <w:sz w:val="17"/>
              </w:rPr>
            </w:r>
            <w:r>
              <w:rPr>
                <w:sz w:val="17"/>
              </w:rPr>
              <w:t>Fraude ou falsification documentaire confirmée</w:t>
            </w:r>
          </w:p>
        </w:tc>
        <w:tc>
          <w:tcPr>
            <w:tcW w:type="dxa" w:w="809"/>
          </w:tcPr>
          <w:p>
            <w:pPr>
              <w:spacing w:after="40" w:before="40"/>
            </w:pPr>
            <w:r>
              <w:rPr>
                <w:sz w:val="17"/>
              </w:rPr>
            </w:r>
            <w:r>
              <w:rPr>
                <w:sz w:val="17"/>
              </w:rPr>
              <w:t>BLOCK</w:t>
            </w:r>
          </w:p>
        </w:tc>
        <w:tc>
          <w:tcPr>
            <w:tcW w:type="dxa" w:w="809"/>
          </w:tcPr>
          <w:p>
            <w:pPr>
              <w:spacing w:after="40" w:before="40"/>
            </w:pPr>
            <w:r>
              <w:rPr>
                <w:sz w:val="17"/>
              </w:rPr>
            </w:r>
            <w:r>
              <w:rPr>
                <w:sz w:val="17"/>
              </w:rPr>
              <w:t>COMPLIANCE</w:t>
            </w:r>
          </w:p>
        </w:tc>
        <w:tc>
          <w:tcPr>
            <w:tcW w:type="dxa" w:w="3735"/>
          </w:tcPr>
          <w:p>
            <w:pPr>
              <w:spacing w:after="40" w:before="40"/>
            </w:pPr>
            <w:r>
              <w:rPr>
                <w:sz w:val="17"/>
              </w:rPr>
            </w:r>
            <w:r>
              <w:rPr>
                <w:sz w:val="17"/>
              </w:rPr>
              <w:t>Escalade fraude/juridique et audit</w:t>
            </w:r>
          </w:p>
        </w:tc>
      </w:tr>
      <w:tr>
        <w:tc>
          <w:tcPr>
            <w:tcW w:type="dxa" w:w="373"/>
            <w:shd w:val="clear" w:fill="F2F5F8"/>
          </w:tcPr>
          <w:p>
            <w:pPr>
              <w:spacing w:after="40" w:before="40"/>
            </w:pPr>
            <w:r>
              <w:rPr>
                <w:sz w:val="17"/>
              </w:rPr>
            </w:r>
            <w:r>
              <w:rPr>
                <w:sz w:val="17"/>
              </w:rPr>
              <w:t>RF04</w:t>
            </w:r>
          </w:p>
        </w:tc>
        <w:tc>
          <w:tcPr>
            <w:tcW w:type="dxa" w:w="3735"/>
            <w:shd w:val="clear" w:fill="F2F5F8"/>
          </w:tcPr>
          <w:p>
            <w:pPr>
              <w:spacing w:after="40" w:before="40"/>
            </w:pPr>
            <w:r>
              <w:rPr>
                <w:sz w:val="17"/>
              </w:rPr>
            </w:r>
            <w:r>
              <w:rPr>
                <w:sz w:val="17"/>
              </w:rPr>
              <w:t>Activité interdite par politique ou loi</w:t>
            </w:r>
          </w:p>
        </w:tc>
        <w:tc>
          <w:tcPr>
            <w:tcW w:type="dxa" w:w="809"/>
            <w:shd w:val="clear" w:fill="F2F5F8"/>
          </w:tcPr>
          <w:p>
            <w:pPr>
              <w:spacing w:after="40" w:before="40"/>
            </w:pPr>
            <w:r>
              <w:rPr>
                <w:sz w:val="17"/>
              </w:rPr>
            </w:r>
            <w:r>
              <w:rPr>
                <w:sz w:val="17"/>
              </w:rPr>
              <w:t>BLOCK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Rejet/routage selon politique</w:t>
            </w:r>
          </w:p>
        </w:tc>
      </w:tr>
      <w:tr>
        <w:tc>
          <w:tcPr>
            <w:tcW w:type="dxa" w:w="373"/>
          </w:tcPr>
          <w:p>
            <w:pPr>
              <w:spacing w:after="40" w:before="40"/>
            </w:pPr>
            <w:r>
              <w:rPr>
                <w:sz w:val="17"/>
              </w:rPr>
            </w:r>
            <w:r>
              <w:rPr>
                <w:sz w:val="17"/>
              </w:rPr>
              <w:t>RF05</w:t>
            </w:r>
          </w:p>
        </w:tc>
        <w:tc>
          <w:tcPr>
            <w:tcW w:type="dxa" w:w="3735"/>
          </w:tcPr>
          <w:p>
            <w:pPr>
              <w:spacing w:after="40" w:before="40"/>
            </w:pPr>
            <w:r>
              <w:rPr>
                <w:sz w:val="17"/>
              </w:rPr>
            </w:r>
            <w:r>
              <w:rPr>
                <w:sz w:val="17"/>
              </w:rPr>
              <w:t>Liquidation, cessation ou procédure incompatible avec le going concern</w:t>
            </w:r>
          </w:p>
        </w:tc>
        <w:tc>
          <w:tcPr>
            <w:tcW w:type="dxa" w:w="809"/>
          </w:tcPr>
          <w:p>
            <w:pPr>
              <w:spacing w:after="40" w:before="40"/>
            </w:pPr>
            <w:r>
              <w:rPr>
                <w:sz w:val="17"/>
              </w:rPr>
            </w:r>
            <w:r>
              <w:rPr>
                <w:sz w:val="17"/>
              </w:rPr>
              <w:t>DEFAULT_CHECK</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Classe/grade défaut selon règles applicables</w:t>
            </w:r>
          </w:p>
        </w:tc>
      </w:tr>
      <w:tr>
        <w:tc>
          <w:tcPr>
            <w:tcW w:type="dxa" w:w="373"/>
            <w:shd w:val="clear" w:fill="F2F5F8"/>
          </w:tcPr>
          <w:p>
            <w:pPr>
              <w:spacing w:after="40" w:before="40"/>
            </w:pPr>
            <w:r>
              <w:rPr>
                <w:sz w:val="17"/>
              </w:rPr>
            </w:r>
            <w:r>
              <w:rPr>
                <w:sz w:val="17"/>
              </w:rPr>
              <w:t>RF06</w:t>
            </w:r>
          </w:p>
        </w:tc>
        <w:tc>
          <w:tcPr>
            <w:tcW w:type="dxa" w:w="3735"/>
            <w:shd w:val="clear" w:fill="F2F5F8"/>
          </w:tcPr>
          <w:p>
            <w:pPr>
              <w:spacing w:after="40" w:before="40"/>
            </w:pPr>
            <w:r>
              <w:rPr>
                <w:sz w:val="17"/>
              </w:rPr>
            </w:r>
            <w:r>
              <w:rPr>
                <w:sz w:val="17"/>
              </w:rPr>
              <w:t>DPD ≥ seuil de défaut, UTP ou cross-default</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Évaluer défaut, contagion, IFRS 9 et BAM séparément</w:t>
            </w:r>
          </w:p>
        </w:tc>
      </w:tr>
      <w:tr>
        <w:tc>
          <w:tcPr>
            <w:tcW w:type="dxa" w:w="373"/>
          </w:tcPr>
          <w:p>
            <w:pPr>
              <w:spacing w:after="40" w:before="40"/>
            </w:pPr>
            <w:r>
              <w:rPr>
                <w:sz w:val="17"/>
              </w:rPr>
            </w:r>
            <w:r>
              <w:rPr>
                <w:sz w:val="17"/>
              </w:rPr>
              <w:t>RF07</w:t>
            </w:r>
          </w:p>
        </w:tc>
        <w:tc>
          <w:tcPr>
            <w:tcW w:type="dxa" w:w="3735"/>
          </w:tcPr>
          <w:p>
            <w:pPr>
              <w:spacing w:after="40" w:before="40"/>
            </w:pPr>
            <w:r>
              <w:rPr>
                <w:sz w:val="17"/>
              </w:rPr>
            </w:r>
            <w:r>
              <w:rPr>
                <w:sz w:val="17"/>
              </w:rPr>
              <w:t>DPD 31–89 jours ou incident matériel récurrent</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Revue risque, watchlist/SICR éventuels</w:t>
            </w:r>
          </w:p>
        </w:tc>
      </w:tr>
      <w:tr>
        <w:tc>
          <w:tcPr>
            <w:tcW w:type="dxa" w:w="373"/>
            <w:shd w:val="clear" w:fill="F2F5F8"/>
          </w:tcPr>
          <w:p>
            <w:pPr>
              <w:spacing w:after="40" w:before="40"/>
            </w:pPr>
            <w:r>
              <w:rPr>
                <w:sz w:val="17"/>
              </w:rPr>
            </w:r>
            <w:r>
              <w:rPr>
                <w:sz w:val="17"/>
              </w:rPr>
              <w:t>RF08</w:t>
            </w:r>
          </w:p>
        </w:tc>
        <w:tc>
          <w:tcPr>
            <w:tcW w:type="dxa" w:w="3735"/>
            <w:shd w:val="clear" w:fill="F2F5F8"/>
          </w:tcPr>
          <w:p>
            <w:pPr>
              <w:spacing w:after="40" w:before="40"/>
            </w:pPr>
            <w:r>
              <w:rPr>
                <w:sz w:val="17"/>
              </w:rPr>
            </w:r>
            <w:r>
              <w:rPr>
                <w:sz w:val="17"/>
              </w:rPr>
              <w:t>Échec de restructuration ou seconde concession</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Défaut/forbearance selon politique</w:t>
            </w:r>
          </w:p>
        </w:tc>
      </w:tr>
      <w:tr>
        <w:tc>
          <w:tcPr>
            <w:tcW w:type="dxa" w:w="373"/>
          </w:tcPr>
          <w:p>
            <w:pPr>
              <w:spacing w:after="40" w:before="40"/>
            </w:pPr>
            <w:r>
              <w:rPr>
                <w:sz w:val="17"/>
              </w:rPr>
            </w:r>
            <w:r>
              <w:rPr>
                <w:sz w:val="17"/>
              </w:rPr>
              <w:t>RF09</w:t>
            </w:r>
          </w:p>
        </w:tc>
        <w:tc>
          <w:tcPr>
            <w:tcW w:type="dxa" w:w="3735"/>
          </w:tcPr>
          <w:p>
            <w:pPr>
              <w:spacing w:after="40" w:before="40"/>
            </w:pPr>
            <w:r>
              <w:rPr>
                <w:sz w:val="17"/>
              </w:rPr>
            </w:r>
            <w:r>
              <w:rPr>
                <w:sz w:val="17"/>
              </w:rPr>
              <w:t>Fonds propres négatifs et aucun plan ferme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Cap G9, recapitalisation comme condition éventuelle</w:t>
            </w:r>
          </w:p>
        </w:tc>
      </w:tr>
      <w:tr>
        <w:tc>
          <w:tcPr>
            <w:tcW w:type="dxa" w:w="373"/>
            <w:shd w:val="clear" w:fill="F2F5F8"/>
          </w:tcPr>
          <w:p>
            <w:pPr>
              <w:spacing w:after="40" w:before="40"/>
            </w:pPr>
            <w:r>
              <w:rPr>
                <w:sz w:val="17"/>
              </w:rPr>
            </w:r>
            <w:r>
              <w:rPr>
                <w:sz w:val="17"/>
              </w:rPr>
              <w:t>RF10</w:t>
            </w:r>
          </w:p>
        </w:tc>
        <w:tc>
          <w:tcPr>
            <w:tcW w:type="dxa" w:w="3735"/>
            <w:shd w:val="clear" w:fill="F2F5F8"/>
          </w:tcPr>
          <w:p>
            <w:pPr>
              <w:spacing w:after="40" w:before="40"/>
            </w:pPr>
            <w:r>
              <w:rPr>
                <w:sz w:val="17"/>
              </w:rPr>
            </w:r>
            <w:r>
              <w:rPr>
                <w:sz w:val="17"/>
              </w:rPr>
              <w:t>Opinion audit défavorable / refus de certifier</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Selon matérialité et fiabilité des comptes (peut devenir BLOCK)</w:t>
            </w:r>
          </w:p>
        </w:tc>
      </w:tr>
      <w:tr>
        <w:tc>
          <w:tcPr>
            <w:tcW w:type="dxa" w:w="373"/>
          </w:tcPr>
          <w:p>
            <w:pPr>
              <w:spacing w:after="40" w:before="40"/>
            </w:pPr>
            <w:r>
              <w:rPr>
                <w:sz w:val="17"/>
              </w:rPr>
            </w:r>
            <w:r>
              <w:rPr>
                <w:sz w:val="17"/>
              </w:rPr>
              <w:t>RF11</w:t>
            </w:r>
          </w:p>
        </w:tc>
        <w:tc>
          <w:tcPr>
            <w:tcW w:type="dxa" w:w="3735"/>
          </w:tcPr>
          <w:p>
            <w:pPr>
              <w:spacing w:after="40" w:before="40"/>
            </w:pPr>
            <w:r>
              <w:rPr>
                <w:sz w:val="17"/>
              </w:rPr>
            </w:r>
            <w:r>
              <w:rPr>
                <w:sz w:val="17"/>
              </w:rPr>
              <w:t>Dette fiscale/sociale ou saisie matérielle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Quantifier, vérifier plan et priorité de paiement</w:t>
            </w:r>
          </w:p>
        </w:tc>
      </w:tr>
      <w:tr>
        <w:tc>
          <w:tcPr>
            <w:tcW w:type="dxa" w:w="373"/>
            <w:shd w:val="clear" w:fill="F2F5F8"/>
          </w:tcPr>
          <w:p>
            <w:pPr>
              <w:spacing w:after="40" w:before="40"/>
            </w:pPr>
            <w:r>
              <w:rPr>
                <w:sz w:val="17"/>
              </w:rPr>
            </w:r>
            <w:r>
              <w:rPr>
                <w:sz w:val="17"/>
              </w:rPr>
              <w:t>RF12</w:t>
            </w:r>
          </w:p>
        </w:tc>
        <w:tc>
          <w:tcPr>
            <w:tcW w:type="dxa" w:w="3735"/>
            <w:shd w:val="clear" w:fill="F2F5F8"/>
          </w:tcPr>
          <w:p>
            <w:pPr>
              <w:spacing w:after="40" w:before="40"/>
            </w:pPr>
            <w:r>
              <w:rPr>
                <w:sz w:val="17"/>
              </w:rPr>
            </w:r>
            <w:r>
              <w:rPr>
                <w:sz w:val="17"/>
              </w:rPr>
              <w:t>Litige menaçant la continuité</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Scénario de perte et avis juridique</w:t>
            </w:r>
          </w:p>
        </w:tc>
      </w:tr>
      <w:tr>
        <w:tc>
          <w:tcPr>
            <w:tcW w:type="dxa" w:w="373"/>
          </w:tcPr>
          <w:p>
            <w:pPr>
              <w:spacing w:after="40" w:before="40"/>
            </w:pPr>
            <w:r>
              <w:rPr>
                <w:sz w:val="17"/>
              </w:rPr>
            </w:r>
            <w:r>
              <w:rPr>
                <w:sz w:val="17"/>
              </w:rPr>
              <w:t>RF13</w:t>
            </w:r>
          </w:p>
        </w:tc>
        <w:tc>
          <w:tcPr>
            <w:tcW w:type="dxa" w:w="3735"/>
          </w:tcPr>
          <w:p>
            <w:pPr>
              <w:spacing w:after="40" w:before="40"/>
            </w:pPr>
            <w:r>
              <w:rPr>
                <w:sz w:val="17"/>
              </w:rPr>
            </w:r>
            <w:r>
              <w:rPr>
                <w:sz w:val="17"/>
              </w:rPr>
              <w:t>Perte d'un client/fournisseur/licence vital</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Reforecast et stress immédiats</w:t>
            </w:r>
          </w:p>
        </w:tc>
      </w:tr>
      <w:tr>
        <w:tc>
          <w:tcPr>
            <w:tcW w:type="dxa" w:w="373"/>
            <w:shd w:val="clear" w:fill="F2F5F8"/>
          </w:tcPr>
          <w:p>
            <w:pPr>
              <w:spacing w:after="40" w:before="40"/>
            </w:pPr>
            <w:r>
              <w:rPr>
                <w:sz w:val="17"/>
              </w:rPr>
            </w:r>
            <w:r>
              <w:rPr>
                <w:sz w:val="17"/>
              </w:rPr>
              <w:t>RF14</w:t>
            </w:r>
          </w:p>
        </w:tc>
        <w:tc>
          <w:tcPr>
            <w:tcW w:type="dxa" w:w="3735"/>
            <w:shd w:val="clear" w:fill="F2F5F8"/>
          </w:tcPr>
          <w:p>
            <w:pPr>
              <w:spacing w:after="40" w:before="40"/>
            </w:pPr>
            <w:r>
              <w:rPr>
                <w:sz w:val="17"/>
              </w:rPr>
            </w:r>
            <w:r>
              <w:rPr>
                <w:sz w:val="17"/>
              </w:rPr>
              <w:t>Covenant rompu non régularisé</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CREDIT_POLICY</w:t>
            </w:r>
          </w:p>
        </w:tc>
        <w:tc>
          <w:tcPr>
            <w:tcW w:type="dxa" w:w="3735"/>
            <w:shd w:val="clear" w:fill="F2F5F8"/>
          </w:tcPr>
          <w:p>
            <w:pPr>
              <w:spacing w:after="40" w:before="40"/>
            </w:pPr>
            <w:r>
              <w:rPr>
                <w:sz w:val="17"/>
              </w:rPr>
            </w:r>
            <w:r>
              <w:rPr>
                <w:sz w:val="17"/>
              </w:rPr>
              <w:t>Vérifier exigibilité et waiver</w:t>
            </w:r>
          </w:p>
        </w:tc>
      </w:tr>
      <w:tr>
        <w:tc>
          <w:tcPr>
            <w:tcW w:type="dxa" w:w="373"/>
          </w:tcPr>
          <w:p>
            <w:pPr>
              <w:spacing w:after="40" w:before="40"/>
            </w:pPr>
            <w:r>
              <w:rPr>
                <w:sz w:val="17"/>
              </w:rPr>
            </w:r>
            <w:r>
              <w:rPr>
                <w:sz w:val="17"/>
              </w:rPr>
              <w:t>RF15</w:t>
            </w:r>
          </w:p>
        </w:tc>
        <w:tc>
          <w:tcPr>
            <w:tcW w:type="dxa" w:w="3735"/>
          </w:tcPr>
          <w:p>
            <w:pPr>
              <w:spacing w:after="40" w:before="40"/>
            </w:pPr>
            <w:r>
              <w:rPr>
                <w:sz w:val="17"/>
              </w:rPr>
            </w:r>
            <w:r>
              <w:rPr>
                <w:sz w:val="17"/>
              </w:rPr>
              <w:t>Transactions liées ou sortie de cash inexpliquée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Investigation et cap selon impact</w:t>
            </w:r>
          </w:p>
        </w:tc>
      </w:tr>
      <w:tr>
        <w:tc>
          <w:tcPr>
            <w:tcW w:type="dxa" w:w="373"/>
            <w:shd w:val="clear" w:fill="F2F5F8"/>
          </w:tcPr>
          <w:p>
            <w:pPr>
              <w:spacing w:after="40" w:before="40"/>
            </w:pPr>
            <w:r>
              <w:rPr>
                <w:sz w:val="17"/>
              </w:rPr>
            </w:r>
            <w:r>
              <w:rPr>
                <w:sz w:val="17"/>
              </w:rPr>
              <w:t>RF16</w:t>
            </w:r>
          </w:p>
        </w:tc>
        <w:tc>
          <w:tcPr>
            <w:tcW w:type="dxa" w:w="3735"/>
            <w:shd w:val="clear" w:fill="F2F5F8"/>
          </w:tcPr>
          <w:p>
            <w:pPr>
              <w:spacing w:after="40" w:before="40"/>
            </w:pPr>
            <w:r>
              <w:rPr>
                <w:sz w:val="17"/>
              </w:rPr>
            </w:r>
            <w:r>
              <w:rPr>
                <w:sz w:val="17"/>
              </w:rPr>
              <w:t>Information critique manquante/incohérente</w:t>
            </w:r>
          </w:p>
        </w:tc>
        <w:tc>
          <w:tcPr>
            <w:tcW w:type="dxa" w:w="809"/>
            <w:shd w:val="clear" w:fill="F2F5F8"/>
          </w:tcPr>
          <w:p>
            <w:pPr>
              <w:spacing w:after="40" w:before="40"/>
            </w:pPr>
            <w:r>
              <w:rPr>
                <w:sz w:val="17"/>
              </w:rPr>
            </w:r>
            <w:r>
              <w:rPr>
                <w:sz w:val="17"/>
              </w:rPr>
              <w:t>REFER</w:t>
            </w:r>
          </w:p>
        </w:tc>
        <w:tc>
          <w:tcPr>
            <w:tcW w:type="dxa" w:w="809"/>
            <w:shd w:val="clear" w:fill="F2F5F8"/>
          </w:tcPr>
          <w:p>
            <w:pPr>
              <w:spacing w:after="40" w:before="40"/>
            </w:pPr>
            <w:r>
              <w:rPr>
                <w:sz w:val="17"/>
              </w:rPr>
            </w:r>
            <w:r>
              <w:rPr>
                <w:sz w:val="17"/>
              </w:rPr>
              <w:t>MODEL</w:t>
            </w:r>
          </w:p>
        </w:tc>
        <w:tc>
          <w:tcPr>
            <w:tcW w:type="dxa" w:w="3735"/>
            <w:shd w:val="clear" w:fill="F2F5F8"/>
          </w:tcPr>
          <w:p>
            <w:pPr>
              <w:spacing w:after="40" w:before="40"/>
            </w:pPr>
            <w:r>
              <w:rPr>
                <w:sz w:val="17"/>
              </w:rPr>
            </w:r>
            <w:r>
              <w:rPr>
                <w:sz w:val="17"/>
              </w:rPr>
              <w:t>Appliquer la politique de complétude (peut devenir BLOCK)</w:t>
            </w:r>
          </w:p>
        </w:tc>
      </w:tr>
      <w:tr>
        <w:tc>
          <w:tcPr>
            <w:tcW w:type="dxa" w:w="373"/>
          </w:tcPr>
          <w:p>
            <w:pPr>
              <w:spacing w:after="40" w:before="40"/>
            </w:pPr>
            <w:r>
              <w:rPr>
                <w:sz w:val="17"/>
              </w:rPr>
            </w:r>
            <w:r>
              <w:rPr>
                <w:sz w:val="17"/>
              </w:rPr>
              <w:t>RF17</w:t>
            </w:r>
          </w:p>
        </w:tc>
        <w:tc>
          <w:tcPr>
            <w:tcW w:type="dxa" w:w="3735"/>
          </w:tcPr>
          <w:p>
            <w:pPr>
              <w:spacing w:after="40" w:before="40"/>
            </w:pPr>
            <w:r>
              <w:rPr>
                <w:sz w:val="17"/>
              </w:rPr>
            </w:r>
            <w:r>
              <w:rPr>
                <w:sz w:val="17"/>
              </w:rPr>
              <w:t>Risque climatique/ESG avec fermeture probable</w:t>
            </w:r>
          </w:p>
        </w:tc>
        <w:tc>
          <w:tcPr>
            <w:tcW w:type="dxa" w:w="809"/>
          </w:tcPr>
          <w:p>
            <w:pPr>
              <w:spacing w:after="40" w:before="40"/>
            </w:pPr>
            <w:r>
              <w:rPr>
                <w:sz w:val="17"/>
              </w:rPr>
            </w:r>
            <w:r>
              <w:rPr>
                <w:sz w:val="17"/>
              </w:rPr>
              <w:t>REFER</w:t>
            </w:r>
          </w:p>
        </w:tc>
        <w:tc>
          <w:tcPr>
            <w:tcW w:type="dxa" w:w="809"/>
          </w:tcPr>
          <w:p>
            <w:pPr>
              <w:spacing w:after="40" w:before="40"/>
            </w:pPr>
            <w:r>
              <w:rPr>
                <w:sz w:val="17"/>
              </w:rPr>
            </w:r>
            <w:r>
              <w:rPr>
                <w:sz w:val="17"/>
              </w:rPr>
              <w:t>CREDIT_POLICY</w:t>
            </w:r>
          </w:p>
        </w:tc>
        <w:tc>
          <w:tcPr>
            <w:tcW w:type="dxa" w:w="3735"/>
          </w:tcPr>
          <w:p>
            <w:pPr>
              <w:spacing w:after="40" w:before="40"/>
            </w:pPr>
            <w:r>
              <w:rPr>
                <w:sz w:val="17"/>
              </w:rPr>
            </w:r>
            <w:r>
              <w:rPr>
                <w:sz w:val="17"/>
              </w:rPr>
              <w:t>Scénario, cap et plan d'adaptation</w:t>
            </w:r>
          </w:p>
        </w:tc>
      </w:tr>
      <w:tr>
        <w:tc>
          <w:tcPr>
            <w:tcW w:type="dxa" w:w="373"/>
            <w:shd w:val="clear" w:fill="F2F5F8"/>
          </w:tcPr>
          <w:p>
            <w:pPr>
              <w:spacing w:after="40" w:before="40"/>
            </w:pPr>
            <w:r>
              <w:rPr>
                <w:sz w:val="17"/>
              </w:rPr>
            </w:r>
            <w:r>
              <w:rPr>
                <w:sz w:val="17"/>
              </w:rPr>
              <w:t>RF18</w:t>
            </w:r>
          </w:p>
        </w:tc>
        <w:tc>
          <w:tcPr>
            <w:tcW w:type="dxa" w:w="3735"/>
            <w:shd w:val="clear" w:fill="F2F5F8"/>
          </w:tcPr>
          <w:p>
            <w:pPr>
              <w:spacing w:after="40" w:before="40"/>
            </w:pPr>
            <w:r>
              <w:rPr>
                <w:sz w:val="17"/>
              </w:rPr>
            </w:r>
            <w:r>
              <w:rPr>
                <w:sz w:val="17"/>
              </w:rPr>
              <w:t>Contagion groupe réglementaire/politique</w:t>
            </w:r>
          </w:p>
        </w:tc>
        <w:tc>
          <w:tcPr>
            <w:tcW w:type="dxa" w:w="809"/>
            <w:shd w:val="clear" w:fill="F2F5F8"/>
          </w:tcPr>
          <w:p>
            <w:pPr>
              <w:spacing w:after="40" w:before="40"/>
            </w:pPr>
            <w:r>
              <w:rPr>
                <w:sz w:val="17"/>
              </w:rPr>
            </w:r>
            <w:r>
              <w:rPr>
                <w:sz w:val="17"/>
              </w:rPr>
              <w:t>DEFAULT_CHECK</w:t>
            </w:r>
          </w:p>
        </w:tc>
        <w:tc>
          <w:tcPr>
            <w:tcW w:type="dxa" w:w="809"/>
            <w:shd w:val="clear" w:fill="F2F5F8"/>
          </w:tcPr>
          <w:p>
            <w:pPr>
              <w:spacing w:after="40" w:before="40"/>
            </w:pPr>
            <w:r>
              <w:rPr>
                <w:sz w:val="17"/>
              </w:rPr>
            </w:r>
            <w:r>
              <w:rPr>
                <w:sz w:val="17"/>
              </w:rPr>
              <w:t>REGULATORY</w:t>
            </w:r>
          </w:p>
        </w:tc>
        <w:tc>
          <w:tcPr>
            <w:tcW w:type="dxa" w:w="3735"/>
            <w:shd w:val="clear" w:fill="F2F5F8"/>
          </w:tcPr>
          <w:p>
            <w:pPr>
              <w:spacing w:after="40" w:before="40"/>
            </w:pPr>
            <w:r>
              <w:rPr>
                <w:sz w:val="17"/>
              </w:rPr>
            </w:r>
            <w:r>
              <w:rPr>
                <w:sz w:val="17"/>
              </w:rPr>
              <w:t>Appliquer uniquement la règle validée du régime applicable</w:t>
            </w:r>
          </w:p>
        </w:tc>
      </w:tr>
    </w:tbl>
    <w:p>
      <w:pPr>
        <w:spacing w:after="80"/>
      </w:pPr>
    </w:p>
    <w:p>
      <w:pPr>
        <w:spacing w:before="80" w:after="160"/>
        <w:pBdr>
          <w:bottom w:val="single" w:sz="6" w:color="D6DBE1"/>
        </w:pBdr>
      </w:pPr>
    </w:p>
    <w:p>
      <w:r>
        <w:br w:type="page"/>
      </w:r>
    </w:p>
    <w:p>
      <w:pPr>
        <w:pStyle w:val="Heading1"/>
      </w:pPr>
      <w:r>
        <w:t>Partie IV — L'outil</w:t>
      </w:r>
    </w:p>
    <w:p>
      <w:pPr>
        <w:pStyle w:val="Heading2"/>
      </w:pPr>
      <w:r>
        <w:t>17. Principes d'architecture</w:t>
      </w:r>
    </w:p>
    <w:p>
      <w:r>
        <w:t xml:space="preserve">L'outil est un </w:t>
      </w:r>
      <w:r>
        <w:rPr>
          <w:b/>
        </w:rPr>
        <w:t>monolithe modulaire, orienté interface de programmation et neutre vis-à-vis du cloud</w:t>
      </w:r>
      <w:r>
        <w:t>, plutôt qu'un ensemble prématuré de microservices. Ce choix privilégie le déterminisme, la simplicité d'exploitation et la capacité à démontrer qu'un résultat provient d'un chemin de calcul unique.</w:t>
      </w:r>
    </w:p>
    <w:p>
      <w:r>
        <w:t>Quatre principes structurent l'implémentation.</w:t>
      </w:r>
    </w:p>
    <w:p>
      <w:r>
        <w:rPr>
          <w:b/>
        </w:rPr>
        <w:t>Le noyau de risque est pur.</w:t>
      </w:r>
      <w:r>
        <w:t xml:space="preserve"> Le répertoire </w:t>
      </w:r>
      <w:r>
        <w:rPr>
          <w:rFonts w:ascii="Consolas" w:hAnsi="Consolas"/>
          <w:color w:val="8A2B2B"/>
          <w:sz w:val="18"/>
        </w:rPr>
        <w:t>src/core/</w:t>
      </w:r>
      <w:r>
        <w:t xml:space="preserve"> n'importe ni framework web, ni couche d'accès aux données, ni bibliothèque de fournisseur. Le moteur est une fonction du couple (configuration de modèle, données d'entrée) vers un résultat. Cette propriété rend les tests métier exécutables sans base ni réseau, et garantit qu'aucune dépendance d'infrastructure ne peut altérer un calcul.</w:t>
      </w:r>
    </w:p>
    <w:p>
      <w:r>
        <w:rPr>
          <w:b/>
        </w:rPr>
        <w:t>Un seul moteur canonique par finalité.</w:t>
      </w:r>
      <w:r>
        <w:t xml:space="preserve"> Les dépôts examinés comptaient jusqu'à huit implémentations concurrentes de moteur de scoring, avec un risque de divergence selon le chemin d'appel. Ici, la notation possède un unique point d'entrée, dont la version est estampillée dans chaque résultat.</w:t>
      </w:r>
    </w:p>
    <w:p>
      <w:r>
        <w:rPr>
          <w:b/>
        </w:rPr>
        <w:t>Les cinq finalités sont séparées.</w:t>
      </w:r>
      <w:r>
        <w:t xml:space="preserve"> Notation, décision, classification réglementaire, IFRS 9 et capital sont cinq moteurs distincts, composés par un orchestrateur, jamais couplés mathématiquement.</w:t>
      </w:r>
    </w:p>
    <w:p>
      <w:r>
        <w:rPr>
          <w:b/>
        </w:rPr>
        <w:t>Aucune configuration n'est codée en dur.</w:t>
      </w:r>
      <w:r>
        <w:t xml:space="preserve"> Poids, seuils, barèmes, caps, red flags, échelle interne, pondérations de confiance et seuils de segmentation appartiennent à une version de modèle immuable, validée au chargement.</w:t>
      </w:r>
    </w:p>
    <w:p>
      <w:pPr>
        <w:pStyle w:val="Heading2"/>
      </w:pPr>
      <w:r>
        <w:t>18. Le moteur de calcul</w:t>
      </w:r>
    </w:p>
    <w:p>
      <w:pPr>
        <w:pStyle w:val="Heading3"/>
      </w:pPr>
      <w:r>
        <w:t>18.1 Validation d'une version de modèle</w:t>
      </w:r>
    </w:p>
    <w:p>
      <w:r>
        <w:t>Une version de modèle est refusée au chargement — l'application ne démarre pas — si l'un des contrôles suivants échoue : la somme des poids de critères diffère de 100,00 % pour un segment ; un critère référence un domaine inexistant ; un barème quantitatif présente un trou, un chevauchement ou une incohérence d'inclusivité à une frontière ; un critère quantitatif pondéré n'a pas de barème pour son segment ; un critère qualitatif ne possède pas exactement les cinq ancrages ; l'échelle interne ne couvre pas l'intervalle complet des scores ; les pondérations de confiance ne totalisent pas 100 ; les bandes de confiance présentent une discontinuité ; un cap référence un grade inexistant.</w:t>
      </w:r>
    </w:p>
    <w:p>
      <w:r>
        <w:t>Ce mécanisme rend structurellement impossible la mise en production d'un modèle dont les poids ne sommeraient pas à 100 % — défaut classique des dispositifs configurables.</w:t>
      </w:r>
    </w:p>
    <w:p>
      <w:pPr>
        <w:pStyle w:val="Heading3"/>
      </w:pPr>
      <w:r>
        <w:t>18.2 Déterminisme et reproductibilité</w:t>
      </w:r>
    </w:p>
    <w:p>
      <w:r>
        <w:t>Le moteur ne consulte ni horloge, ni générateur aléatoire, ni source externe. La date de calcul lui est fournie. Deux exécutions avec le même instantané et la même version produisent des résultats strictement identiques, propriété vérifiée par un test dédié.</w:t>
      </w:r>
    </w:p>
    <w:p>
      <w:r>
        <w:t>Les poids sont manipulés en entiers ; les montants et scores utilisent un type décimal en base ; l'arrondi n'intervient qu'à l'affichage.</w:t>
      </w:r>
    </w:p>
    <w:p>
      <w:pPr>
        <w:pStyle w:val="Heading3"/>
      </w:pPr>
      <w:r>
        <w:t>18.3 Traitement des situations dégradées</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3609"/>
            <w:shd w:val="clear" w:fill="0F3D63"/>
          </w:tcPr>
          <w:p>
            <w:pPr>
              <w:spacing w:after="40" w:before="40"/>
            </w:pPr>
            <w:r>
              <w:rPr>
                <w:color w:val="FFFFFF"/>
                <w:sz w:val="17"/>
              </w:rPr>
            </w:r>
            <w:r>
              <w:rPr>
                <w:b/>
                <w:color w:val="FFFFFF"/>
                <w:sz w:val="17"/>
              </w:rPr>
              <w:t>Situation</w:t>
            </w:r>
          </w:p>
        </w:tc>
        <w:tc>
          <w:tcPr>
            <w:tcW w:type="dxa" w:w="5852"/>
            <w:shd w:val="clear" w:fill="0F3D63"/>
          </w:tcPr>
          <w:p>
            <w:pPr>
              <w:spacing w:after="40" w:before="40"/>
            </w:pPr>
            <w:r>
              <w:rPr>
                <w:color w:val="FFFFFF"/>
                <w:sz w:val="17"/>
              </w:rPr>
            </w:r>
            <w:r>
              <w:rPr>
                <w:b/>
                <w:color w:val="FFFFFF"/>
                <w:sz w:val="17"/>
              </w:rPr>
              <w:t>Comportement</w:t>
            </w:r>
          </w:p>
        </w:tc>
      </w:tr>
      <w:tr>
        <w:tc>
          <w:tcPr>
            <w:tcW w:type="dxa" w:w="3609"/>
          </w:tcPr>
          <w:p>
            <w:pPr>
              <w:spacing w:after="40" w:before="40"/>
            </w:pPr>
            <w:r>
              <w:rPr>
                <w:sz w:val="17"/>
              </w:rPr>
            </w:r>
            <w:r>
              <w:rPr>
                <w:sz w:val="17"/>
              </w:rPr>
              <w:t>Red flag bloquant</w:t>
            </w:r>
          </w:p>
        </w:tc>
        <w:tc>
          <w:tcPr>
            <w:tcW w:type="dxa" w:w="5852"/>
          </w:tcPr>
          <w:p>
            <w:pPr>
              <w:spacing w:after="40" w:before="40"/>
            </w:pPr>
            <w:r>
              <w:rPr>
                <w:sz w:val="17"/>
              </w:rPr>
            </w:r>
            <w:r>
              <w:rPr>
                <w:sz w:val="17"/>
              </w:rPr>
              <w:t>Calcul arrêté avant toute agrégation ; aucun score produit ; motif de blocage explicite</w:t>
            </w:r>
          </w:p>
        </w:tc>
      </w:tr>
      <w:tr>
        <w:tc>
          <w:tcPr>
            <w:tcW w:type="dxa" w:w="3609"/>
            <w:shd w:val="clear" w:fill="F2F5F8"/>
          </w:tcPr>
          <w:p>
            <w:pPr>
              <w:spacing w:after="40" w:before="40"/>
            </w:pPr>
            <w:r>
              <w:rPr>
                <w:sz w:val="17"/>
              </w:rPr>
            </w:r>
            <w:r>
              <w:rPr>
                <w:sz w:val="17"/>
              </w:rPr>
              <w:t>Segment indéterminable</w:t>
            </w:r>
          </w:p>
        </w:tc>
        <w:tc>
          <w:tcPr>
            <w:tcW w:type="dxa" w:w="5852"/>
            <w:shd w:val="clear" w:fill="F2F5F8"/>
          </w:tcPr>
          <w:p>
            <w:pPr>
              <w:spacing w:after="40" w:before="40"/>
            </w:pPr>
            <w:r>
              <w:rPr>
                <w:sz w:val="17"/>
              </w:rPr>
            </w:r>
            <w:r>
              <w:rPr>
                <w:sz w:val="17"/>
              </w:rPr>
              <w:t>Scoring bloqué ; aucun segment par défaut</w:t>
            </w:r>
          </w:p>
        </w:tc>
      </w:tr>
      <w:tr>
        <w:tc>
          <w:tcPr>
            <w:tcW w:type="dxa" w:w="3609"/>
          </w:tcPr>
          <w:p>
            <w:pPr>
              <w:spacing w:after="40" w:before="40"/>
            </w:pPr>
            <w:r>
              <w:rPr>
                <w:sz w:val="17"/>
              </w:rPr>
            </w:r>
            <w:r>
              <w:rPr>
                <w:sz w:val="17"/>
              </w:rPr>
              <w:t>Donnée critique manquante ou invalide</w:t>
            </w:r>
          </w:p>
        </w:tc>
        <w:tc>
          <w:tcPr>
            <w:tcW w:type="dxa" w:w="5852"/>
          </w:tcPr>
          <w:p>
            <w:pPr>
              <w:spacing w:after="40" w:before="40"/>
            </w:pPr>
            <w:r>
              <w:rPr>
                <w:sz w:val="17"/>
              </w:rPr>
            </w:r>
            <w:r>
              <w:rPr>
                <w:sz w:val="17"/>
              </w:rPr>
              <w:t>Scoring bloqué, avec le critère nommé dans le motif</w:t>
            </w:r>
          </w:p>
        </w:tc>
      </w:tr>
      <w:tr>
        <w:tc>
          <w:tcPr>
            <w:tcW w:type="dxa" w:w="3609"/>
            <w:shd w:val="clear" w:fill="F2F5F8"/>
          </w:tcPr>
          <w:p>
            <w:pPr>
              <w:spacing w:after="40" w:before="40"/>
            </w:pPr>
            <w:r>
              <w:rPr>
                <w:sz w:val="17"/>
              </w:rPr>
            </w:r>
            <w:r>
              <w:rPr>
                <w:sz w:val="17"/>
              </w:rPr>
              <w:t>Donnée non critique manquante</w:t>
            </w:r>
          </w:p>
        </w:tc>
        <w:tc>
          <w:tcPr>
            <w:tcW w:type="dxa" w:w="5852"/>
            <w:shd w:val="clear" w:fill="F2F5F8"/>
          </w:tcPr>
          <w:p>
            <w:pPr>
              <w:spacing w:after="40" w:before="40"/>
            </w:pPr>
            <w:r>
              <w:rPr>
                <w:sz w:val="17"/>
              </w:rPr>
            </w:r>
            <w:r>
              <w:rPr>
                <w:sz w:val="17"/>
              </w:rPr>
              <w:t>Critère exclu du dénominateur, avertissement nommant le critère ; impact porté par le niveau de confiance</w:t>
            </w:r>
          </w:p>
        </w:tc>
      </w:tr>
      <w:tr>
        <w:tc>
          <w:tcPr>
            <w:tcW w:type="dxa" w:w="3609"/>
          </w:tcPr>
          <w:p>
            <w:pPr>
              <w:spacing w:after="40" w:before="40"/>
            </w:pPr>
            <w:r>
              <w:rPr>
                <w:sz w:val="17"/>
              </w:rPr>
            </w:r>
            <w:r>
              <w:rPr>
                <w:sz w:val="17"/>
              </w:rPr>
              <w:t>Critère non applicable</w:t>
            </w:r>
          </w:p>
        </w:tc>
        <w:tc>
          <w:tcPr>
            <w:tcW w:type="dxa" w:w="5852"/>
          </w:tcPr>
          <w:p>
            <w:pPr>
              <w:spacing w:after="40" w:before="40"/>
            </w:pPr>
            <w:r>
              <w:rPr>
                <w:sz w:val="17"/>
              </w:rPr>
            </w:r>
            <w:r>
              <w:rPr>
                <w:sz w:val="17"/>
              </w:rPr>
              <w:t>Poids redistribué à l'intérieur du domaine, sans avertissement</w:t>
            </w:r>
          </w:p>
        </w:tc>
      </w:tr>
      <w:tr>
        <w:tc>
          <w:tcPr>
            <w:tcW w:type="dxa" w:w="3609"/>
            <w:shd w:val="clear" w:fill="F2F5F8"/>
          </w:tcPr>
          <w:p>
            <w:pPr>
              <w:spacing w:after="40" w:before="40"/>
            </w:pPr>
            <w:r>
              <w:rPr>
                <w:sz w:val="17"/>
              </w:rPr>
            </w:r>
            <w:r>
              <w:rPr>
                <w:sz w:val="17"/>
              </w:rPr>
              <w:t>Cas spécial documenté</w:t>
            </w:r>
          </w:p>
        </w:tc>
        <w:tc>
          <w:tcPr>
            <w:tcW w:type="dxa" w:w="5852"/>
            <w:shd w:val="clear" w:fill="F2F5F8"/>
          </w:tcPr>
          <w:p>
            <w:pPr>
              <w:spacing w:after="40" w:before="40"/>
            </w:pPr>
            <w:r>
              <w:rPr>
                <w:sz w:val="17"/>
              </w:rPr>
            </w:r>
            <w:r>
              <w:rPr>
                <w:sz w:val="17"/>
              </w:rPr>
              <w:t>Score nul explicite, avec mention du cas dans l'explication</w:t>
            </w:r>
          </w:p>
        </w:tc>
      </w:tr>
      <w:tr>
        <w:tc>
          <w:tcPr>
            <w:tcW w:type="dxa" w:w="3609"/>
          </w:tcPr>
          <w:p>
            <w:pPr>
              <w:spacing w:after="40" w:before="40"/>
            </w:pPr>
            <w:r>
              <w:rPr>
                <w:sz w:val="17"/>
              </w:rPr>
            </w:r>
            <w:r>
              <w:rPr>
                <w:sz w:val="17"/>
              </w:rPr>
              <w:t>Confiance insuffisante</w:t>
            </w:r>
          </w:p>
        </w:tc>
        <w:tc>
          <w:tcPr>
            <w:tcW w:type="dxa" w:w="5852"/>
          </w:tcPr>
          <w:p>
            <w:pPr>
              <w:spacing w:after="40" w:before="40"/>
            </w:pPr>
            <w:r>
              <w:rPr>
                <w:sz w:val="17"/>
              </w:rPr>
            </w:r>
            <w:r>
              <w:rPr>
                <w:sz w:val="17"/>
              </w:rPr>
              <w:t>Aucun grade final ; score brut conservé pour la surveillance</w:t>
            </w:r>
          </w:p>
        </w:tc>
      </w:tr>
      <w:tr>
        <w:tc>
          <w:tcPr>
            <w:tcW w:type="dxa" w:w="3609"/>
            <w:shd w:val="clear" w:fill="F2F5F8"/>
          </w:tcPr>
          <w:p>
            <w:pPr>
              <w:spacing w:after="40" w:before="40"/>
            </w:pPr>
            <w:r>
              <w:rPr>
                <w:sz w:val="17"/>
              </w:rPr>
            </w:r>
            <w:r>
              <w:rPr>
                <w:sz w:val="17"/>
              </w:rPr>
              <w:t>Défaut avéré</w:t>
            </w:r>
          </w:p>
        </w:tc>
        <w:tc>
          <w:tcPr>
            <w:tcW w:type="dxa" w:w="5852"/>
            <w:shd w:val="clear" w:fill="F2F5F8"/>
          </w:tcPr>
          <w:p>
            <w:pPr>
              <w:spacing w:after="40" w:before="40"/>
            </w:pPr>
            <w:r>
              <w:rPr>
                <w:sz w:val="17"/>
              </w:rPr>
            </w:r>
            <w:r>
              <w:rPr>
                <w:sz w:val="17"/>
              </w:rPr>
              <w:t>Grade défaut forcé, indépendamment du score ; score brut conservé</w:t>
            </w:r>
          </w:p>
        </w:tc>
      </w:tr>
    </w:tbl>
    <w:p>
      <w:pPr>
        <w:spacing w:after="80"/>
      </w:pPr>
    </w:p>
    <w:p>
      <w:r>
        <w:rPr>
          <w:b/>
        </w:rPr>
        <w:t>À aucun moment une donnée absente n'est convertie en zéro ou en score neutre.</w:t>
      </w:r>
    </w:p>
    <w:p>
      <w:pPr>
        <w:pStyle w:val="Heading3"/>
      </w:pPr>
      <w:r>
        <w:t>18.4 Explicabilité</w:t>
      </w:r>
    </w:p>
    <w:p>
      <w:r>
        <w:t>Chaque résultat porte, pour chaque critère : la valeur d'entrée, l'état de la donnée, la bande retenue avec ses bornes, le score attribué, le poids appliqué, la contribution au domaine et une explication en langue naturelle. Au niveau global : le score brut, les scores de domaine avec leur poids théorique et applicable, les caps appliqués avec leur source, les red flags avec leur niveau et leur traitement, les motifs de blocage, les avertissements, et les cinq principaux facteurs favorables et défavorables classés par contribution pondérée.</w:t>
      </w:r>
    </w:p>
    <w:p>
      <w:pPr>
        <w:pStyle w:val="Heading2"/>
      </w:pPr>
      <w:r>
        <w:t>19. Interface de programmation bidirectionnelle</w:t>
      </w:r>
    </w:p>
    <w:p>
      <w:pPr>
        <w:pStyle w:val="Heading3"/>
      </w:pPr>
      <w:r>
        <w:t>19.1 Principes contractuels</w:t>
      </w:r>
    </w:p>
    <w:p>
      <w:r>
        <w:t>L'interface est décrite en OpenAPI 3.1 (</w:t>
      </w:r>
      <w:r>
        <w:rPr>
          <w:rFonts w:ascii="Consolas" w:hAnsi="Consolas"/>
          <w:color w:val="8A2B2B"/>
          <w:sz w:val="18"/>
        </w:rPr>
        <w:t>openapi.yaml</w:t>
      </w:r>
      <w:r>
        <w:t>). Quatre principes la gouvernent.</w:t>
      </w:r>
    </w:p>
    <w:p>
      <w:r>
        <w:rPr>
          <w:b/>
        </w:rPr>
        <w:t>L'identité provient toujours du jeton</w:t>
      </w:r>
      <w:r>
        <w:t>, jamais du corps de requête. Le champ identifiant l'auteur d'une exécution est renseigné par le serveur depuis le contexte de sécurité.</w:t>
      </w:r>
    </w:p>
    <w:p>
      <w:r>
        <w:rPr>
          <w:b/>
        </w:rPr>
        <w:t>Le client ne fournit jamais un poids, une formule ni un score final.</w:t>
      </w:r>
      <w:r>
        <w:t xml:space="preserve"> Il transmet des observations — valeurs mesurées et scores qualitatifs ancrés. Le serveur applique les poids et barèmes de la version publiée et recalcule intégralement.</w:t>
      </w:r>
    </w:p>
    <w:p>
      <w:r>
        <w:rPr>
          <w:b/>
        </w:rPr>
        <w:t>Les créations et calculs sont idempotents.</w:t>
      </w:r>
      <w:r>
        <w:t xml:space="preserve"> Une clé d'idempotence identique retourne l'exécution existante plutôt que d'en créer une seconde, contradictoire.</w:t>
      </w:r>
    </w:p>
    <w:p>
      <w:r>
        <w:rPr>
          <w:b/>
        </w:rPr>
        <w:t>Les erreurs suivent un format normalisé</w:t>
      </w:r>
      <w:r>
        <w:t xml:space="preserve"> (RFC 9457), sans trace d'exécution ni détail interne.</w:t>
      </w:r>
    </w:p>
    <w:p>
      <w:pPr>
        <w:pStyle w:val="Heading3"/>
      </w:pPr>
      <w:r>
        <w:t>19.2 Ressources exposées</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2275"/>
            <w:shd w:val="clear" w:fill="0F3D63"/>
          </w:tcPr>
          <w:p>
            <w:pPr>
              <w:spacing w:after="40" w:before="40"/>
            </w:pPr>
            <w:r>
              <w:rPr>
                <w:color w:val="FFFFFF"/>
                <w:sz w:val="17"/>
              </w:rPr>
            </w:r>
            <w:r>
              <w:rPr>
                <w:b/>
                <w:color w:val="FFFFFF"/>
                <w:sz w:val="17"/>
              </w:rPr>
              <w:t>Domaine</w:t>
            </w:r>
          </w:p>
        </w:tc>
        <w:tc>
          <w:tcPr>
            <w:tcW w:type="dxa" w:w="7186"/>
            <w:shd w:val="clear" w:fill="0F3D63"/>
          </w:tcPr>
          <w:p>
            <w:pPr>
              <w:spacing w:after="40" w:before="40"/>
            </w:pPr>
            <w:r>
              <w:rPr>
                <w:color w:val="FFFFFF"/>
                <w:sz w:val="17"/>
              </w:rPr>
            </w:r>
            <w:r>
              <w:rPr>
                <w:b/>
                <w:color w:val="FFFFFF"/>
                <w:sz w:val="17"/>
              </w:rPr>
              <w:t>Points d'entrée</w:t>
            </w:r>
          </w:p>
        </w:tc>
      </w:tr>
      <w:tr>
        <w:tc>
          <w:tcPr>
            <w:tcW w:type="dxa" w:w="2275"/>
          </w:tcPr>
          <w:p>
            <w:pPr>
              <w:spacing w:after="40" w:before="40"/>
            </w:pPr>
            <w:r>
              <w:rPr>
                <w:sz w:val="17"/>
              </w:rPr>
            </w:r>
            <w:r>
              <w:rPr>
                <w:sz w:val="17"/>
              </w:rPr>
              <w:t>Santé</w:t>
            </w:r>
          </w:p>
        </w:tc>
        <w:tc>
          <w:tcPr>
            <w:tcW w:type="dxa" w:w="7186"/>
          </w:tcPr>
          <w:p>
            <w:pPr>
              <w:spacing w:after="40" w:before="40"/>
            </w:pPr>
            <w:r>
              <w:rPr>
                <w:sz w:val="17"/>
              </w:rPr>
            </w:r>
            <w:r>
              <w:rPr>
                <w:rFonts w:ascii="Consolas" w:hAnsi="Consolas"/>
                <w:color w:val="8A2B2B"/>
                <w:sz w:val="17"/>
              </w:rPr>
              <w:t>GET /health</w:t>
            </w:r>
            <w:r>
              <w:rPr>
                <w:sz w:val="17"/>
              </w:rPr>
              <w:t xml:space="preserve"> — sans authentification, sans donnée sensible</w:t>
            </w:r>
          </w:p>
        </w:tc>
      </w:tr>
      <w:tr>
        <w:tc>
          <w:tcPr>
            <w:tcW w:type="dxa" w:w="2275"/>
            <w:shd w:val="clear" w:fill="F2F5F8"/>
          </w:tcPr>
          <w:p>
            <w:pPr>
              <w:spacing w:after="40" w:before="40"/>
            </w:pPr>
            <w:r>
              <w:rPr>
                <w:sz w:val="17"/>
              </w:rPr>
            </w:r>
            <w:r>
              <w:rPr>
                <w:sz w:val="17"/>
              </w:rPr>
              <w:t>Modèles</w:t>
            </w:r>
          </w:p>
        </w:tc>
        <w:tc>
          <w:tcPr>
            <w:tcW w:type="dxa" w:w="7186"/>
            <w:shd w:val="clear" w:fill="F2F5F8"/>
          </w:tcPr>
          <w:p>
            <w:pPr>
              <w:spacing w:after="40" w:before="40"/>
            </w:pPr>
            <w:r>
              <w:rPr>
                <w:sz w:val="17"/>
              </w:rPr>
            </w:r>
            <w:r>
              <w:rPr>
                <w:rFonts w:ascii="Consolas" w:hAnsi="Consolas"/>
                <w:color w:val="8A2B2B"/>
                <w:sz w:val="17"/>
              </w:rPr>
              <w:t>GET /models</w:t>
            </w:r>
            <w:r>
              <w:rPr>
                <w:sz w:val="17"/>
              </w:rPr>
              <w:t xml:space="preserve">, </w:t>
            </w:r>
            <w:r>
              <w:rPr>
                <w:rFonts w:ascii="Consolas" w:hAnsi="Consolas"/>
                <w:color w:val="8A2B2B"/>
                <w:sz w:val="17"/>
              </w:rPr>
              <w:t>GET /models/{modelId}</w:t>
            </w:r>
            <w:r>
              <w:rPr>
                <w:sz w:val="17"/>
              </w:rPr>
              <w:t xml:space="preserve"> — configuration complète en lecture</w:t>
            </w:r>
          </w:p>
        </w:tc>
      </w:tr>
      <w:tr>
        <w:tc>
          <w:tcPr>
            <w:tcW w:type="dxa" w:w="2275"/>
          </w:tcPr>
          <w:p>
            <w:pPr>
              <w:spacing w:after="40" w:before="40"/>
            </w:pPr>
            <w:r>
              <w:rPr>
                <w:sz w:val="17"/>
              </w:rPr>
            </w:r>
            <w:r>
              <w:rPr>
                <w:sz w:val="17"/>
              </w:rPr>
              <w:t>Contreparties</w:t>
            </w:r>
          </w:p>
        </w:tc>
        <w:tc>
          <w:tcPr>
            <w:tcW w:type="dxa" w:w="7186"/>
          </w:tcPr>
          <w:p>
            <w:pPr>
              <w:spacing w:after="40" w:before="40"/>
            </w:pPr>
            <w:r>
              <w:rPr>
                <w:sz w:val="17"/>
              </w:rPr>
            </w:r>
            <w:r>
              <w:rPr>
                <w:rFonts w:ascii="Consolas" w:hAnsi="Consolas"/>
                <w:color w:val="8A2B2B"/>
                <w:sz w:val="17"/>
              </w:rPr>
              <w:t>GET</w:t>
            </w:r>
            <w:r>
              <w:rPr>
                <w:sz w:val="17"/>
              </w:rPr>
              <w:t xml:space="preserve">, </w:t>
            </w:r>
            <w:r>
              <w:rPr>
                <w:rFonts w:ascii="Consolas" w:hAnsi="Consolas"/>
                <w:color w:val="8A2B2B"/>
                <w:sz w:val="17"/>
              </w:rPr>
              <w:t>POST /counterparties</w:t>
            </w:r>
            <w:r>
              <w:rPr>
                <w:sz w:val="17"/>
              </w:rPr>
              <w:t xml:space="preserve"> ; </w:t>
            </w:r>
            <w:r>
              <w:rPr>
                <w:rFonts w:ascii="Consolas" w:hAnsi="Consolas"/>
                <w:color w:val="8A2B2B"/>
                <w:sz w:val="17"/>
              </w:rPr>
              <w:t>GET</w:t>
            </w:r>
            <w:r>
              <w:rPr>
                <w:sz w:val="17"/>
              </w:rPr>
              <w:t xml:space="preserve">, </w:t>
            </w:r>
            <w:r>
              <w:rPr>
                <w:rFonts w:ascii="Consolas" w:hAnsi="Consolas"/>
                <w:color w:val="8A2B2B"/>
                <w:sz w:val="17"/>
              </w:rPr>
              <w:t>PATCH /counterparties/{id}</w:t>
            </w:r>
            <w:r>
              <w:rPr>
                <w:sz w:val="17"/>
              </w:rPr>
              <w:t xml:space="preserve"> ; </w:t>
            </w:r>
            <w:r>
              <w:rPr>
                <w:rFonts w:ascii="Consolas" w:hAnsi="Consolas"/>
                <w:color w:val="8A2B2B"/>
                <w:sz w:val="17"/>
              </w:rPr>
              <w:t>GET /counterparties/{id}/rating-runs</w:t>
            </w:r>
          </w:p>
        </w:tc>
      </w:tr>
      <w:tr>
        <w:tc>
          <w:tcPr>
            <w:tcW w:type="dxa" w:w="2275"/>
            <w:shd w:val="clear" w:fill="F2F5F8"/>
          </w:tcPr>
          <w:p>
            <w:pPr>
              <w:spacing w:after="40" w:before="40"/>
            </w:pPr>
            <w:r>
              <w:rPr>
                <w:sz w:val="17"/>
              </w:rPr>
            </w:r>
            <w:r>
              <w:rPr>
                <w:sz w:val="17"/>
              </w:rPr>
              <w:t>Notation</w:t>
            </w:r>
          </w:p>
        </w:tc>
        <w:tc>
          <w:tcPr>
            <w:tcW w:type="dxa" w:w="7186"/>
            <w:shd w:val="clear" w:fill="F2F5F8"/>
          </w:tcPr>
          <w:p>
            <w:pPr>
              <w:spacing w:after="40" w:before="40"/>
            </w:pPr>
            <w:r>
              <w:rPr>
                <w:sz w:val="17"/>
              </w:rPr>
            </w:r>
            <w:r>
              <w:rPr>
                <w:rFonts w:ascii="Consolas" w:hAnsi="Consolas"/>
                <w:color w:val="8A2B2B"/>
                <w:sz w:val="17"/>
              </w:rPr>
              <w:t>POST /rating-runs</w:t>
            </w:r>
            <w:r>
              <w:rPr>
                <w:sz w:val="17"/>
              </w:rPr>
              <w:t xml:space="preserve"> (calcul persisté), </w:t>
            </w:r>
            <w:r>
              <w:rPr>
                <w:rFonts w:ascii="Consolas" w:hAnsi="Consolas"/>
                <w:color w:val="8A2B2B"/>
                <w:sz w:val="17"/>
              </w:rPr>
              <w:t>POST /rating-runs/simulate</w:t>
            </w:r>
            <w:r>
              <w:rPr>
                <w:sz w:val="17"/>
              </w:rPr>
              <w:t xml:space="preserve"> (calcul sans effet de bord), </w:t>
            </w:r>
            <w:r>
              <w:rPr>
                <w:rFonts w:ascii="Consolas" w:hAnsi="Consolas"/>
                <w:color w:val="8A2B2B"/>
                <w:sz w:val="17"/>
              </w:rPr>
              <w:t>GET /rating-runs</w:t>
            </w:r>
            <w:r>
              <w:rPr>
                <w:sz w:val="17"/>
              </w:rPr>
              <w:t xml:space="preserve">, </w:t>
            </w:r>
            <w:r>
              <w:rPr>
                <w:rFonts w:ascii="Consolas" w:hAnsi="Consolas"/>
                <w:color w:val="8A2B2B"/>
                <w:sz w:val="17"/>
              </w:rPr>
              <w:t>GET /rating-runs/{id}</w:t>
            </w:r>
          </w:p>
        </w:tc>
      </w:tr>
      <w:tr>
        <w:tc>
          <w:tcPr>
            <w:tcW w:type="dxa" w:w="2275"/>
          </w:tcPr>
          <w:p>
            <w:pPr>
              <w:spacing w:after="40" w:before="40"/>
            </w:pPr>
            <w:r>
              <w:rPr>
                <w:sz w:val="17"/>
              </w:rPr>
            </w:r>
            <w:r>
              <w:rPr>
                <w:sz w:val="17"/>
              </w:rPr>
              <w:t>Dérogations</w:t>
            </w:r>
          </w:p>
        </w:tc>
        <w:tc>
          <w:tcPr>
            <w:tcW w:type="dxa" w:w="7186"/>
          </w:tcPr>
          <w:p>
            <w:pPr>
              <w:spacing w:after="40" w:before="40"/>
            </w:pPr>
            <w:r>
              <w:rPr>
                <w:sz w:val="17"/>
              </w:rPr>
            </w:r>
            <w:r>
              <w:rPr>
                <w:rFonts w:ascii="Consolas" w:hAnsi="Consolas"/>
                <w:color w:val="8A2B2B"/>
                <w:sz w:val="17"/>
              </w:rPr>
              <w:t>POST /overrides</w:t>
            </w:r>
            <w:r>
              <w:rPr>
                <w:sz w:val="17"/>
              </w:rPr>
              <w:t xml:space="preserve"> (demandeur), </w:t>
            </w:r>
            <w:r>
              <w:rPr>
                <w:rFonts w:ascii="Consolas" w:hAnsi="Consolas"/>
                <w:color w:val="8A2B2B"/>
                <w:sz w:val="17"/>
              </w:rPr>
              <w:t>POST /overrides/{id}/decision</w:t>
            </w:r>
            <w:r>
              <w:rPr>
                <w:sz w:val="17"/>
              </w:rPr>
              <w:t xml:space="preserve"> (valideur distinct)</w:t>
            </w:r>
          </w:p>
        </w:tc>
      </w:tr>
      <w:tr>
        <w:tc>
          <w:tcPr>
            <w:tcW w:type="dxa" w:w="2275"/>
            <w:shd w:val="clear" w:fill="F2F5F8"/>
          </w:tcPr>
          <w:p>
            <w:pPr>
              <w:spacing w:after="40" w:before="40"/>
            </w:pPr>
            <w:r>
              <w:rPr>
                <w:sz w:val="17"/>
              </w:rPr>
            </w:r>
            <w:r>
              <w:rPr>
                <w:sz w:val="17"/>
              </w:rPr>
              <w:t>Événements sortants</w:t>
            </w:r>
          </w:p>
        </w:tc>
        <w:tc>
          <w:tcPr>
            <w:tcW w:type="dxa" w:w="7186"/>
            <w:shd w:val="clear" w:fill="F2F5F8"/>
          </w:tcPr>
          <w:p>
            <w:pPr>
              <w:spacing w:after="40" w:before="40"/>
            </w:pPr>
            <w:r>
              <w:rPr>
                <w:sz w:val="17"/>
              </w:rPr>
            </w:r>
            <w:r>
              <w:rPr>
                <w:rFonts w:ascii="Consolas" w:hAnsi="Consolas"/>
                <w:color w:val="8A2B2B"/>
                <w:sz w:val="17"/>
              </w:rPr>
              <w:t>GET</w:t>
            </w:r>
            <w:r>
              <w:rPr>
                <w:sz w:val="17"/>
              </w:rPr>
              <w:t xml:space="preserve">, </w:t>
            </w:r>
            <w:r>
              <w:rPr>
                <w:rFonts w:ascii="Consolas" w:hAnsi="Consolas"/>
                <w:color w:val="8A2B2B"/>
                <w:sz w:val="17"/>
              </w:rPr>
              <w:t>POST /webhook-subscriptions</w:t>
            </w:r>
            <w:r>
              <w:rPr>
                <w:sz w:val="17"/>
              </w:rPr>
              <w:t xml:space="preserve">, </w:t>
            </w:r>
            <w:r>
              <w:rPr>
                <w:rFonts w:ascii="Consolas" w:hAnsi="Consolas"/>
                <w:color w:val="8A2B2B"/>
                <w:sz w:val="17"/>
              </w:rPr>
              <w:t>DELETE /webhook-subscriptions/{id}</w:t>
            </w:r>
          </w:p>
        </w:tc>
      </w:tr>
    </w:tbl>
    <w:p>
      <w:pPr>
        <w:spacing w:after="80"/>
      </w:pPr>
    </w:p>
    <w:p>
      <w:r>
        <w:t xml:space="preserve">La consultation détaillée d'une exécution restitue l'instantané des données d'entrée </w:t>
      </w:r>
      <w:r>
        <w:rPr>
          <w:b/>
        </w:rPr>
        <w:t>et</w:t>
      </w:r>
      <w:r>
        <w:t xml:space="preserve"> le résultat complet, permettant de rejouer et de vérifier un calcul historique.</w:t>
      </w:r>
    </w:p>
    <w:p>
      <w:pPr>
        <w:pStyle w:val="Heading3"/>
      </w:pPr>
      <w:r>
        <w:t>19.3 Événements sortants</w:t>
      </w:r>
    </w:p>
    <w:p>
      <w:r>
        <w:t>Les notifications sont signées en HMAC SHA-256 sur la concaténation de l'horodatage et du corps brut. Chaque envoi porte un identifiant unique servant de protection contre le rejeu, un horodatage et le type d'événement. Le consommateur doit vérifier la signature, rejeter au-delà d'une fenêtre de trois cents secondes, mémoriser l'identifiant et rester idempotent, la livraison étant garantie au moins une fois.</w:t>
      </w:r>
    </w:p>
    <w:p>
      <w:r>
        <w:t>Chaque tentative est journalisée avec son statut, son nombre d'essais et son erreur éventuelle.</w:t>
      </w:r>
    </w:p>
    <w:p>
      <w:r>
        <w:t xml:space="preserve">Événements produits : </w:t>
      </w:r>
      <w:r>
        <w:rPr>
          <w:rFonts w:ascii="Consolas" w:hAnsi="Consolas"/>
          <w:color w:val="8A2B2B"/>
          <w:sz w:val="18"/>
        </w:rPr>
        <w:t>rating.completed</w:t>
      </w:r>
      <w:r>
        <w:t xml:space="preserve">, </w:t>
      </w:r>
      <w:r>
        <w:rPr>
          <w:rFonts w:ascii="Consolas" w:hAnsi="Consolas"/>
          <w:color w:val="8A2B2B"/>
          <w:sz w:val="18"/>
        </w:rPr>
        <w:t>rating.blocked</w:t>
      </w:r>
      <w:r>
        <w:t xml:space="preserve">, </w:t>
      </w:r>
      <w:r>
        <w:rPr>
          <w:rFonts w:ascii="Consolas" w:hAnsi="Consolas"/>
          <w:color w:val="8A2B2B"/>
          <w:sz w:val="18"/>
        </w:rPr>
        <w:t>rating.overridden</w:t>
      </w:r>
      <w:r>
        <w:t xml:space="preserve">, </w:t>
      </w:r>
      <w:r>
        <w:rPr>
          <w:rFonts w:ascii="Consolas" w:hAnsi="Consolas"/>
          <w:color w:val="8A2B2B"/>
          <w:sz w:val="18"/>
        </w:rPr>
        <w:t>counterparty.updated</w:t>
      </w:r>
      <w:r>
        <w:t>.</w:t>
      </w:r>
    </w:p>
    <w:p>
      <w:pPr>
        <w:pStyle w:val="Heading2"/>
      </w:pPr>
      <w:r>
        <w:t>20. Persistance et compatibilité multi-bases</w:t>
      </w:r>
    </w:p>
    <w:p>
      <w:pPr>
        <w:pStyle w:val="Heading3"/>
      </w:pPr>
      <w:r>
        <w:t>20.1 Source de schéma unique</w:t>
      </w:r>
    </w:p>
    <w:p>
      <w:r>
        <w:t xml:space="preserve">Le schéma possède une </w:t>
      </w:r>
      <w:r>
        <w:rPr>
          <w:b/>
        </w:rPr>
        <w:t>source canonique unique</w:t>
      </w:r>
      <w:r>
        <w:t xml:space="preserve"> (</w:t>
      </w:r>
      <w:r>
        <w:rPr>
          <w:rFonts w:ascii="Consolas" w:hAnsi="Consolas"/>
          <w:color w:val="8A2B2B"/>
          <w:sz w:val="18"/>
        </w:rPr>
        <w:t>prisma/schema.template.prisma</w:t>
      </w:r>
      <w:r>
        <w:t>) à partir de laquelle le schéma effectif est généré pour le dialecte cible. La génération est idempotente et réversible : appliquer successivement quatre dialectes puis revenir au premier restitue exactement le schéma d'origine, propriété vérifiée.</w:t>
      </w:r>
    </w:p>
    <w:p>
      <w:pPr>
        <w:pStyle w:val="Heading3"/>
      </w:pPr>
      <w:r>
        <w:t>20.2 Choix de portabilité</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4347"/>
            <w:shd w:val="clear" w:fill="0F3D63"/>
          </w:tcPr>
          <w:p>
            <w:pPr>
              <w:spacing w:after="40" w:before="40"/>
            </w:pPr>
            <w:r>
              <w:rPr>
                <w:color w:val="FFFFFF"/>
                <w:sz w:val="17"/>
              </w:rPr>
            </w:r>
            <w:r>
              <w:rPr>
                <w:b/>
                <w:color w:val="FFFFFF"/>
                <w:sz w:val="17"/>
              </w:rPr>
              <w:t>Choix</w:t>
            </w:r>
          </w:p>
        </w:tc>
        <w:tc>
          <w:tcPr>
            <w:tcW w:type="dxa" w:w="5114"/>
            <w:shd w:val="clear" w:fill="0F3D63"/>
          </w:tcPr>
          <w:p>
            <w:pPr>
              <w:spacing w:after="40" w:before="40"/>
            </w:pPr>
            <w:r>
              <w:rPr>
                <w:color w:val="FFFFFF"/>
                <w:sz w:val="17"/>
              </w:rPr>
            </w:r>
            <w:r>
              <w:rPr>
                <w:b/>
                <w:color w:val="FFFFFF"/>
                <w:sz w:val="17"/>
              </w:rPr>
              <w:t>Motif</w:t>
            </w:r>
          </w:p>
        </w:tc>
      </w:tr>
      <w:tr>
        <w:tc>
          <w:tcPr>
            <w:tcW w:type="dxa" w:w="4347"/>
          </w:tcPr>
          <w:p>
            <w:pPr>
              <w:spacing w:after="40" w:before="40"/>
            </w:pPr>
            <w:r>
              <w:rPr>
                <w:sz w:val="17"/>
              </w:rPr>
            </w:r>
            <w:r>
              <w:rPr>
                <w:sz w:val="17"/>
              </w:rPr>
              <w:t>Identifiants textuels non séquentiels</w:t>
            </w:r>
          </w:p>
        </w:tc>
        <w:tc>
          <w:tcPr>
            <w:tcW w:type="dxa" w:w="5114"/>
          </w:tcPr>
          <w:p>
            <w:pPr>
              <w:spacing w:after="40" w:before="40"/>
            </w:pPr>
            <w:r>
              <w:rPr>
                <w:sz w:val="17"/>
              </w:rPr>
            </w:r>
            <w:r>
              <w:rPr>
                <w:sz w:val="17"/>
              </w:rPr>
              <w:t>Évite les collisions concurrentes et les fuites d'information par énumération ; supprime la dépendance aux séquences</w:t>
            </w:r>
          </w:p>
        </w:tc>
      </w:tr>
      <w:tr>
        <w:tc>
          <w:tcPr>
            <w:tcW w:type="dxa" w:w="4347"/>
            <w:shd w:val="clear" w:fill="F2F5F8"/>
          </w:tcPr>
          <w:p>
            <w:pPr>
              <w:spacing w:after="40" w:before="40"/>
            </w:pPr>
            <w:r>
              <w:rPr>
                <w:sz w:val="17"/>
              </w:rPr>
            </w:r>
            <w:r>
              <w:rPr>
                <w:sz w:val="17"/>
              </w:rPr>
              <w:t>Aucun type énuméré natif</w:t>
            </w:r>
          </w:p>
        </w:tc>
        <w:tc>
          <w:tcPr>
            <w:tcW w:type="dxa" w:w="5114"/>
            <w:shd w:val="clear" w:fill="F2F5F8"/>
          </w:tcPr>
          <w:p>
            <w:pPr>
              <w:spacing w:after="40" w:before="40"/>
            </w:pPr>
            <w:r>
              <w:rPr>
                <w:sz w:val="17"/>
              </w:rPr>
            </w:r>
            <w:r>
              <w:rPr>
                <w:sz w:val="17"/>
              </w:rPr>
              <w:t>Les énumérations natives sont mal supportées et coûteuses à faire évoluer sur certains moteurs ; les valeurs sont validées applicativement</w:t>
            </w:r>
          </w:p>
        </w:tc>
      </w:tr>
      <w:tr>
        <w:tc>
          <w:tcPr>
            <w:tcW w:type="dxa" w:w="4347"/>
          </w:tcPr>
          <w:p>
            <w:pPr>
              <w:spacing w:after="40" w:before="40"/>
            </w:pPr>
            <w:r>
              <w:rPr>
                <w:sz w:val="17"/>
              </w:rPr>
            </w:r>
            <w:r>
              <w:rPr>
                <w:sz w:val="17"/>
              </w:rPr>
              <w:t>Charges JSON stockées en texte</w:t>
            </w:r>
          </w:p>
        </w:tc>
        <w:tc>
          <w:tcPr>
            <w:tcW w:type="dxa" w:w="5114"/>
          </w:tcPr>
          <w:p>
            <w:pPr>
              <w:spacing w:after="40" w:before="40"/>
            </w:pPr>
            <w:r>
              <w:rPr>
                <w:sz w:val="17"/>
              </w:rPr>
            </w:r>
            <w:r>
              <w:rPr>
                <w:sz w:val="17"/>
              </w:rPr>
              <w:t>Supprime la dépendance à un type JSON natif propriétaire</w:t>
            </w:r>
          </w:p>
        </w:tc>
      </w:tr>
      <w:tr>
        <w:tc>
          <w:tcPr>
            <w:tcW w:type="dxa" w:w="4347"/>
            <w:shd w:val="clear" w:fill="F2F5F8"/>
          </w:tcPr>
          <w:p>
            <w:pPr>
              <w:spacing w:after="40" w:before="40"/>
            </w:pPr>
            <w:r>
              <w:rPr>
                <w:sz w:val="17"/>
              </w:rPr>
            </w:r>
            <w:r>
              <w:rPr>
                <w:sz w:val="17"/>
              </w:rPr>
              <w:t>Montants et scores en décimal</w:t>
            </w:r>
          </w:p>
        </w:tc>
        <w:tc>
          <w:tcPr>
            <w:tcW w:type="dxa" w:w="5114"/>
            <w:shd w:val="clear" w:fill="F2F5F8"/>
          </w:tcPr>
          <w:p>
            <w:pPr>
              <w:spacing w:after="40" w:before="40"/>
            </w:pPr>
            <w:r>
              <w:rPr>
                <w:sz w:val="17"/>
              </w:rPr>
            </w:r>
            <w:r>
              <w:rPr>
                <w:sz w:val="17"/>
              </w:rPr>
              <w:t>Élimine les erreurs d'arrondi du flottant binaire sur des valeurs financières</w:t>
            </w:r>
          </w:p>
        </w:tc>
      </w:tr>
      <w:tr>
        <w:tc>
          <w:tcPr>
            <w:tcW w:type="dxa" w:w="4347"/>
          </w:tcPr>
          <w:p>
            <w:pPr>
              <w:spacing w:after="40" w:before="40"/>
            </w:pPr>
            <w:r>
              <w:rPr>
                <w:sz w:val="17"/>
              </w:rPr>
            </w:r>
            <w:r>
              <w:rPr>
                <w:sz w:val="17"/>
              </w:rPr>
              <w:t>Horodatages en temps universel</w:t>
            </w:r>
          </w:p>
        </w:tc>
        <w:tc>
          <w:tcPr>
            <w:tcW w:type="dxa" w:w="5114"/>
          </w:tcPr>
          <w:p>
            <w:pPr>
              <w:spacing w:after="40" w:before="40"/>
            </w:pPr>
            <w:r>
              <w:rPr>
                <w:sz w:val="17"/>
              </w:rPr>
            </w:r>
            <w:r>
              <w:rPr>
                <w:sz w:val="17"/>
              </w:rPr>
              <w:t>Le fuseau métier est traité applicativement</w:t>
            </w:r>
          </w:p>
        </w:tc>
      </w:tr>
      <w:tr>
        <w:tc>
          <w:tcPr>
            <w:tcW w:type="dxa" w:w="4347"/>
            <w:shd w:val="clear" w:fill="F2F5F8"/>
          </w:tcPr>
          <w:p>
            <w:pPr>
              <w:spacing w:after="40" w:before="40"/>
            </w:pPr>
            <w:r>
              <w:rPr>
                <w:sz w:val="17"/>
              </w:rPr>
            </w:r>
            <w:r>
              <w:rPr>
                <w:sz w:val="17"/>
              </w:rPr>
              <w:t>Date d'arrêté distincte de la date d'enregistrement</w:t>
            </w:r>
          </w:p>
        </w:tc>
        <w:tc>
          <w:tcPr>
            <w:tcW w:type="dxa" w:w="5114"/>
            <w:shd w:val="clear" w:fill="F2F5F8"/>
          </w:tcPr>
          <w:p>
            <w:pPr>
              <w:spacing w:after="40" w:before="40"/>
            </w:pPr>
            <w:r>
              <w:rPr>
                <w:sz w:val="17"/>
              </w:rPr>
            </w:r>
            <w:r>
              <w:rPr>
                <w:sz w:val="17"/>
              </w:rPr>
              <w:t>Sépare temps métier et temps système, condition du rejeu historique</w:t>
            </w:r>
          </w:p>
        </w:tc>
      </w:tr>
    </w:tbl>
    <w:p>
      <w:pPr>
        <w:spacing w:after="80"/>
      </w:pPr>
    </w:p>
    <w:p>
      <w:pPr>
        <w:pStyle w:val="Heading3"/>
      </w:pPr>
      <w:r>
        <w:t>20.3 Matrice de compatibilité</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142"/>
            <w:shd w:val="clear" w:fill="0F3D63"/>
          </w:tcPr>
          <w:p>
            <w:pPr>
              <w:spacing w:after="40" w:before="40"/>
            </w:pPr>
            <w:r>
              <w:rPr>
                <w:color w:val="FFFFFF"/>
                <w:sz w:val="17"/>
              </w:rPr>
            </w:r>
            <w:r>
              <w:rPr>
                <w:b/>
                <w:color w:val="FFFFFF"/>
                <w:sz w:val="17"/>
              </w:rPr>
              <w:t>Moteur</w:t>
            </w:r>
          </w:p>
        </w:tc>
        <w:tc>
          <w:tcPr>
            <w:tcW w:type="dxa" w:w="2142"/>
            <w:shd w:val="clear" w:fill="0F3D63"/>
          </w:tcPr>
          <w:p>
            <w:pPr>
              <w:spacing w:after="40" w:before="40"/>
            </w:pPr>
            <w:r>
              <w:rPr>
                <w:color w:val="FFFFFF"/>
                <w:sz w:val="17"/>
              </w:rPr>
            </w:r>
            <w:r>
              <w:rPr>
                <w:b/>
                <w:color w:val="FFFFFF"/>
                <w:sz w:val="17"/>
              </w:rPr>
              <w:t>Niveau</w:t>
            </w:r>
          </w:p>
        </w:tc>
        <w:tc>
          <w:tcPr>
            <w:tcW w:type="dxa" w:w="5177"/>
            <w:shd w:val="clear" w:fill="0F3D63"/>
          </w:tcPr>
          <w:p>
            <w:pPr>
              <w:spacing w:after="40" w:before="40"/>
            </w:pPr>
            <w:r>
              <w:rPr>
                <w:color w:val="FFFFFF"/>
                <w:sz w:val="17"/>
              </w:rPr>
            </w:r>
            <w:r>
              <w:rPr>
                <w:b/>
                <w:color w:val="FFFFFF"/>
                <w:sz w:val="17"/>
              </w:rPr>
              <w:t>Preuve disponible</w:t>
            </w:r>
          </w:p>
        </w:tc>
      </w:tr>
      <w:tr>
        <w:tc>
          <w:tcPr>
            <w:tcW w:type="dxa" w:w="2142"/>
          </w:tcPr>
          <w:p>
            <w:pPr>
              <w:spacing w:after="40" w:before="40"/>
            </w:pPr>
            <w:r>
              <w:rPr>
                <w:sz w:val="17"/>
              </w:rPr>
            </w:r>
            <w:r>
              <w:rPr>
                <w:sz w:val="17"/>
              </w:rPr>
              <w:t>PostgreSQL 15+</w:t>
            </w:r>
          </w:p>
        </w:tc>
        <w:tc>
          <w:tcPr>
            <w:tcW w:type="dxa" w:w="2142"/>
          </w:tcPr>
          <w:p>
            <w:pPr>
              <w:spacing w:after="40" w:before="40"/>
            </w:pPr>
            <w:r>
              <w:rPr>
                <w:sz w:val="17"/>
              </w:rPr>
            </w:r>
            <w:r>
              <w:rPr>
                <w:sz w:val="17"/>
              </w:rPr>
              <w:t>Cible de référence</w:t>
            </w:r>
          </w:p>
        </w:tc>
        <w:tc>
          <w:tcPr>
            <w:tcW w:type="dxa" w:w="5177"/>
          </w:tcPr>
          <w:p>
            <w:pPr>
              <w:spacing w:after="40" w:before="40"/>
            </w:pPr>
            <w:r>
              <w:rPr>
                <w:sz w:val="17"/>
              </w:rPr>
            </w:r>
            <w:r>
              <w:rPr>
                <w:sz w:val="17"/>
              </w:rPr>
              <w:t>Schéma validé, application construite et exécutée</w:t>
            </w:r>
          </w:p>
        </w:tc>
      </w:tr>
      <w:tr>
        <w:tc>
          <w:tcPr>
            <w:tcW w:type="dxa" w:w="2142"/>
            <w:shd w:val="clear" w:fill="F2F5F8"/>
          </w:tcPr>
          <w:p>
            <w:pPr>
              <w:spacing w:after="40" w:before="40"/>
            </w:pPr>
            <w:r>
              <w:rPr>
                <w:sz w:val="17"/>
              </w:rPr>
            </w:r>
            <w:r>
              <w:rPr>
                <w:sz w:val="17"/>
              </w:rPr>
              <w:t>MySQL 8 / MariaDB 10.11+</w:t>
            </w:r>
          </w:p>
        </w:tc>
        <w:tc>
          <w:tcPr>
            <w:tcW w:type="dxa" w:w="2142"/>
            <w:shd w:val="clear" w:fill="F2F5F8"/>
          </w:tcPr>
          <w:p>
            <w:pPr>
              <w:spacing w:after="40" w:before="40"/>
            </w:pPr>
            <w:r>
              <w:rPr>
                <w:sz w:val="17"/>
              </w:rPr>
            </w:r>
            <w:r>
              <w:rPr>
                <w:sz w:val="17"/>
              </w:rPr>
              <w:t>Schéma validé</w:t>
            </w:r>
          </w:p>
        </w:tc>
        <w:tc>
          <w:tcPr>
            <w:tcW w:type="dxa" w:w="5177"/>
            <w:shd w:val="clear" w:fill="F2F5F8"/>
          </w:tcPr>
          <w:p>
            <w:pPr>
              <w:spacing w:after="40" w:before="40"/>
            </w:pPr>
            <w:r>
              <w:rPr>
                <w:sz w:val="17"/>
              </w:rPr>
            </w:r>
            <w:r>
              <w:rPr>
                <w:sz w:val="17"/>
              </w:rPr>
              <w:t>Génération et validation du schéma vertes</w:t>
            </w:r>
          </w:p>
        </w:tc>
      </w:tr>
      <w:tr>
        <w:tc>
          <w:tcPr>
            <w:tcW w:type="dxa" w:w="2142"/>
          </w:tcPr>
          <w:p>
            <w:pPr>
              <w:spacing w:after="40" w:before="40"/>
            </w:pPr>
            <w:r>
              <w:rPr>
                <w:sz w:val="17"/>
              </w:rPr>
            </w:r>
            <w:r>
              <w:rPr>
                <w:sz w:val="17"/>
              </w:rPr>
              <w:t>SQL Server 2022+</w:t>
            </w:r>
          </w:p>
        </w:tc>
        <w:tc>
          <w:tcPr>
            <w:tcW w:type="dxa" w:w="2142"/>
          </w:tcPr>
          <w:p>
            <w:pPr>
              <w:spacing w:after="40" w:before="40"/>
            </w:pPr>
            <w:r>
              <w:rPr>
                <w:sz w:val="17"/>
              </w:rPr>
            </w:r>
            <w:r>
              <w:rPr>
                <w:sz w:val="17"/>
              </w:rPr>
              <w:t>Schéma validé</w:t>
            </w:r>
          </w:p>
        </w:tc>
        <w:tc>
          <w:tcPr>
            <w:tcW w:type="dxa" w:w="5177"/>
          </w:tcPr>
          <w:p>
            <w:pPr>
              <w:spacing w:after="40" w:before="40"/>
            </w:pPr>
            <w:r>
              <w:rPr>
                <w:sz w:val="17"/>
              </w:rPr>
            </w:r>
            <w:r>
              <w:rPr>
                <w:sz w:val="17"/>
              </w:rPr>
              <w:t>Génération et validation du schéma vertes</w:t>
            </w:r>
          </w:p>
        </w:tc>
      </w:tr>
      <w:tr>
        <w:tc>
          <w:tcPr>
            <w:tcW w:type="dxa" w:w="2142"/>
            <w:shd w:val="clear" w:fill="F2F5F8"/>
          </w:tcPr>
          <w:p>
            <w:pPr>
              <w:spacing w:after="40" w:before="40"/>
            </w:pPr>
            <w:r>
              <w:rPr>
                <w:sz w:val="17"/>
              </w:rPr>
            </w:r>
            <w:r>
              <w:rPr>
                <w:sz w:val="17"/>
              </w:rPr>
              <w:t>Oracle 19c+</w:t>
            </w:r>
          </w:p>
        </w:tc>
        <w:tc>
          <w:tcPr>
            <w:tcW w:type="dxa" w:w="2142"/>
            <w:shd w:val="clear" w:fill="F2F5F8"/>
          </w:tcPr>
          <w:p>
            <w:pPr>
              <w:spacing w:after="40" w:before="40"/>
            </w:pPr>
            <w:r>
              <w:rPr>
                <w:sz w:val="17"/>
              </w:rPr>
            </w:r>
            <w:r>
              <w:rPr>
                <w:sz w:val="17"/>
              </w:rPr>
              <w:t>À certifier</w:t>
            </w:r>
          </w:p>
        </w:tc>
        <w:tc>
          <w:tcPr>
            <w:tcW w:type="dxa" w:w="5177"/>
            <w:shd w:val="clear" w:fill="F2F5F8"/>
          </w:tcPr>
          <w:p>
            <w:pPr>
              <w:spacing w:after="40" w:before="40"/>
            </w:pPr>
            <w:r>
              <w:rPr>
                <w:sz w:val="17"/>
              </w:rPr>
            </w:r>
            <w:r>
              <w:rPr>
                <w:sz w:val="17"/>
              </w:rPr>
              <w:t>Nécessite une instance licenciée fournie par la banque</w:t>
            </w:r>
          </w:p>
        </w:tc>
      </w:tr>
      <w:tr>
        <w:tc>
          <w:tcPr>
            <w:tcW w:type="dxa" w:w="2142"/>
          </w:tcPr>
          <w:p>
            <w:pPr>
              <w:spacing w:after="40" w:before="40"/>
            </w:pPr>
            <w:r>
              <w:rPr>
                <w:sz w:val="17"/>
              </w:rPr>
            </w:r>
            <w:r>
              <w:rPr>
                <w:sz w:val="17"/>
              </w:rPr>
              <w:t>SQLite</w:t>
            </w:r>
          </w:p>
        </w:tc>
        <w:tc>
          <w:tcPr>
            <w:tcW w:type="dxa" w:w="2142"/>
          </w:tcPr>
          <w:p>
            <w:pPr>
              <w:spacing w:after="40" w:before="40"/>
            </w:pPr>
            <w:r>
              <w:rPr>
                <w:sz w:val="17"/>
              </w:rPr>
            </w:r>
            <w:r>
              <w:rPr>
                <w:sz w:val="17"/>
              </w:rPr>
              <w:t>Développement uniquement</w:t>
            </w:r>
          </w:p>
        </w:tc>
        <w:tc>
          <w:tcPr>
            <w:tcW w:type="dxa" w:w="5177"/>
          </w:tcPr>
          <w:p>
            <w:pPr>
              <w:spacing w:after="40" w:before="40"/>
            </w:pPr>
            <w:r>
              <w:rPr>
                <w:sz w:val="17"/>
              </w:rPr>
            </w:r>
            <w:r>
              <w:rPr>
                <w:sz w:val="17"/>
              </w:rPr>
              <w:t>Ne gère pas la précision décimale ; exclu de la production</w:t>
            </w:r>
          </w:p>
        </w:tc>
      </w:tr>
    </w:tbl>
    <w:p>
      <w:pPr>
        <w:spacing w:after="80"/>
      </w:pPr>
    </w:p>
    <w:p>
      <w:r>
        <w:rPr>
          <w:b/>
        </w:rPr>
        <w:t>Un dialecte n'est déclaré certifié qu'après exécution de la suite d'intégration complète sur une instance réelle de ce moteur.</w:t>
      </w:r>
      <w:r>
        <w:t xml:space="preserve"> La validation du schéma est une condition nécessaire, pas suffisante — cette distinction est maintenue explicitement, la déclaration de compatibilité sur la seule foi d'une abstraction d'ORM étant l'un des défauts relevés dans les dépôts audités.</w:t>
      </w:r>
    </w:p>
    <w:p>
      <w:pPr>
        <w:pStyle w:val="Heading2"/>
      </w:pPr>
      <w:r>
        <w:t>21. Sécurité, habilitations et piste d'audit</w:t>
      </w:r>
    </w:p>
    <w:p>
      <w:pPr>
        <w:pStyle w:val="Heading3"/>
      </w:pPr>
      <w:r>
        <w:t>21.1 Authentification et rôles</w:t>
      </w:r>
    </w:p>
    <w:p>
      <w:r>
        <w:t>L'authentification s'effectue par clé porteuse, destinée à être remplacée par OAuth 2.1 / OIDC avec le fournisseur d'identité de la banque — le contrat restant identique : identité et rôle dérivés du jeton.</w:t>
      </w:r>
    </w:p>
    <w:p>
      <w:r>
        <w:t>Quatre rôles hiérarchisés : lecteur, analyste, gestionnaire de risque, administrateur. Les clés sont conservées sous forme d'empreinte, jamais en clair, et comparées en temps constant.</w:t>
      </w:r>
    </w:p>
    <w:p>
      <w:r>
        <w:rPr>
          <w:b/>
        </w:rPr>
        <w:t>Aucun secret par défaut.</w:t>
      </w:r>
      <w:r>
        <w:t xml:space="preserve"> En l'absence de configuration de clés, l'application refuse toute requête authentifiée et lève une erreur explicite au démarrage en production. Une clé de moins de seize caractères est refusée. Ce point répond directement à un défaut constaté dans le dépôt de référence, où un secret de repli littéral était présent dans le code.</w:t>
      </w:r>
    </w:p>
    <w:p>
      <w:pPr>
        <w:pStyle w:val="Heading3"/>
      </w:pPr>
      <w:r>
        <w:t>21.2 Séparation des tâches</w:t>
      </w:r>
    </w:p>
    <w:p>
      <w:r>
        <w:t>Une dérogation est proposée par un acteur et décidée par un autre. L'auto-approbation est refusée techniquement, non par convention. L'amélioration d'un grade défaut est refusée hors processus formel de guérison. L'ampleur ordinaire est plafonnée à deux crans.</w:t>
      </w:r>
    </w:p>
    <w:p>
      <w:pPr>
        <w:pStyle w:val="Heading3"/>
      </w:pPr>
      <w:r>
        <w:t>21.3 Audit transactionnel</w:t>
      </w:r>
    </w:p>
    <w:p>
      <w:r>
        <w:t xml:space="preserve">Pour toute écriture critique, l'événement d'audit est inscrit </w:t>
      </w:r>
      <w:r>
        <w:rPr>
          <w:b/>
        </w:rPr>
        <w:t>dans la même transaction</w:t>
      </w:r>
      <w:r>
        <w:t xml:space="preserve"> que l'opération métier : si l'audit échoue, l'opération est annulée. Une opération ne peut jamais être considérée comme réussie sans sa trace.</w:t>
      </w:r>
    </w:p>
    <w:p>
      <w:r>
        <w:t>Ce point répond à un défaut constaté dans l'un des dépôts audités, où l'audit interceptait toute erreur et se limitait à un message en console, laissant l'opération métier réussir sans trace.</w:t>
      </w:r>
    </w:p>
    <w:p>
      <w:r>
        <w:t>Chaque événement enregistre l'acteur, son rôle, l'action, le type et l'identifiant de ressource, le détail sérialisé de façon stable, et un identifiant de corrélation.</w:t>
      </w:r>
    </w:p>
    <w:p>
      <w:pPr>
        <w:pStyle w:val="Heading3"/>
      </w:pPr>
      <w:r>
        <w:t>21.4 Validation des entrées</w:t>
      </w:r>
    </w:p>
    <w:p>
      <w:r>
        <w:t>Tous les payloads sont validés par schéma strict côté serveur, avec rejet des propriétés inconnues. Un score qualitatif hors de l'ensemble autorisé est refusé ; une valeur transmise sur un critère quantitatif est traitée comme une mesure, jamais comme un score.</w:t>
      </w:r>
    </w:p>
    <w:p>
      <w:pPr>
        <w:pStyle w:val="Heading2"/>
      </w:pPr>
      <w:r>
        <w:t>22. Parcours utilisateur</w:t>
      </w:r>
    </w:p>
    <w:p>
      <w:r>
        <w:t>L'interface est intégralement consommatrice de la même logique que l'interface de programmation : aucun calcul n'est effectué dans le navigateur.</w:t>
      </w:r>
    </w:p>
    <w:p>
      <w:r>
        <w:rPr>
          <w:b/>
        </w:rPr>
        <w:t>Tableau de bord</w:t>
      </w:r>
      <w:r>
        <w:t xml:space="preserve"> — volumétrie, distribution des grades, dernières notations, modèles disponibles et leur statut de calibration.</w:t>
      </w:r>
    </w:p>
    <w:p>
      <w:r>
        <w:rPr>
          <w:b/>
        </w:rPr>
        <w:t>Contreparties</w:t>
      </w:r>
      <w:r>
        <w:t xml:space="preserve"> — référentiel avec dernière notation connue, score et date d'arrêté.</w:t>
      </w:r>
    </w:p>
    <w:p>
      <w:r>
        <w:rPr>
          <w:b/>
        </w:rPr>
        <w:t>Notation</w:t>
      </w:r>
      <w:r>
        <w:t xml:space="preserve"> — le formulaire est </w:t>
      </w:r>
      <w:r>
        <w:rPr>
          <w:b/>
        </w:rPr>
        <w:t>généré depuis la version de modèle publiée</w:t>
      </w:r>
      <w:r>
        <w:t>, jamais codé en dur. Chaque critère affiche son libellé, sa description, son poids pour le segment sélectionné, son état de donnée, le barème ou les cinq ancrages, et son caractère critique. Le changement de segment recompose immédiatement le formulaire avec les poids et barèmes correspondants.</w:t>
      </w:r>
    </w:p>
    <w:p>
      <w:r>
        <w:rPr>
          <w:b/>
        </w:rPr>
        <w:t>Résultat</w:t>
      </w:r>
      <w:r>
        <w:t xml:space="preserve"> — score brut, grade moteur, grade après caps, niveau de confiance, statut de calibration, décomposition par domaine puis par critère, caps appliqués avec leur source, red flags avec leur traitement, avertissements et motifs de blocage.</w:t>
      </w:r>
    </w:p>
    <w:p>
      <w:r>
        <w:rPr>
          <w:b/>
        </w:rPr>
        <w:t>Modèles</w:t>
      </w:r>
      <w:r>
        <w:t xml:space="preserve"> — consultation de la configuration exécutée : pondérations par domaine et par critère, échelle interne, caps et red flags. Ce que l'utilisateur consulte est exactement ce que le moteur applique.</w:t>
      </w:r>
    </w:p>
    <w:p>
      <w:r>
        <w:rPr>
          <w:b/>
        </w:rPr>
        <w:t>Méthodologie</w:t>
      </w:r>
      <w:r>
        <w:t xml:space="preserve"> — rappel permanent de la séparation des cinq finalités, de l'ordre de calcul et du statut de calibration.</w:t>
      </w:r>
    </w:p>
    <w:p>
      <w:r>
        <w:t>Le bandeau de bas de page rappelle en permanence que le modèle est un seed expert non calibré et que ses seuils ne constituent ni des règles de Bank Al-Maghrib ni des paramètres IFRS 9.</w:t>
      </w:r>
    </w:p>
    <w:p>
      <w:pPr>
        <w:pStyle w:val="Heading2"/>
      </w:pPr>
      <w:r>
        <w:t>23. Déploiement et exploitation</w:t>
      </w:r>
    </w:p>
    <w:p>
      <w:pPr>
        <w:pStyle w:val="Heading3"/>
      </w:pPr>
      <w:r>
        <w:t>23.1 Modes de déploiement</w:t>
      </w:r>
    </w:p>
    <w:p>
      <w:r>
        <w:rPr>
          <w:b/>
        </w:rPr>
        <w:t>Démonstration locale en une commande</w:t>
      </w:r>
      <w:r>
        <w:t xml:space="preserve"> — </w:t>
      </w:r>
      <w:r>
        <w:rPr>
          <w:rFonts w:ascii="Consolas" w:hAnsi="Consolas"/>
          <w:color w:val="8A2B2B"/>
          <w:sz w:val="18"/>
        </w:rPr>
        <w:t>docker compose up --build</w:t>
      </w:r>
      <w:r>
        <w:t xml:space="preserve"> démarre PostgreSQL auto-hébergé, exécute la migration comme tâche séparée et démarre l'application.</w:t>
      </w:r>
    </w:p>
    <w:p>
      <w:r>
        <w:rPr>
          <w:b/>
        </w:rPr>
        <w:t>Sur site et cloud privé</w:t>
      </w:r>
      <w:r>
        <w:t xml:space="preserve"> — image conteneurisée exécutée sous un utilisateur non privilégié, avec sonde de santé intégrée, configurable par variables d'environnement sans reconstruction.</w:t>
      </w:r>
    </w:p>
    <w:p>
      <w:r>
        <w:rPr>
          <w:b/>
        </w:rPr>
        <w:t>Hors ligne</w:t>
      </w:r>
      <w:r>
        <w:t xml:space="preserve"> — l'image ne dépend d'aucun service en ligne à l'exécution.</w:t>
      </w:r>
    </w:p>
    <w:p>
      <w:r>
        <w:t>Aucune dépendance obligatoire à un fournisseur de plateforme ou de base de données managée n'est introduite.</w:t>
      </w:r>
    </w:p>
    <w:p>
      <w:pPr>
        <w:pStyle w:val="Heading3"/>
      </w:pPr>
      <w:r>
        <w:t>23.2 Configuration</w:t>
      </w:r>
    </w:p>
    <w:p>
      <w:r>
        <w:t>Les secrets, la configuration technique, les politiques métier, les modèles validés et les référentiels sont séparés. L'application refuse de démarrer si un secret critique manque ou si un modèle publié est invalide.</w:t>
      </w:r>
    </w:p>
    <w:p>
      <w:pPr>
        <w:pStyle w:val="Heading3"/>
      </w:pPr>
      <w:r>
        <w:t>23.3 Intégration continue</w:t>
      </w:r>
    </w:p>
    <w:p>
      <w:r>
        <w:t>La chaîne exécute la génération du client de persistance, le contrôle de types, l'analyse statique, les tests, la construction, puis la validation du schéma sur les quatre dialectes cibles.</w:t>
      </w:r>
    </w:p>
    <w:p>
      <w:r>
        <w:t>Ce point répond à un défaut constaté dans le dépôt audité, où le workflow appelait un script inexistant : la chaîne était verte sans avoir jamais exécuté le contrôle de types.</w:t>
      </w:r>
    </w:p>
    <w:p>
      <w:pPr>
        <w:pStyle w:val="Heading2"/>
      </w:pPr>
      <w:r>
        <w:t>24. Stratégie de tests et preuves d'exécution</w:t>
      </w:r>
    </w:p>
    <w:p>
      <w:pPr>
        <w:pStyle w:val="Heading3"/>
      </w:pPr>
      <w:r>
        <w:t>24.1 Couverture actuelle</w:t>
      </w:r>
    </w:p>
    <w:p>
      <w:r>
        <w:t>Quarante-six tests couvrent : la validation des configurations de modèle (sommes de poids par segment et par domaine, exhaustivité des barèmes, détection de trous et d'incohérences d'inclusivité) ; les vecteurs d'agrégation exacts ; les bornes de barème une à une, y compris les valeurs immédiatement inférieure et supérieure ; la monotonie ; la segmentation dans tous ses cas de figure, y compris la primauté du chiffre d'affaires groupe et le blocage sur segment indéterminable ; les caps structurels et de confiance, isolés et combinés ; les red flags bloquants et non bloquants ; le défaut forcé ; la distinction entre non applicable et manquant ; le refus d'un score fourni par le client sur un critère quantitatif ; la reproductibilité.</w:t>
      </w:r>
    </w:p>
    <w:p>
      <w:pPr>
        <w:pStyle w:val="Heading3"/>
      </w:pPr>
      <w:r>
        <w:t>24.2 Preuves d'exécution</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2737"/>
            <w:shd w:val="clear" w:fill="0F3D63"/>
          </w:tcPr>
          <w:p>
            <w:pPr>
              <w:spacing w:after="40" w:before="40"/>
            </w:pPr>
            <w:r>
              <w:rPr>
                <w:color w:val="FFFFFF"/>
                <w:sz w:val="17"/>
              </w:rPr>
            </w:r>
            <w:r>
              <w:rPr>
                <w:b/>
                <w:color w:val="FFFFFF"/>
                <w:sz w:val="17"/>
              </w:rPr>
              <w:t>Contrôle</w:t>
            </w:r>
          </w:p>
        </w:tc>
        <w:tc>
          <w:tcPr>
            <w:tcW w:type="dxa" w:w="3910"/>
            <w:shd w:val="clear" w:fill="0F3D63"/>
          </w:tcPr>
          <w:p>
            <w:pPr>
              <w:spacing w:after="40" w:before="40"/>
            </w:pPr>
            <w:r>
              <w:rPr>
                <w:color w:val="FFFFFF"/>
                <w:sz w:val="17"/>
              </w:rPr>
            </w:r>
            <w:r>
              <w:rPr>
                <w:b/>
                <w:color w:val="FFFFFF"/>
                <w:sz w:val="17"/>
              </w:rPr>
              <w:t>Commande</w:t>
            </w:r>
          </w:p>
        </w:tc>
        <w:tc>
          <w:tcPr>
            <w:tcW w:type="dxa" w:w="2815"/>
            <w:shd w:val="clear" w:fill="0F3D63"/>
          </w:tcPr>
          <w:p>
            <w:pPr>
              <w:spacing w:after="40" w:before="40"/>
            </w:pPr>
            <w:r>
              <w:rPr>
                <w:color w:val="FFFFFF"/>
                <w:sz w:val="17"/>
              </w:rPr>
            </w:r>
            <w:r>
              <w:rPr>
                <w:b/>
                <w:color w:val="FFFFFF"/>
                <w:sz w:val="17"/>
              </w:rPr>
              <w:t>Résultat</w:t>
            </w:r>
          </w:p>
        </w:tc>
      </w:tr>
      <w:tr>
        <w:tc>
          <w:tcPr>
            <w:tcW w:type="dxa" w:w="2737"/>
          </w:tcPr>
          <w:p>
            <w:pPr>
              <w:spacing w:after="40" w:before="40"/>
            </w:pPr>
            <w:r>
              <w:rPr>
                <w:sz w:val="17"/>
              </w:rPr>
            </w:r>
            <w:r>
              <w:rPr>
                <w:sz w:val="17"/>
              </w:rPr>
              <w:t>Contrôle de types</w:t>
            </w:r>
          </w:p>
        </w:tc>
        <w:tc>
          <w:tcPr>
            <w:tcW w:type="dxa" w:w="3910"/>
          </w:tcPr>
          <w:p>
            <w:pPr>
              <w:spacing w:after="40" w:before="40"/>
            </w:pPr>
            <w:r>
              <w:rPr>
                <w:sz w:val="17"/>
              </w:rPr>
            </w:r>
            <w:r>
              <w:rPr>
                <w:rFonts w:ascii="Consolas" w:hAnsi="Consolas"/>
                <w:color w:val="8A2B2B"/>
                <w:sz w:val="17"/>
              </w:rPr>
              <w:t>npm run type-check</w:t>
            </w:r>
          </w:p>
        </w:tc>
        <w:tc>
          <w:tcPr>
            <w:tcW w:type="dxa" w:w="2815"/>
          </w:tcPr>
          <w:p>
            <w:pPr>
              <w:spacing w:after="40" w:before="40"/>
            </w:pPr>
            <w:r>
              <w:rPr>
                <w:sz w:val="17"/>
              </w:rPr>
            </w:r>
            <w:r>
              <w:rPr>
                <w:sz w:val="17"/>
              </w:rPr>
              <w:t>0 erreur</w:t>
            </w:r>
          </w:p>
        </w:tc>
      </w:tr>
      <w:tr>
        <w:tc>
          <w:tcPr>
            <w:tcW w:type="dxa" w:w="2737"/>
            <w:shd w:val="clear" w:fill="F2F5F8"/>
          </w:tcPr>
          <w:p>
            <w:pPr>
              <w:spacing w:after="40" w:before="40"/>
            </w:pPr>
            <w:r>
              <w:rPr>
                <w:sz w:val="17"/>
              </w:rPr>
            </w:r>
            <w:r>
              <w:rPr>
                <w:sz w:val="17"/>
              </w:rPr>
              <w:t>Tests</w:t>
            </w:r>
          </w:p>
        </w:tc>
        <w:tc>
          <w:tcPr>
            <w:tcW w:type="dxa" w:w="3910"/>
            <w:shd w:val="clear" w:fill="F2F5F8"/>
          </w:tcPr>
          <w:p>
            <w:pPr>
              <w:spacing w:after="40" w:before="40"/>
            </w:pPr>
            <w:r>
              <w:rPr>
                <w:sz w:val="17"/>
              </w:rPr>
            </w:r>
            <w:r>
              <w:rPr>
                <w:rFonts w:ascii="Consolas" w:hAnsi="Consolas"/>
                <w:color w:val="8A2B2B"/>
                <w:sz w:val="17"/>
              </w:rPr>
              <w:t>npm test</w:t>
            </w:r>
          </w:p>
        </w:tc>
        <w:tc>
          <w:tcPr>
            <w:tcW w:type="dxa" w:w="2815"/>
            <w:shd w:val="clear" w:fill="F2F5F8"/>
          </w:tcPr>
          <w:p>
            <w:pPr>
              <w:spacing w:after="40" w:before="40"/>
            </w:pPr>
            <w:r>
              <w:rPr>
                <w:sz w:val="17"/>
              </w:rPr>
            </w:r>
            <w:r>
              <w:rPr>
                <w:sz w:val="17"/>
              </w:rPr>
              <w:t>46 tests, 46 passés</w:t>
            </w:r>
          </w:p>
        </w:tc>
      </w:tr>
      <w:tr>
        <w:tc>
          <w:tcPr>
            <w:tcW w:type="dxa" w:w="2737"/>
          </w:tcPr>
          <w:p>
            <w:pPr>
              <w:spacing w:after="40" w:before="40"/>
            </w:pPr>
            <w:r>
              <w:rPr>
                <w:sz w:val="17"/>
              </w:rPr>
            </w:r>
            <w:r>
              <w:rPr>
                <w:sz w:val="17"/>
              </w:rPr>
              <w:t>Construction</w:t>
            </w:r>
          </w:p>
        </w:tc>
        <w:tc>
          <w:tcPr>
            <w:tcW w:type="dxa" w:w="3910"/>
          </w:tcPr>
          <w:p>
            <w:pPr>
              <w:spacing w:after="40" w:before="40"/>
            </w:pPr>
            <w:r>
              <w:rPr>
                <w:sz w:val="17"/>
              </w:rPr>
            </w:r>
            <w:r>
              <w:rPr>
                <w:rFonts w:ascii="Consolas" w:hAnsi="Consolas"/>
                <w:color w:val="8A2B2B"/>
                <w:sz w:val="17"/>
              </w:rPr>
              <w:t>npm run build</w:t>
            </w:r>
          </w:p>
        </w:tc>
        <w:tc>
          <w:tcPr>
            <w:tcW w:type="dxa" w:w="2815"/>
          </w:tcPr>
          <w:p>
            <w:pPr>
              <w:spacing w:after="40" w:before="40"/>
            </w:pPr>
            <w:r>
              <w:rPr>
                <w:sz w:val="17"/>
              </w:rPr>
            </w:r>
            <w:r>
              <w:rPr>
                <w:sz w:val="17"/>
              </w:rPr>
              <w:t>20 routes compilées</w:t>
            </w:r>
          </w:p>
        </w:tc>
      </w:tr>
      <w:tr>
        <w:tc>
          <w:tcPr>
            <w:tcW w:type="dxa" w:w="2737"/>
            <w:shd w:val="clear" w:fill="F2F5F8"/>
          </w:tcPr>
          <w:p>
            <w:pPr>
              <w:spacing w:after="40" w:before="40"/>
            </w:pPr>
            <w:r>
              <w:rPr>
                <w:sz w:val="17"/>
              </w:rPr>
            </w:r>
            <w:r>
              <w:rPr>
                <w:sz w:val="17"/>
              </w:rPr>
              <w:t>Schéma PostgreSQL</w:t>
            </w:r>
          </w:p>
        </w:tc>
        <w:tc>
          <w:tcPr>
            <w:tcW w:type="dxa" w:w="3910"/>
            <w:shd w:val="clear" w:fill="F2F5F8"/>
          </w:tcPr>
          <w:p>
            <w:pPr>
              <w:spacing w:after="40" w:before="40"/>
            </w:pPr>
            <w:r>
              <w:rPr>
                <w:sz w:val="17"/>
              </w:rPr>
            </w:r>
            <w:r>
              <w:rPr>
                <w:rFonts w:ascii="Consolas" w:hAnsi="Consolas"/>
                <w:color w:val="8A2B2B"/>
                <w:sz w:val="17"/>
              </w:rPr>
              <w:t>DATABASE_PROVIDER=postgresql npx prisma validate</w:t>
            </w:r>
          </w:p>
        </w:tc>
        <w:tc>
          <w:tcPr>
            <w:tcW w:type="dxa" w:w="2815"/>
            <w:shd w:val="clear" w:fill="F2F5F8"/>
          </w:tcPr>
          <w:p>
            <w:pPr>
              <w:spacing w:after="40" w:before="40"/>
            </w:pPr>
            <w:r>
              <w:rPr>
                <w:sz w:val="17"/>
              </w:rPr>
            </w:r>
            <w:r>
              <w:rPr>
                <w:sz w:val="17"/>
              </w:rPr>
              <w:t>valide</w:t>
            </w:r>
          </w:p>
        </w:tc>
      </w:tr>
      <w:tr>
        <w:tc>
          <w:tcPr>
            <w:tcW w:type="dxa" w:w="2737"/>
          </w:tcPr>
          <w:p>
            <w:pPr>
              <w:spacing w:after="40" w:before="40"/>
            </w:pPr>
            <w:r>
              <w:rPr>
                <w:sz w:val="17"/>
              </w:rPr>
            </w:r>
            <w:r>
              <w:rPr>
                <w:sz w:val="17"/>
              </w:rPr>
              <w:t>Schéma MySQL</w:t>
            </w:r>
          </w:p>
        </w:tc>
        <w:tc>
          <w:tcPr>
            <w:tcW w:type="dxa" w:w="3910"/>
          </w:tcPr>
          <w:p>
            <w:pPr>
              <w:spacing w:after="40" w:before="40"/>
            </w:pPr>
            <w:r>
              <w:rPr>
                <w:sz w:val="17"/>
              </w:rPr>
            </w:r>
            <w:r>
              <w:rPr>
                <w:rFonts w:ascii="Consolas" w:hAnsi="Consolas"/>
                <w:color w:val="8A2B2B"/>
                <w:sz w:val="17"/>
              </w:rPr>
              <w:t>DATABASE_PROVIDER=mysql npx prisma validate</w:t>
            </w:r>
          </w:p>
        </w:tc>
        <w:tc>
          <w:tcPr>
            <w:tcW w:type="dxa" w:w="2815"/>
          </w:tcPr>
          <w:p>
            <w:pPr>
              <w:spacing w:after="40" w:before="40"/>
            </w:pPr>
            <w:r>
              <w:rPr>
                <w:sz w:val="17"/>
              </w:rPr>
            </w:r>
            <w:r>
              <w:rPr>
                <w:sz w:val="17"/>
              </w:rPr>
              <w:t>valide</w:t>
            </w:r>
          </w:p>
        </w:tc>
      </w:tr>
      <w:tr>
        <w:tc>
          <w:tcPr>
            <w:tcW w:type="dxa" w:w="2737"/>
            <w:shd w:val="clear" w:fill="F2F5F8"/>
          </w:tcPr>
          <w:p>
            <w:pPr>
              <w:spacing w:after="40" w:before="40"/>
            </w:pPr>
            <w:r>
              <w:rPr>
                <w:sz w:val="17"/>
              </w:rPr>
            </w:r>
            <w:r>
              <w:rPr>
                <w:sz w:val="17"/>
              </w:rPr>
              <w:t>Schéma SQL Server</w:t>
            </w:r>
          </w:p>
        </w:tc>
        <w:tc>
          <w:tcPr>
            <w:tcW w:type="dxa" w:w="3910"/>
            <w:shd w:val="clear" w:fill="F2F5F8"/>
          </w:tcPr>
          <w:p>
            <w:pPr>
              <w:spacing w:after="40" w:before="40"/>
            </w:pPr>
            <w:r>
              <w:rPr>
                <w:sz w:val="17"/>
              </w:rPr>
            </w:r>
            <w:r>
              <w:rPr>
                <w:rFonts w:ascii="Consolas" w:hAnsi="Consolas"/>
                <w:color w:val="8A2B2B"/>
                <w:sz w:val="17"/>
              </w:rPr>
              <w:t>DATABASE_PROVIDER=sqlserver npx prisma validate</w:t>
            </w:r>
          </w:p>
        </w:tc>
        <w:tc>
          <w:tcPr>
            <w:tcW w:type="dxa" w:w="2815"/>
            <w:shd w:val="clear" w:fill="F2F5F8"/>
          </w:tcPr>
          <w:p>
            <w:pPr>
              <w:spacing w:after="40" w:before="40"/>
            </w:pPr>
            <w:r>
              <w:rPr>
                <w:sz w:val="17"/>
              </w:rPr>
            </w:r>
            <w:r>
              <w:rPr>
                <w:sz w:val="17"/>
              </w:rPr>
              <w:t>valide</w:t>
            </w:r>
          </w:p>
        </w:tc>
      </w:tr>
      <w:tr>
        <w:tc>
          <w:tcPr>
            <w:tcW w:type="dxa" w:w="2737"/>
          </w:tcPr>
          <w:p>
            <w:pPr>
              <w:spacing w:after="40" w:before="40"/>
            </w:pPr>
            <w:r>
              <w:rPr>
                <w:sz w:val="17"/>
              </w:rPr>
            </w:r>
            <w:r>
              <w:rPr>
                <w:sz w:val="17"/>
              </w:rPr>
              <w:t>Schéma SQLite</w:t>
            </w:r>
          </w:p>
        </w:tc>
        <w:tc>
          <w:tcPr>
            <w:tcW w:type="dxa" w:w="3910"/>
          </w:tcPr>
          <w:p>
            <w:pPr>
              <w:spacing w:after="40" w:before="40"/>
            </w:pPr>
            <w:r>
              <w:rPr>
                <w:sz w:val="17"/>
              </w:rPr>
            </w:r>
            <w:r>
              <w:rPr>
                <w:rFonts w:ascii="Consolas" w:hAnsi="Consolas"/>
                <w:color w:val="8A2B2B"/>
                <w:sz w:val="17"/>
              </w:rPr>
              <w:t>DATABASE_PROVIDER=sqlite npx prisma validate</w:t>
            </w:r>
          </w:p>
        </w:tc>
        <w:tc>
          <w:tcPr>
            <w:tcW w:type="dxa" w:w="2815"/>
          </w:tcPr>
          <w:p>
            <w:pPr>
              <w:spacing w:after="40" w:before="40"/>
            </w:pPr>
            <w:r>
              <w:rPr>
                <w:sz w:val="17"/>
              </w:rPr>
            </w:r>
            <w:r>
              <w:rPr>
                <w:sz w:val="17"/>
              </w:rPr>
              <w:t>valide</w:t>
            </w:r>
          </w:p>
        </w:tc>
      </w:tr>
      <w:tr>
        <w:tc>
          <w:tcPr>
            <w:tcW w:type="dxa" w:w="2737"/>
            <w:shd w:val="clear" w:fill="F2F5F8"/>
          </w:tcPr>
          <w:p>
            <w:pPr>
              <w:spacing w:after="40" w:before="40"/>
            </w:pPr>
            <w:r>
              <w:rPr>
                <w:sz w:val="17"/>
              </w:rPr>
            </w:r>
            <w:r>
              <w:rPr>
                <w:sz w:val="17"/>
              </w:rPr>
              <w:t>Idempotence du générateur de schéma</w:t>
            </w:r>
          </w:p>
        </w:tc>
        <w:tc>
          <w:tcPr>
            <w:tcW w:type="dxa" w:w="3910"/>
            <w:shd w:val="clear" w:fill="F2F5F8"/>
          </w:tcPr>
          <w:p>
            <w:pPr>
              <w:spacing w:after="40" w:before="40"/>
            </w:pPr>
            <w:r>
              <w:rPr>
                <w:sz w:val="17"/>
              </w:rPr>
            </w:r>
            <w:r>
              <w:rPr>
                <w:sz w:val="17"/>
              </w:rPr>
              <w:t>cycle sur quatre dialectes</w:t>
            </w:r>
          </w:p>
        </w:tc>
        <w:tc>
          <w:tcPr>
            <w:tcW w:type="dxa" w:w="2815"/>
            <w:shd w:val="clear" w:fill="F2F5F8"/>
          </w:tcPr>
          <w:p>
            <w:pPr>
              <w:spacing w:after="40" w:before="40"/>
            </w:pPr>
            <w:r>
              <w:rPr>
                <w:sz w:val="17"/>
              </w:rPr>
            </w:r>
            <w:r>
              <w:rPr>
                <w:sz w:val="17"/>
              </w:rPr>
              <w:t>annotations intégralement restaurées</w:t>
            </w:r>
          </w:p>
        </w:tc>
      </w:tr>
    </w:tbl>
    <w:p>
      <w:pPr>
        <w:spacing w:after="80"/>
      </w:pPr>
    </w:p>
    <w:p>
      <w:pPr>
        <w:pStyle w:val="Heading3"/>
      </w:pPr>
      <w:r>
        <w:t>24.3 Tests restant à produire</w:t>
      </w:r>
    </w:p>
    <w:p>
      <w:r>
        <w:t>Tests d'intégration sur instances réelles pour chaque base cible ; tests de contrat d'interface ; tests de charge sur les objectifs de latence et de traitement de masse ; tests de sécurité automatisés sur la matrice d'habilitations, l'accès horizontal, le rejeu de notification et d'idempotence ; tests réglementaires, conditionnés à la validation du corpus.</w:t>
      </w:r>
    </w:p>
    <w:p>
      <w:pPr>
        <w:spacing w:before="80" w:after="160"/>
        <w:pBdr>
          <w:bottom w:val="single" w:sz="6" w:color="D6DBE1"/>
        </w:pBdr>
      </w:pPr>
    </w:p>
    <w:p>
      <w:r>
        <w:br w:type="page"/>
      </w:r>
    </w:p>
    <w:p>
      <w:pPr>
        <w:pStyle w:val="Heading1"/>
      </w:pPr>
      <w:r>
        <w:t>Partie V — Gouvernance</w:t>
      </w:r>
    </w:p>
    <w:p>
      <w:pPr>
        <w:pStyle w:val="Heading2"/>
      </w:pPr>
      <w:r>
        <w:t>25. Calibration statistique et passage au modèle challenger</w:t>
      </w:r>
    </w:p>
    <w:p>
      <w:pPr>
        <w:pStyle w:val="Heading3"/>
      </w:pPr>
      <w:r>
        <w:t>25.1 Construction du jeu de données</w:t>
      </w:r>
    </w:p>
    <w:p>
      <w:r>
        <w:t>Constituer un jeu de données par date d'observation, avec une performance mesurée à douze mois selon une définition de défaut approuvée. Conserver au minimum des échantillons de développement, de validation et hors période. Documenter les changements de politique et les biais d'acceptation.</w:t>
      </w:r>
    </w:p>
    <w:p>
      <w:r>
        <w:t>Analyser séparément les segments TPE, PME et GE, puis tester si un regroupement avec interactions est plus robuste.</w:t>
      </w:r>
    </w:p>
    <w:p>
      <w:pPr>
        <w:pStyle w:val="Heading3"/>
      </w:pPr>
      <w:r>
        <w:t>25.2 Étapes du passage</w:t>
      </w:r>
    </w:p>
    <w:p>
      <w:pPr>
        <w:pStyle w:val="ListNumber"/>
        <w:spacing w:after="40"/>
      </w:pPr>
      <w:r>
        <w:t>tester la qualité, le taux de valeurs manquantes et la stabilité de chaque variable ;</w:t>
      </w:r>
    </w:p>
    <w:p>
      <w:pPr>
        <w:pStyle w:val="ListNumber"/>
        <w:spacing w:after="40"/>
      </w:pPr>
      <w:r>
        <w:t>mesurer le pouvoir discriminant univarié et vérifier le sens économique ;</w:t>
      </w:r>
    </w:p>
    <w:p>
      <w:pPr>
        <w:pStyle w:val="ListNumber"/>
        <w:spacing w:after="40"/>
      </w:pPr>
      <w:r>
        <w:t>construire des bandes monotones et stables ;</w:t>
      </w:r>
    </w:p>
    <w:p>
      <w:pPr>
        <w:pStyle w:val="ListNumber"/>
        <w:spacing w:after="40"/>
      </w:pPr>
      <w:r>
        <w:t>tester corrélations et colinéarité ;</w:t>
      </w:r>
    </w:p>
    <w:p>
      <w:pPr>
        <w:pStyle w:val="ListNumber"/>
        <w:spacing w:after="40"/>
      </w:pPr>
      <w:r>
        <w:t>estimer une grille de score logistique transparente ;</w:t>
      </w:r>
    </w:p>
    <w:p>
      <w:pPr>
        <w:pStyle w:val="ListNumber"/>
        <w:spacing w:after="40"/>
      </w:pPr>
      <w:r>
        <w:t>comparer au score expert et expliquer les divergences ;</w:t>
      </w:r>
    </w:p>
    <w:p>
      <w:pPr>
        <w:pStyle w:val="ListNumber"/>
        <w:spacing w:after="40"/>
      </w:pPr>
      <w:r>
        <w:t>calibrer la tendance centrale et les probabilités par grade ;</w:t>
      </w:r>
    </w:p>
    <w:p>
      <w:pPr>
        <w:pStyle w:val="ListNumber"/>
        <w:spacing w:after="40"/>
      </w:pPr>
      <w:r>
        <w:t>ajouter une marge de prudence documentée ;</w:t>
      </w:r>
    </w:p>
    <w:p>
      <w:pPr>
        <w:pStyle w:val="ListNumber"/>
        <w:spacing w:after="40"/>
      </w:pPr>
      <w:r>
        <w:t>réaliser la validation indépendante et le passage en comité modèles ;</w:t>
      </w:r>
    </w:p>
    <w:p>
      <w:pPr>
        <w:pStyle w:val="ListNumber"/>
        <w:spacing w:after="40"/>
      </w:pPr>
      <w:r>
        <w:t>déployer d'abord en challenger, en mode fantôme.</w:t>
      </w:r>
    </w:p>
    <w:p>
      <w:pPr>
        <w:pStyle w:val="Heading3"/>
      </w:pPr>
      <w:r>
        <w:t>25.3 Segment des grandes entreprises</w:t>
      </w:r>
    </w:p>
    <w:p>
      <w:r>
        <w:t>Le segment GE produit structurellement trop peu de défauts pour une estimation classique. Traiter explicitement ce cas par regroupement avec test d'homogénéité, information externe validée avec justification de transposabilité, approche hiérarchique ou bayésienne, estimation par intervalle avec borne haute prudente, et marge de prudence croissante avec l'incertitude.</w:t>
      </w:r>
    </w:p>
    <w:p>
      <w:r>
        <w:t xml:space="preserve">Documenter le nombre de défauts par grade et par génération : </w:t>
      </w:r>
      <w:r>
        <w:rPr>
          <w:b/>
        </w:rPr>
        <w:t>un tableau de calibration sans effectifs est irrecevable.</w:t>
      </w:r>
      <w:r>
        <w:t xml:space="preserve"> Ne jamais extrapoler une probabilité sur un grade sans défaut observé sans marge documentée.</w:t>
      </w:r>
    </w:p>
    <w:p>
      <w:pPr>
        <w:pStyle w:val="Heading3"/>
      </w:pPr>
      <w:r>
        <w:t>25.4 Répétition à blanc sur portefeuille simulé</w:t>
      </w:r>
    </w:p>
    <w:p>
      <w:r>
        <w:t xml:space="preserve">La chaîne de calibration décrite ci-dessus a été exécutée intégralement sur un portefeuille </w:t>
      </w:r>
      <w:r>
        <w:rPr>
          <w:b/>
        </w:rPr>
        <w:t>simulé</w:t>
      </w:r>
      <w:r>
        <w:t xml:space="preserve">, avant toute disponibilité de défauts observés. L'objet n'est pas d'obtenir des probabilités : il est de s'assurer que la chaîne fonctionne, que l'échelle ordonne correctement le risque, et que la batterie de validation sait détecter un défaut de calibration lorsqu'il y en a un. Elle a été exécutée sur les </w:t>
      </w:r>
      <w:r>
        <w:rPr>
          <w:b/>
        </w:rPr>
        <w:t>deux modèles</w:t>
      </w:r>
      <w:r>
        <w:t>, chacun avec sa propre calibration : les deux grilles n'observent pas la même chose — flux bancaires pour le modèle TPE comportemental, états financiers pour le modèle standard — et ne produisent pas la même distribution de grades. Une calibration transposée de l'un à l'autre serait indéfendable. Les rapports détaillés figurent en annexe (</w:t>
      </w:r>
      <w:r>
        <w:rPr>
          <w:rFonts w:ascii="Consolas" w:hAnsi="Consolas"/>
          <w:color w:val="8A2B2B"/>
          <w:sz w:val="18"/>
        </w:rPr>
        <w:t>docs/06-rapport-calibration-corp-std-v1.md</w:t>
      </w:r>
      <w:r>
        <w:t xml:space="preserve"> et </w:t>
      </w:r>
      <w:r>
        <w:rPr>
          <w:rFonts w:ascii="Consolas" w:hAnsi="Consolas"/>
          <w:color w:val="8A2B2B"/>
          <w:sz w:val="18"/>
        </w:rPr>
        <w:t>docs/06-rapport-calibration-corp-tpe-behav-v1.md</w:t>
      </w:r>
      <w:r>
        <w:t>).</w:t>
      </w:r>
    </w:p>
    <w:p>
      <w:r>
        <w:t>Deux garde-fous méthodologiques structurent l'exercice.</w:t>
      </w:r>
    </w:p>
    <w:p>
      <w:r>
        <w:rPr>
          <w:b/>
        </w:rPr>
        <w:t>Les scores ne sont pas simulés.</w:t>
      </w:r>
      <w:r>
        <w:t xml:space="preserve"> Le simulateur produit des données d'entrée — ratios, ancrages qualitatifs, flags structurels, qualité de l'information — et c'est le moteur réel qui en tire un score et un grade. Simuler directement un score puis lui associer une probabilité aurait rendu l'exercice circulaire : il aurait vérifié l'hypothèse posée, pas le modèle.</w:t>
      </w:r>
    </w:p>
    <w:p>
      <w:r>
        <w:rPr>
          <w:b/>
        </w:rPr>
        <w:t>Le statut de calibration reste distinct.</w:t>
      </w:r>
      <w:r>
        <w:t xml:space="preserve"> Une probabilité issue de données simulées porte le statut </w:t>
      </w:r>
      <w:r>
        <w:rPr>
          <w:rFonts w:ascii="Consolas" w:hAnsi="Consolas"/>
          <w:color w:val="8A2B2B"/>
          <w:sz w:val="18"/>
        </w:rPr>
        <w:t>CALIBRATED_SYNTHETIC</w:t>
      </w:r>
      <w:r>
        <w:t xml:space="preserve">, jamais </w:t>
      </w:r>
      <w:r>
        <w:rPr>
          <w:rFonts w:ascii="Consolas" w:hAnsi="Consolas"/>
          <w:color w:val="8A2B2B"/>
          <w:sz w:val="18"/>
        </w:rPr>
        <w:t>CALIBRATED</w:t>
      </w:r>
      <w:r>
        <w:t>. La distinction est propagée jusqu'au contrat d'interface, à l'instantané persisté et à l'écran de résultat : aucun système aval ne peut confondre les deux.</w:t>
      </w:r>
    </w:p>
    <w:p>
      <w:r>
        <w:t>Trois enseignements de portée générale en sont ressortis.</w:t>
      </w:r>
    </w:p>
    <w:p>
      <w:r>
        <w:rPr>
          <w:b/>
        </w:rPr>
        <w:t>La probabilité doit être calibrée sur le grade, non sur le score.</w:t>
      </w:r>
      <w:r>
        <w:t xml:space="preserve"> Le grade final intègre les caps, qui déplacent une contrepartie vers le bas sans toucher à son score brut. Le score moyen n'est donc pas monotone dans l'échelle : sur le portefeuille simulé, le score moyen de G4 dépasse celui de G3, et celui de G7 dépasse celui de G6, parce que ces grades rassemblent des dossiers bien notés mais plafonnés. Le risque, lui, reste monotone. Dériver la probabilité d'une courbe du score réaffecterait à ces dossiers la probabilité de leur score et annulerait l'effet du cap.</w:t>
      </w:r>
    </w:p>
    <w:p>
      <w:r>
        <w:rPr>
          <w:b/>
        </w:rPr>
        <w:t>Les caps de confiance créent deux points de masse dans l'échelle.</w:t>
      </w:r>
      <w:r>
        <w:t xml:space="preserve"> G4 et G7 rassemblent à eux seuls la moitié du portefeuille, et la majorité des dossiers qui s'y trouvent y ont été </w:t>
      </w:r>
      <w:r>
        <w:rPr>
          <w:b/>
        </w:rPr>
        <w:t>déplacés</w:t>
      </w:r>
      <w:r>
        <w:t xml:space="preserve"> par un cap de qualité d'information : 61 % en G4 et 55 % en G7 pour le modèle standard, 65 % et 61 % pour le modèle TPE. Les autres grades ne sont pratiquement pas touchés par les caps. C'est le comportement voulu, mais il a une conséquence opérationnelle : améliorer la collecte d'information déplacerait davantage de dossiers que réviser les pondérations.</w:t>
      </w:r>
    </w:p>
    <w:p>
      <w:r>
        <w:rPr>
          <w:b/>
        </w:rPr>
        <w:t>Sur le modèle TPE, deux grades ne se distinguent plus.</w:t>
      </w:r>
      <w:r>
        <w:t xml:space="preserve"> La régression isotone fusionne G6 et G7 à une même probabilité. Le cap de confiance déverse dans G7 des dossiers dont le score moyen (73,8) dépasse celui de G6 (67,5), au point que les taux de défaut des deux grades ne diffèrent plus de façon détectable — la comparaison des deux proportions donne p = 0,27 en développement et p = 0,59 hors période. Ce n'est pas un défaut de la calibration : c'est le constat qu'une distinction de grade ne porte plus de différence de risque. Deux issues relèvent du comité modèles : revoir ce qui alimente ces grades, ou les fusionner dans l'échelle.</w:t>
      </w:r>
    </w:p>
    <w:p>
      <w:r>
        <w:rPr>
          <w:b/>
        </w:rPr>
        <w:t>Le test d'adéquation usuel est inadapté à un système de notation.</w:t>
      </w:r>
      <w:r>
        <w:t xml:space="preserve"> Le test de Hosmer-Lemeshow découpe la population en déciles de probabilité prédite ; or celle-ci ne prend qu'une valeur par grade. Un même grade se retrouve scindé en groupes de probabilité identique dont les taux observés diffèrent par le seul hasard, et le test rejette pour une mauvaise raison. Le test retenu groupe par grade.</w:t>
      </w:r>
    </w:p>
    <w:p>
      <w:pPr>
        <w:pStyle w:val="Heading2"/>
      </w:pPr>
      <w:r>
        <w:t>26. Validation indépendante et surveillance</w:t>
      </w:r>
    </w:p>
    <w:p>
      <w:r>
        <w:t>Indicateurs minimaux : pouvoir discriminant avec intervalles de confiance ; score de Brier et log-vraisemblance ; ordonnée à l'origine et pente de calibration, rapport observé sur attendu ; taux de défaut par grade et monotonie ; matrices de migration et stabilité ; indices de stabilité de population et de caractéristiques ; performance par segment, secteur, région et qualité de donnée ; taux, sens, motifs et performance des dérogations ; sensibilité et robustesse ; analyse de biais et de variables de substitution illicites ; comparaison champion-challenger.</w:t>
      </w:r>
    </w:p>
    <w:p>
      <w:r>
        <w:t xml:space="preserve">Des zones de surveillance peuvent être proposées, mais doivent être adaptées au portefeuille et </w:t>
      </w:r>
      <w:r>
        <w:rPr>
          <w:b/>
        </w:rPr>
        <w:t>approuvées par la banque</w:t>
      </w:r>
      <w:r>
        <w:t>. Un seuil générique de place ne remplace ni l'appétence au risque de l'établissement ni l'analyse de ses intervalles de confiance.</w:t>
      </w:r>
    </w:p>
    <w:p>
      <w:pPr>
        <w:pStyle w:val="Heading2"/>
      </w:pPr>
      <w:r>
        <w:t>27. Fréquences de revue</w:t>
      </w:r>
    </w:p>
    <w:tbl>
      <w:tblPr>
        <w:tblStyle w:val="TableGrid"/>
        <w:tblW w:type="auto" w:w="0"/>
        <w:jc w:val="center"/>
        <w:tblLayout w:type="fixed"/>
        <w:tblLook w:firstColumn="1" w:firstRow="1" w:lastColumn="0" w:lastRow="0" w:noHBand="0" w:noVBand="1" w:val="04A0"/>
      </w:tblPr>
      <w:tblGrid>
        <w:gridCol w:w="4730"/>
        <w:gridCol w:w="4730"/>
      </w:tblGrid>
      <w:tr>
        <w:trPr>
          <w:tblHeader w:val="true"/>
        </w:trPr>
        <w:tc>
          <w:tcPr>
            <w:tcW w:type="dxa" w:w="4205"/>
            <w:shd w:val="clear" w:fill="0F3D63"/>
          </w:tcPr>
          <w:p>
            <w:pPr>
              <w:spacing w:after="40" w:before="40"/>
            </w:pPr>
            <w:r>
              <w:rPr>
                <w:color w:val="FFFFFF"/>
                <w:sz w:val="17"/>
              </w:rPr>
            </w:r>
            <w:r>
              <w:rPr>
                <w:b/>
                <w:color w:val="FFFFFF"/>
                <w:sz w:val="17"/>
              </w:rPr>
              <w:t>Élément</w:t>
            </w:r>
          </w:p>
        </w:tc>
        <w:tc>
          <w:tcPr>
            <w:tcW w:type="dxa" w:w="5256"/>
            <w:shd w:val="clear" w:fill="0F3D63"/>
          </w:tcPr>
          <w:p>
            <w:pPr>
              <w:spacing w:after="40" w:before="40"/>
            </w:pPr>
            <w:r>
              <w:rPr>
                <w:color w:val="FFFFFF"/>
                <w:sz w:val="17"/>
              </w:rPr>
            </w:r>
            <w:r>
              <w:rPr>
                <w:b/>
                <w:color w:val="FFFFFF"/>
                <w:sz w:val="17"/>
              </w:rPr>
              <w:t>Fréquence</w:t>
            </w:r>
          </w:p>
        </w:tc>
      </w:tr>
      <w:tr>
        <w:tc>
          <w:tcPr>
            <w:tcW w:type="dxa" w:w="4205"/>
          </w:tcPr>
          <w:p>
            <w:pPr>
              <w:spacing w:after="40" w:before="40"/>
            </w:pPr>
            <w:r>
              <w:rPr>
                <w:sz w:val="17"/>
              </w:rPr>
            </w:r>
            <w:r>
              <w:rPr>
                <w:sz w:val="17"/>
              </w:rPr>
              <w:t>Actualisation de la note TPE et PME</w:t>
            </w:r>
          </w:p>
        </w:tc>
        <w:tc>
          <w:tcPr>
            <w:tcW w:type="dxa" w:w="5256"/>
          </w:tcPr>
          <w:p>
            <w:pPr>
              <w:spacing w:after="40" w:before="40"/>
            </w:pPr>
            <w:r>
              <w:rPr>
                <w:sz w:val="17"/>
              </w:rPr>
            </w:r>
            <w:r>
              <w:rPr>
                <w:sz w:val="17"/>
              </w:rPr>
              <w:t>Annuelle, ou sur événement significatif</w:t>
            </w:r>
          </w:p>
        </w:tc>
      </w:tr>
      <w:tr>
        <w:tc>
          <w:tcPr>
            <w:tcW w:type="dxa" w:w="4205"/>
            <w:shd w:val="clear" w:fill="F2F5F8"/>
          </w:tcPr>
          <w:p>
            <w:pPr>
              <w:spacing w:after="40" w:before="40"/>
            </w:pPr>
            <w:r>
              <w:rPr>
                <w:sz w:val="17"/>
              </w:rPr>
            </w:r>
            <w:r>
              <w:rPr>
                <w:sz w:val="17"/>
              </w:rPr>
              <w:t>Actualisation de la note GE</w:t>
            </w:r>
          </w:p>
        </w:tc>
        <w:tc>
          <w:tcPr>
            <w:tcW w:type="dxa" w:w="5256"/>
            <w:shd w:val="clear" w:fill="F2F5F8"/>
          </w:tcPr>
          <w:p>
            <w:pPr>
              <w:spacing w:after="40" w:before="40"/>
            </w:pPr>
            <w:r>
              <w:rPr>
                <w:sz w:val="17"/>
              </w:rPr>
            </w:r>
            <w:r>
              <w:rPr>
                <w:sz w:val="17"/>
              </w:rPr>
              <w:t>Annuelle au minimum, revue intermédiaire selon exposition</w:t>
            </w:r>
          </w:p>
        </w:tc>
      </w:tr>
      <w:tr>
        <w:tc>
          <w:tcPr>
            <w:tcW w:type="dxa" w:w="4205"/>
          </w:tcPr>
          <w:p>
            <w:pPr>
              <w:spacing w:after="40" w:before="40"/>
            </w:pPr>
            <w:r>
              <w:rPr>
                <w:sz w:val="17"/>
              </w:rPr>
            </w:r>
            <w:r>
              <w:rPr>
                <w:sz w:val="17"/>
              </w:rPr>
              <w:t>Comportement et alerte précoce</w:t>
            </w:r>
          </w:p>
        </w:tc>
        <w:tc>
          <w:tcPr>
            <w:tcW w:type="dxa" w:w="5256"/>
          </w:tcPr>
          <w:p>
            <w:pPr>
              <w:spacing w:after="40" w:before="40"/>
            </w:pPr>
            <w:r>
              <w:rPr>
                <w:sz w:val="17"/>
              </w:rPr>
            </w:r>
            <w:r>
              <w:rPr>
                <w:sz w:val="17"/>
              </w:rPr>
              <w:t>Mensuelle ou plus fréquente selon les systèmes</w:t>
            </w:r>
          </w:p>
        </w:tc>
      </w:tr>
      <w:tr>
        <w:tc>
          <w:tcPr>
            <w:tcW w:type="dxa" w:w="4205"/>
            <w:shd w:val="clear" w:fill="F2F5F8"/>
          </w:tcPr>
          <w:p>
            <w:pPr>
              <w:spacing w:after="40" w:before="40"/>
            </w:pPr>
            <w:r>
              <w:rPr>
                <w:sz w:val="17"/>
              </w:rPr>
            </w:r>
            <w:r>
              <w:rPr>
                <w:sz w:val="17"/>
              </w:rPr>
              <w:t>Référentiel sectoriel</w:t>
            </w:r>
          </w:p>
        </w:tc>
        <w:tc>
          <w:tcPr>
            <w:tcW w:type="dxa" w:w="5256"/>
            <w:shd w:val="clear" w:fill="F2F5F8"/>
          </w:tcPr>
          <w:p>
            <w:pPr>
              <w:spacing w:after="40" w:before="40"/>
            </w:pPr>
            <w:r>
              <w:rPr>
                <w:sz w:val="17"/>
              </w:rPr>
            </w:r>
            <w:r>
              <w:rPr>
                <w:sz w:val="17"/>
              </w:rPr>
              <w:t>Trimestrielle à semestrielle selon volatilité</w:t>
            </w:r>
          </w:p>
        </w:tc>
      </w:tr>
      <w:tr>
        <w:tc>
          <w:tcPr>
            <w:tcW w:type="dxa" w:w="4205"/>
          </w:tcPr>
          <w:p>
            <w:pPr>
              <w:spacing w:after="40" w:before="40"/>
            </w:pPr>
            <w:r>
              <w:rPr>
                <w:sz w:val="17"/>
              </w:rPr>
            </w:r>
            <w:r>
              <w:rPr>
                <w:sz w:val="17"/>
              </w:rPr>
              <w:t>Surveillance du modèle</w:t>
            </w:r>
          </w:p>
        </w:tc>
        <w:tc>
          <w:tcPr>
            <w:tcW w:type="dxa" w:w="5256"/>
          </w:tcPr>
          <w:p>
            <w:pPr>
              <w:spacing w:after="40" w:before="40"/>
            </w:pPr>
            <w:r>
              <w:rPr>
                <w:sz w:val="17"/>
              </w:rPr>
            </w:r>
            <w:r>
              <w:rPr>
                <w:sz w:val="17"/>
              </w:rPr>
              <w:t>Trimestrielle, synthèse annuelle</w:t>
            </w:r>
          </w:p>
        </w:tc>
      </w:tr>
      <w:tr>
        <w:tc>
          <w:tcPr>
            <w:tcW w:type="dxa" w:w="4205"/>
            <w:shd w:val="clear" w:fill="F2F5F8"/>
          </w:tcPr>
          <w:p>
            <w:pPr>
              <w:spacing w:after="40" w:before="40"/>
            </w:pPr>
            <w:r>
              <w:rPr>
                <w:sz w:val="17"/>
              </w:rPr>
            </w:r>
            <w:r>
              <w:rPr>
                <w:sz w:val="17"/>
              </w:rPr>
              <w:t>Contrôle a posteriori des probabilités de défaut</w:t>
            </w:r>
          </w:p>
        </w:tc>
        <w:tc>
          <w:tcPr>
            <w:tcW w:type="dxa" w:w="5256"/>
            <w:shd w:val="clear" w:fill="F2F5F8"/>
          </w:tcPr>
          <w:p>
            <w:pPr>
              <w:spacing w:after="40" w:before="40"/>
            </w:pPr>
            <w:r>
              <w:rPr>
                <w:sz w:val="17"/>
              </w:rPr>
            </w:r>
            <w:r>
              <w:rPr>
                <w:sz w:val="17"/>
              </w:rPr>
              <w:t>Annuel, avec générations suffisantes</w:t>
            </w:r>
          </w:p>
        </w:tc>
      </w:tr>
      <w:tr>
        <w:tc>
          <w:tcPr>
            <w:tcW w:type="dxa" w:w="4205"/>
          </w:tcPr>
          <w:p>
            <w:pPr>
              <w:spacing w:after="40" w:before="40"/>
            </w:pPr>
            <w:r>
              <w:rPr>
                <w:sz w:val="17"/>
              </w:rPr>
            </w:r>
            <w:r>
              <w:rPr>
                <w:sz w:val="17"/>
              </w:rPr>
              <w:t>Recalibration</w:t>
            </w:r>
          </w:p>
        </w:tc>
        <w:tc>
          <w:tcPr>
            <w:tcW w:type="dxa" w:w="5256"/>
          </w:tcPr>
          <w:p>
            <w:pPr>
              <w:spacing w:after="40" w:before="40"/>
            </w:pPr>
            <w:r>
              <w:rPr>
                <w:sz w:val="17"/>
              </w:rPr>
            </w:r>
            <w:r>
              <w:rPr>
                <w:sz w:val="17"/>
              </w:rPr>
              <w:t>Sur déclencheur ou périodicité approuvée</w:t>
            </w:r>
          </w:p>
        </w:tc>
      </w:tr>
      <w:tr>
        <w:tc>
          <w:tcPr>
            <w:tcW w:type="dxa" w:w="4205"/>
            <w:shd w:val="clear" w:fill="F2F5F8"/>
          </w:tcPr>
          <w:p>
            <w:pPr>
              <w:spacing w:after="40" w:before="40"/>
            </w:pPr>
            <w:r>
              <w:rPr>
                <w:sz w:val="17"/>
              </w:rPr>
            </w:r>
            <w:r>
              <w:rPr>
                <w:sz w:val="17"/>
              </w:rPr>
              <w:t>Validation indépendante complète</w:t>
            </w:r>
          </w:p>
        </w:tc>
        <w:tc>
          <w:tcPr>
            <w:tcW w:type="dxa" w:w="5256"/>
            <w:shd w:val="clear" w:fill="F2F5F8"/>
          </w:tcPr>
          <w:p>
            <w:pPr>
              <w:spacing w:after="40" w:before="40"/>
            </w:pPr>
            <w:r>
              <w:rPr>
                <w:sz w:val="17"/>
              </w:rPr>
            </w:r>
            <w:r>
              <w:rPr>
                <w:sz w:val="17"/>
              </w:rPr>
              <w:t>Selon matérialité et politique modèle, et après tout changement majeur</w:t>
            </w:r>
          </w:p>
        </w:tc>
      </w:tr>
      <w:tr>
        <w:tc>
          <w:tcPr>
            <w:tcW w:type="dxa" w:w="4205"/>
          </w:tcPr>
          <w:p>
            <w:pPr>
              <w:spacing w:after="40" w:before="40"/>
            </w:pPr>
            <w:r>
              <w:rPr>
                <w:sz w:val="17"/>
              </w:rPr>
            </w:r>
            <w:r>
              <w:rPr>
                <w:sz w:val="17"/>
              </w:rPr>
              <w:t>Revue des dérogations et des caps</w:t>
            </w:r>
          </w:p>
        </w:tc>
        <w:tc>
          <w:tcPr>
            <w:tcW w:type="dxa" w:w="5256"/>
          </w:tcPr>
          <w:p>
            <w:pPr>
              <w:spacing w:after="40" w:before="40"/>
            </w:pPr>
            <w:r>
              <w:rPr>
                <w:sz w:val="17"/>
              </w:rPr>
            </w:r>
            <w:r>
              <w:rPr>
                <w:sz w:val="17"/>
              </w:rPr>
              <w:t>Trimestrielle</w:t>
            </w:r>
          </w:p>
        </w:tc>
      </w:tr>
      <w:tr>
        <w:tc>
          <w:tcPr>
            <w:tcW w:type="dxa" w:w="4205"/>
            <w:shd w:val="clear" w:fill="F2F5F8"/>
          </w:tcPr>
          <w:p>
            <w:pPr>
              <w:spacing w:after="40" w:before="40"/>
            </w:pPr>
            <w:r>
              <w:rPr>
                <w:sz w:val="17"/>
              </w:rPr>
            </w:r>
            <w:r>
              <w:rPr>
                <w:sz w:val="17"/>
              </w:rPr>
              <w:t>Revue des règles réglementaires</w:t>
            </w:r>
          </w:p>
        </w:tc>
        <w:tc>
          <w:tcPr>
            <w:tcW w:type="dxa" w:w="5256"/>
            <w:shd w:val="clear" w:fill="F2F5F8"/>
          </w:tcPr>
          <w:p>
            <w:pPr>
              <w:spacing w:after="40" w:before="40"/>
            </w:pPr>
            <w:r>
              <w:rPr>
                <w:sz w:val="17"/>
              </w:rPr>
            </w:r>
            <w:r>
              <w:rPr>
                <w:sz w:val="17"/>
              </w:rPr>
              <w:t>À chaque nouveau texte ou date d'effet, et au moins annuellement</w:t>
            </w:r>
          </w:p>
        </w:tc>
      </w:tr>
    </w:tbl>
    <w:p>
      <w:pPr>
        <w:spacing w:after="80"/>
      </w:pPr>
    </w:p>
    <w:p>
      <w:pPr>
        <w:pStyle w:val="Heading2"/>
      </w:pPr>
      <w:r>
        <w:t>28. Décisions du comité modèles avant pilote</w:t>
      </w:r>
    </w:p>
    <w:p>
      <w:pPr>
        <w:pStyle w:val="ListNumber"/>
        <w:spacing w:after="40"/>
      </w:pPr>
      <w:r>
        <w:t>valider le périmètre et les modèles dédiés ;</w:t>
      </w:r>
    </w:p>
    <w:p>
      <w:pPr>
        <w:pStyle w:val="ListNumber"/>
        <w:spacing w:after="40"/>
      </w:pPr>
      <w:r>
        <w:t>confirmer la segmentation et la définition du groupe ;</w:t>
      </w:r>
    </w:p>
    <w:p>
      <w:pPr>
        <w:pStyle w:val="ListNumber"/>
        <w:spacing w:after="40"/>
      </w:pPr>
      <w:r>
        <w:t>approuver la définition du défaut et de la guérison ;</w:t>
      </w:r>
    </w:p>
    <w:p>
      <w:pPr>
        <w:pStyle w:val="ListNumber"/>
        <w:spacing w:after="40"/>
      </w:pPr>
      <w:r>
        <w:t>valider les formules et retraitements financiers ;</w:t>
      </w:r>
    </w:p>
    <w:p>
      <w:pPr>
        <w:pStyle w:val="ListNumber"/>
        <w:spacing w:after="40"/>
      </w:pPr>
      <w:r>
        <w:t>challenger les poids et seuils sur le portefeuille ;</w:t>
      </w:r>
    </w:p>
    <w:p>
      <w:pPr>
        <w:pStyle w:val="ListNumber"/>
        <w:spacing w:after="40"/>
      </w:pPr>
      <w:r>
        <w:t>décider entre modèle TPE standard et comportemental ;</w:t>
      </w:r>
    </w:p>
    <w:p>
      <w:pPr>
        <w:pStyle w:val="ListNumber"/>
        <w:spacing w:after="40"/>
      </w:pPr>
      <w:r>
        <w:t>approuver les caps, red flags et politiques de données manquantes ;</w:t>
      </w:r>
    </w:p>
    <w:p>
      <w:pPr>
        <w:pStyle w:val="ListNumber"/>
        <w:spacing w:after="40"/>
      </w:pPr>
      <w:r>
        <w:t>valider l'échelle interne et les règles de dérogation ;</w:t>
      </w:r>
    </w:p>
    <w:p>
      <w:pPr>
        <w:pStyle w:val="ListNumber"/>
        <w:spacing w:after="40"/>
      </w:pPr>
      <w:r>
        <w:t>approuver le plan de calibration et de validation indépendante ;</w:t>
      </w:r>
    </w:p>
    <w:p>
      <w:pPr>
        <w:pStyle w:val="ListNumber"/>
        <w:spacing w:after="40"/>
      </w:pPr>
      <w:r>
        <w:t>confirmer la séparation des cinq moteurs ;</w:t>
      </w:r>
    </w:p>
    <w:p>
      <w:pPr>
        <w:pStyle w:val="ListNumber"/>
        <w:spacing w:after="40"/>
      </w:pPr>
      <w:r>
        <w:t>valider les sources de données et les habilitations ;</w:t>
      </w:r>
    </w:p>
    <w:p>
      <w:pPr>
        <w:pStyle w:val="ListNumber"/>
        <w:spacing w:after="40"/>
      </w:pPr>
      <w:r>
        <w:t>autoriser un pilote en mode fantôme avant tout usage contraignant.</w:t>
      </w:r>
    </w:p>
    <w:p>
      <w:pPr>
        <w:spacing w:before="80" w:after="160"/>
        <w:pBdr>
          <w:bottom w:val="single" w:sz="6" w:color="D6DBE1"/>
        </w:pBdr>
      </w:pPr>
    </w:p>
    <w:p>
      <w:r>
        <w:br w:type="page"/>
      </w:r>
    </w:p>
    <w:p>
      <w:pPr>
        <w:pStyle w:val="Heading1"/>
      </w:pPr>
      <w:r>
        <w:t>Annexes</w:t>
      </w:r>
    </w:p>
    <w:p>
      <w:pPr>
        <w:pStyle w:val="Heading2"/>
      </w:pPr>
      <w:r>
        <w:t>Annexe A — Vecteurs de contrôle chiffrés</w:t>
      </w:r>
    </w:p>
    <w:p>
      <w:r>
        <w:t>Ces vecteurs sont exacts et vérifiables par exécution. Ils constituent le socle de non-régression du moteur.</w:t>
      </w:r>
    </w:p>
    <w:tbl>
      <w:tblPr>
        <w:tblStyle w:val="TableGrid"/>
        <w:tblW w:type="auto" w:w="0"/>
        <w:jc w:val="center"/>
        <w:tblLayout w:type="fixed"/>
        <w:tblLook w:firstColumn="1" w:firstRow="1" w:lastColumn="0" w:lastRow="0" w:noHBand="0" w:noVBand="1" w:val="04A0"/>
      </w:tblPr>
      <w:tblGrid>
        <w:gridCol w:w="3154"/>
        <w:gridCol w:w="3154"/>
        <w:gridCol w:w="3154"/>
      </w:tblGrid>
      <w:tr>
        <w:trPr>
          <w:tblHeader w:val="true"/>
        </w:trPr>
        <w:tc>
          <w:tcPr>
            <w:tcW w:type="dxa" w:w="451"/>
            <w:shd w:val="clear" w:fill="0F3D63"/>
          </w:tcPr>
          <w:p>
            <w:pPr>
              <w:spacing w:after="40" w:before="40"/>
            </w:pPr>
            <w:r>
              <w:rPr>
                <w:color w:val="FFFFFF"/>
                <w:sz w:val="17"/>
              </w:rPr>
            </w:r>
            <w:r>
              <w:rPr>
                <w:b/>
                <w:color w:val="FFFFFF"/>
                <w:sz w:val="17"/>
              </w:rPr>
              <w:t>#</w:t>
            </w:r>
          </w:p>
        </w:tc>
        <w:tc>
          <w:tcPr>
            <w:tcW w:type="dxa" w:w="4505"/>
            <w:shd w:val="clear" w:fill="0F3D63"/>
          </w:tcPr>
          <w:p>
            <w:pPr>
              <w:spacing w:after="40" w:before="40"/>
            </w:pPr>
            <w:r>
              <w:rPr>
                <w:color w:val="FFFFFF"/>
                <w:sz w:val="17"/>
              </w:rPr>
            </w:r>
            <w:r>
              <w:rPr>
                <w:b/>
                <w:color w:val="FFFFFF"/>
                <w:sz w:val="17"/>
              </w:rPr>
              <w:t>Objet</w:t>
            </w:r>
          </w:p>
        </w:tc>
        <w:tc>
          <w:tcPr>
            <w:tcW w:type="dxa" w:w="4505"/>
            <w:shd w:val="clear" w:fill="0F3D63"/>
          </w:tcPr>
          <w:p>
            <w:pPr>
              <w:spacing w:after="40" w:before="40"/>
            </w:pPr>
            <w:r>
              <w:rPr>
                <w:color w:val="FFFFFF"/>
                <w:sz w:val="17"/>
              </w:rPr>
            </w:r>
            <w:r>
              <w:rPr>
                <w:b/>
                <w:color w:val="FFFFFF"/>
                <w:sz w:val="17"/>
              </w:rPr>
              <w:t>Attendu</w:t>
            </w:r>
          </w:p>
        </w:tc>
      </w:tr>
      <w:tr>
        <w:tc>
          <w:tcPr>
            <w:tcW w:type="dxa" w:w="451"/>
          </w:tcPr>
          <w:p>
            <w:pPr>
              <w:spacing w:after="40" w:before="40"/>
            </w:pPr>
            <w:r>
              <w:rPr>
                <w:sz w:val="17"/>
              </w:rPr>
            </w:r>
            <w:r>
              <w:rPr>
                <w:sz w:val="17"/>
              </w:rPr>
              <w:t>1</w:t>
            </w:r>
          </w:p>
        </w:tc>
        <w:tc>
          <w:tcPr>
            <w:tcW w:type="dxa" w:w="4505"/>
          </w:tcPr>
          <w:p>
            <w:pPr>
              <w:spacing w:after="40" w:before="40"/>
            </w:pPr>
            <w:r>
              <w:rPr>
                <w:sz w:val="17"/>
              </w:rPr>
            </w:r>
            <w:r>
              <w:rPr>
                <w:sz w:val="17"/>
              </w:rPr>
              <w:t>Agrégation du domaine D1 sur TPE, scores 75/50/50/75/50/75/50/50</w:t>
            </w:r>
          </w:p>
        </w:tc>
        <w:tc>
          <w:tcPr>
            <w:tcW w:type="dxa" w:w="4505"/>
          </w:tcPr>
          <w:p>
            <w:pPr>
              <w:spacing w:after="40" w:before="40"/>
            </w:pPr>
            <w:r>
              <w:rPr>
                <w:sz w:val="17"/>
              </w:rPr>
            </w:r>
            <w:r>
              <w:rPr>
                <w:sz w:val="17"/>
              </w:rPr>
              <w:t>61,00</w:t>
            </w:r>
          </w:p>
        </w:tc>
      </w:tr>
      <w:tr>
        <w:tc>
          <w:tcPr>
            <w:tcW w:type="dxa" w:w="451"/>
            <w:shd w:val="clear" w:fill="F2F5F8"/>
          </w:tcPr>
          <w:p>
            <w:pPr>
              <w:spacing w:after="40" w:before="40"/>
            </w:pPr>
            <w:r>
              <w:rPr>
                <w:sz w:val="17"/>
              </w:rPr>
            </w:r>
            <w:r>
              <w:rPr>
                <w:sz w:val="17"/>
              </w:rPr>
              <w:t>2</w:t>
            </w:r>
          </w:p>
        </w:tc>
        <w:tc>
          <w:tcPr>
            <w:tcW w:type="dxa" w:w="4505"/>
            <w:shd w:val="clear" w:fill="F2F5F8"/>
          </w:tcPr>
          <w:p>
            <w:pPr>
              <w:spacing w:after="40" w:before="40"/>
            </w:pPr>
            <w:r>
              <w:rPr>
                <w:sz w:val="17"/>
              </w:rPr>
            </w:r>
            <w:r>
              <w:rPr>
                <w:sz w:val="17"/>
              </w:rPr>
              <w:t>Agrégation globale TPE, domaines 61/60/82/65/70/75/50</w:t>
            </w:r>
          </w:p>
        </w:tc>
        <w:tc>
          <w:tcPr>
            <w:tcW w:type="dxa" w:w="4505"/>
            <w:shd w:val="clear" w:fill="F2F5F8"/>
          </w:tcPr>
          <w:p>
            <w:pPr>
              <w:spacing w:after="40" w:before="40"/>
            </w:pPr>
            <w:r>
              <w:rPr>
                <w:sz w:val="17"/>
              </w:rPr>
            </w:r>
            <w:r>
              <w:rPr>
                <w:sz w:val="17"/>
              </w:rPr>
              <w:t>68,75 → G6</w:t>
            </w:r>
          </w:p>
        </w:tc>
      </w:tr>
      <w:tr>
        <w:tc>
          <w:tcPr>
            <w:tcW w:type="dxa" w:w="451"/>
          </w:tcPr>
          <w:p>
            <w:pPr>
              <w:spacing w:after="40" w:before="40"/>
            </w:pPr>
            <w:r>
              <w:rPr>
                <w:sz w:val="17"/>
              </w:rPr>
            </w:r>
            <w:r>
              <w:rPr>
                <w:sz w:val="17"/>
              </w:rPr>
              <w:t>3</w:t>
            </w:r>
          </w:p>
        </w:tc>
        <w:tc>
          <w:tcPr>
            <w:tcW w:type="dxa" w:w="4505"/>
          </w:tcPr>
          <w:p>
            <w:pPr>
              <w:spacing w:after="40" w:before="40"/>
            </w:pPr>
            <w:r>
              <w:rPr>
                <w:sz w:val="17"/>
              </w:rPr>
            </w:r>
            <w:r>
              <w:rPr>
                <w:sz w:val="17"/>
              </w:rPr>
              <w:t>Cap structurel sur score 69,10 avec couverture de dette insuffisante</w:t>
            </w:r>
          </w:p>
        </w:tc>
        <w:tc>
          <w:tcPr>
            <w:tcW w:type="dxa" w:w="4505"/>
          </w:tcPr>
          <w:p>
            <w:pPr>
              <w:spacing w:after="40" w:before="40"/>
            </w:pPr>
            <w:r>
              <w:rPr>
                <w:sz w:val="17"/>
              </w:rPr>
            </w:r>
            <w:r>
              <w:rPr>
                <w:sz w:val="17"/>
              </w:rPr>
              <w:t>brut 69,10 conservé, moteur G6, final G9</w:t>
            </w:r>
          </w:p>
        </w:tc>
      </w:tr>
      <w:tr>
        <w:tc>
          <w:tcPr>
            <w:tcW w:type="dxa" w:w="451"/>
            <w:shd w:val="clear" w:fill="F2F5F8"/>
          </w:tcPr>
          <w:p>
            <w:pPr>
              <w:spacing w:after="40" w:before="40"/>
            </w:pPr>
            <w:r>
              <w:rPr>
                <w:sz w:val="17"/>
              </w:rPr>
            </w:r>
            <w:r>
              <w:rPr>
                <w:sz w:val="17"/>
              </w:rPr>
              <w:t>4</w:t>
            </w:r>
          </w:p>
        </w:tc>
        <w:tc>
          <w:tcPr>
            <w:tcW w:type="dxa" w:w="4505"/>
            <w:shd w:val="clear" w:fill="F2F5F8"/>
          </w:tcPr>
          <w:p>
            <w:pPr>
              <w:spacing w:after="40" w:before="40"/>
            </w:pPr>
            <w:r>
              <w:rPr>
                <w:sz w:val="17"/>
              </w:rPr>
            </w:r>
            <w:r>
              <w:rPr>
                <w:sz w:val="17"/>
              </w:rPr>
              <w:t>Confiance sur composantes 75/100/75/100</w:t>
            </w:r>
          </w:p>
        </w:tc>
        <w:tc>
          <w:tcPr>
            <w:tcW w:type="dxa" w:w="4505"/>
            <w:shd w:val="clear" w:fill="F2F5F8"/>
          </w:tcPr>
          <w:p>
            <w:pPr>
              <w:spacing w:after="40" w:before="40"/>
            </w:pPr>
            <w:r>
              <w:rPr>
                <w:sz w:val="17"/>
              </w:rPr>
            </w:r>
            <w:r>
              <w:rPr>
                <w:sz w:val="17"/>
              </w:rPr>
              <w:t>83,75 → niveau moyen → cap G4</w:t>
            </w:r>
          </w:p>
        </w:tc>
      </w:tr>
      <w:tr>
        <w:tc>
          <w:tcPr>
            <w:tcW w:type="dxa" w:w="451"/>
          </w:tcPr>
          <w:p>
            <w:pPr>
              <w:spacing w:after="40" w:before="40"/>
            </w:pPr>
            <w:r>
              <w:rPr>
                <w:sz w:val="17"/>
              </w:rPr>
            </w:r>
            <w:r>
              <w:rPr>
                <w:sz w:val="17"/>
              </w:rPr>
              <w:t>5</w:t>
            </w:r>
          </w:p>
        </w:tc>
        <w:tc>
          <w:tcPr>
            <w:tcW w:type="dxa" w:w="4505"/>
          </w:tcPr>
          <w:p>
            <w:pPr>
              <w:spacing w:after="40" w:before="40"/>
            </w:pPr>
            <w:r>
              <w:rPr>
                <w:sz w:val="17"/>
              </w:rPr>
            </w:r>
            <w:r>
              <w:rPr>
                <w:sz w:val="17"/>
              </w:rPr>
              <w:t>Agrégation globale GE, domaines 78/75/80/70/75/90/60</w:t>
            </w:r>
          </w:p>
        </w:tc>
        <w:tc>
          <w:tcPr>
            <w:tcW w:type="dxa" w:w="4505"/>
          </w:tcPr>
          <w:p>
            <w:pPr>
              <w:spacing w:after="40" w:before="40"/>
            </w:pPr>
            <w:r>
              <w:rPr>
                <w:sz w:val="17"/>
              </w:rPr>
            </w:r>
            <w:r>
              <w:rPr>
                <w:sz w:val="17"/>
              </w:rPr>
              <w:t>75,65 → G4</w:t>
            </w:r>
          </w:p>
        </w:tc>
      </w:tr>
      <w:tr>
        <w:tc>
          <w:tcPr>
            <w:tcW w:type="dxa" w:w="451"/>
            <w:shd w:val="clear" w:fill="F2F5F8"/>
          </w:tcPr>
          <w:p>
            <w:pPr>
              <w:spacing w:after="40" w:before="40"/>
            </w:pPr>
            <w:r>
              <w:rPr>
                <w:sz w:val="17"/>
              </w:rPr>
            </w:r>
            <w:r>
              <w:rPr>
                <w:sz w:val="17"/>
              </w:rPr>
              <w:t>6</w:t>
            </w:r>
          </w:p>
        </w:tc>
        <w:tc>
          <w:tcPr>
            <w:tcW w:type="dxa" w:w="4505"/>
            <w:shd w:val="clear" w:fill="F2F5F8"/>
          </w:tcPr>
          <w:p>
            <w:pPr>
              <w:spacing w:after="40" w:before="40"/>
            </w:pPr>
            <w:r>
              <w:rPr>
                <w:sz w:val="17"/>
              </w:rPr>
            </w:r>
            <w:r>
              <w:rPr>
                <w:sz w:val="17"/>
              </w:rPr>
              <w:t>Bornes du levier TPE</w:t>
            </w:r>
          </w:p>
        </w:tc>
        <w:tc>
          <w:tcPr>
            <w:tcW w:type="dxa" w:w="4505"/>
            <w:shd w:val="clear" w:fill="F2F5F8"/>
          </w:tcPr>
          <w:p>
            <w:pPr>
              <w:spacing w:after="40" w:before="40"/>
            </w:pPr>
            <w:r>
              <w:rPr>
                <w:sz w:val="17"/>
              </w:rPr>
            </w:r>
            <w:r>
              <w:rPr>
                <w:sz w:val="17"/>
              </w:rPr>
              <w:t>1,0 → 100 ; 1,0001 → 75 ; 2,0 → 75 ; 2,0001 → 50 ; 3,5 → 50 ; 3,5001 → 25 ; 5,0 → 25 ; 5,0001 → 0</w:t>
            </w:r>
          </w:p>
        </w:tc>
      </w:tr>
      <w:tr>
        <w:tc>
          <w:tcPr>
            <w:tcW w:type="dxa" w:w="451"/>
          </w:tcPr>
          <w:p>
            <w:pPr>
              <w:spacing w:after="40" w:before="40"/>
            </w:pPr>
            <w:r>
              <w:rPr>
                <w:sz w:val="17"/>
              </w:rPr>
            </w:r>
            <w:r>
              <w:rPr>
                <w:sz w:val="17"/>
              </w:rPr>
              <w:t>7</w:t>
            </w:r>
          </w:p>
        </w:tc>
        <w:tc>
          <w:tcPr>
            <w:tcW w:type="dxa" w:w="4505"/>
          </w:tcPr>
          <w:p>
            <w:pPr>
              <w:spacing w:after="40" w:before="40"/>
            </w:pPr>
            <w:r>
              <w:rPr>
                <w:sz w:val="17"/>
              </w:rPr>
            </w:r>
            <w:r>
              <w:rPr>
                <w:sz w:val="17"/>
              </w:rPr>
              <w:t>Deux critères non applicables sur quatre, les autres à 50</w:t>
            </w:r>
          </w:p>
        </w:tc>
        <w:tc>
          <w:tcPr>
            <w:tcW w:type="dxa" w:w="4505"/>
          </w:tcPr>
          <w:p>
            <w:pPr>
              <w:spacing w:after="40" w:before="40"/>
            </w:pPr>
            <w:r>
              <w:rPr>
                <w:sz w:val="17"/>
              </w:rPr>
            </w:r>
            <w:r>
              <w:rPr>
                <w:sz w:val="17"/>
              </w:rPr>
              <w:t>score de domaine 50, poids applicable réduit, score global inchangé</w:t>
            </w:r>
          </w:p>
        </w:tc>
      </w:tr>
    </w:tbl>
    <w:p>
      <w:pPr>
        <w:spacing w:after="80"/>
      </w:pPr>
    </w:p>
    <w:p>
      <w:pPr>
        <w:pStyle w:val="Heading2"/>
      </w:pPr>
      <w:r>
        <w:t>Annexe B — Registre des écarts et travaux futurs</w:t>
      </w:r>
    </w:p>
    <w:tbl>
      <w:tblPr>
        <w:tblStyle w:val="TableGrid"/>
        <w:tblW w:type="auto" w:w="0"/>
        <w:jc w:val="center"/>
        <w:tblLayout w:type="fixed"/>
        <w:tblLook w:firstColumn="1" w:firstRow="1" w:lastColumn="0" w:lastRow="0" w:noHBand="0" w:noVBand="1" w:val="04A0"/>
      </w:tblPr>
      <w:tblGrid>
        <w:gridCol w:w="2365"/>
        <w:gridCol w:w="2365"/>
        <w:gridCol w:w="2365"/>
        <w:gridCol w:w="2365"/>
      </w:tblGrid>
      <w:tr>
        <w:trPr>
          <w:tblHeader w:val="true"/>
        </w:trPr>
        <w:tc>
          <w:tcPr>
            <w:tcW w:type="dxa" w:w="394"/>
            <w:shd w:val="clear" w:fill="0F3D63"/>
          </w:tcPr>
          <w:p>
            <w:pPr>
              <w:spacing w:after="40" w:before="40"/>
            </w:pPr>
            <w:r>
              <w:rPr>
                <w:color w:val="FFFFFF"/>
                <w:sz w:val="17"/>
              </w:rPr>
            </w:r>
            <w:r>
              <w:rPr>
                <w:b/>
                <w:color w:val="FFFFFF"/>
                <w:sz w:val="17"/>
              </w:rPr>
              <w:t>#</w:t>
            </w:r>
          </w:p>
        </w:tc>
        <w:tc>
          <w:tcPr>
            <w:tcW w:type="dxa" w:w="3942"/>
            <w:shd w:val="clear" w:fill="0F3D63"/>
          </w:tcPr>
          <w:p>
            <w:pPr>
              <w:spacing w:after="40" w:before="40"/>
            </w:pPr>
            <w:r>
              <w:rPr>
                <w:color w:val="FFFFFF"/>
                <w:sz w:val="17"/>
              </w:rPr>
            </w:r>
            <w:r>
              <w:rPr>
                <w:b/>
                <w:color w:val="FFFFFF"/>
                <w:sz w:val="17"/>
              </w:rPr>
              <w:t>Écart ou travail</w:t>
            </w:r>
          </w:p>
        </w:tc>
        <w:tc>
          <w:tcPr>
            <w:tcW w:type="dxa" w:w="1183"/>
            <w:shd w:val="clear" w:fill="0F3D63"/>
          </w:tcPr>
          <w:p>
            <w:pPr>
              <w:spacing w:after="40" w:before="40"/>
            </w:pPr>
            <w:r>
              <w:rPr>
                <w:color w:val="FFFFFF"/>
                <w:sz w:val="17"/>
              </w:rPr>
            </w:r>
            <w:r>
              <w:rPr>
                <w:b/>
                <w:color w:val="FFFFFF"/>
                <w:sz w:val="17"/>
              </w:rPr>
              <w:t>Nature</w:t>
            </w:r>
          </w:p>
        </w:tc>
        <w:tc>
          <w:tcPr>
            <w:tcW w:type="dxa" w:w="3942"/>
            <w:shd w:val="clear" w:fill="0F3D63"/>
          </w:tcPr>
          <w:p>
            <w:pPr>
              <w:spacing w:after="40" w:before="40"/>
            </w:pPr>
            <w:r>
              <w:rPr>
                <w:color w:val="FFFFFF"/>
                <w:sz w:val="17"/>
              </w:rPr>
            </w:r>
            <w:r>
              <w:rPr>
                <w:b/>
                <w:color w:val="FFFFFF"/>
                <w:sz w:val="17"/>
              </w:rPr>
              <w:t>Condition de levée</w:t>
            </w:r>
          </w:p>
        </w:tc>
      </w:tr>
      <w:tr>
        <w:tc>
          <w:tcPr>
            <w:tcW w:type="dxa" w:w="394"/>
          </w:tcPr>
          <w:p>
            <w:pPr>
              <w:spacing w:after="40" w:before="40"/>
            </w:pPr>
            <w:r>
              <w:rPr>
                <w:sz w:val="17"/>
              </w:rPr>
            </w:r>
            <w:r>
              <w:rPr>
                <w:sz w:val="17"/>
              </w:rPr>
              <w:t>1</w:t>
            </w:r>
          </w:p>
        </w:tc>
        <w:tc>
          <w:tcPr>
            <w:tcW w:type="dxa" w:w="3942"/>
          </w:tcPr>
          <w:p>
            <w:pPr>
              <w:spacing w:after="40" w:before="40"/>
            </w:pPr>
            <w:r>
              <w:rPr>
                <w:sz w:val="17"/>
              </w:rPr>
            </w:r>
            <w:r>
              <w:rPr>
                <w:sz w:val="17"/>
              </w:rPr>
              <w:t>Seuils de segmentation non confirmés</w:t>
            </w:r>
          </w:p>
        </w:tc>
        <w:tc>
          <w:tcPr>
            <w:tcW w:type="dxa" w:w="1183"/>
          </w:tcPr>
          <w:p>
            <w:pPr>
              <w:spacing w:after="40" w:before="40"/>
            </w:pPr>
            <w:r>
              <w:rPr>
                <w:sz w:val="17"/>
              </w:rPr>
            </w:r>
            <w:r>
              <w:rPr>
                <w:sz w:val="17"/>
              </w:rPr>
              <w:t>Hypothèse</w:t>
            </w:r>
          </w:p>
        </w:tc>
        <w:tc>
          <w:tcPr>
            <w:tcW w:type="dxa" w:w="3942"/>
          </w:tcPr>
          <w:p>
            <w:pPr>
              <w:spacing w:after="40" w:before="40"/>
            </w:pPr>
            <w:r>
              <w:rPr>
                <w:sz w:val="17"/>
              </w:rPr>
            </w:r>
            <w:r>
              <w:rPr>
                <w:sz w:val="17"/>
              </w:rPr>
              <w:t>Extraction depuis le corpus applicable et validation Conformité</w:t>
            </w:r>
          </w:p>
        </w:tc>
      </w:tr>
      <w:tr>
        <w:tc>
          <w:tcPr>
            <w:tcW w:type="dxa" w:w="394"/>
            <w:shd w:val="clear" w:fill="F2F5F8"/>
          </w:tcPr>
          <w:p>
            <w:pPr>
              <w:spacing w:after="40" w:before="40"/>
            </w:pPr>
            <w:r>
              <w:rPr>
                <w:sz w:val="17"/>
              </w:rPr>
            </w:r>
            <w:r>
              <w:rPr>
                <w:sz w:val="17"/>
              </w:rPr>
              <w:t>2</w:t>
            </w:r>
          </w:p>
        </w:tc>
        <w:tc>
          <w:tcPr>
            <w:tcW w:type="dxa" w:w="3942"/>
            <w:shd w:val="clear" w:fill="F2F5F8"/>
          </w:tcPr>
          <w:p>
            <w:pPr>
              <w:spacing w:after="40" w:before="40"/>
            </w:pPr>
            <w:r>
              <w:rPr>
                <w:sz w:val="17"/>
              </w:rPr>
            </w:r>
            <w:r>
              <w:rPr>
                <w:sz w:val="17"/>
              </w:rPr>
              <w:t>Probabilité de défaut non calibrée</w:t>
            </w:r>
          </w:p>
        </w:tc>
        <w:tc>
          <w:tcPr>
            <w:tcW w:type="dxa" w:w="1183"/>
            <w:shd w:val="clear" w:fill="F2F5F8"/>
          </w:tcPr>
          <w:p>
            <w:pPr>
              <w:spacing w:after="40" w:before="40"/>
            </w:pPr>
            <w:r>
              <w:rPr>
                <w:sz w:val="17"/>
              </w:rPr>
            </w:r>
            <w:r>
              <w:rPr>
                <w:sz w:val="17"/>
              </w:rPr>
              <w:t>Limitation assumée</w:t>
            </w:r>
          </w:p>
        </w:tc>
        <w:tc>
          <w:tcPr>
            <w:tcW w:type="dxa" w:w="3942"/>
            <w:shd w:val="clear" w:fill="F2F5F8"/>
          </w:tcPr>
          <w:p>
            <w:pPr>
              <w:spacing w:after="40" w:before="40"/>
            </w:pPr>
            <w:r>
              <w:rPr>
                <w:sz w:val="17"/>
              </w:rPr>
            </w:r>
            <w:r>
              <w:rPr>
                <w:sz w:val="17"/>
              </w:rPr>
              <w:t>Historique suffisant, calibration, validation indépendante</w:t>
            </w:r>
          </w:p>
        </w:tc>
      </w:tr>
      <w:tr>
        <w:tc>
          <w:tcPr>
            <w:tcW w:type="dxa" w:w="394"/>
          </w:tcPr>
          <w:p>
            <w:pPr>
              <w:spacing w:after="40" w:before="40"/>
            </w:pPr>
            <w:r>
              <w:rPr>
                <w:sz w:val="17"/>
              </w:rPr>
            </w:r>
            <w:r>
              <w:rPr>
                <w:sz w:val="17"/>
              </w:rPr>
              <w:t>3</w:t>
            </w:r>
          </w:p>
        </w:tc>
        <w:tc>
          <w:tcPr>
            <w:tcW w:type="dxa" w:w="3942"/>
          </w:tcPr>
          <w:p>
            <w:pPr>
              <w:spacing w:after="40" w:before="40"/>
            </w:pPr>
            <w:r>
              <w:rPr>
                <w:sz w:val="17"/>
              </w:rPr>
            </w:r>
            <w:r>
              <w:rPr>
                <w:sz w:val="17"/>
              </w:rPr>
              <w:t>Moteurs de décision, classification, IFRS 9 et capital non implémentés</w:t>
            </w:r>
          </w:p>
        </w:tc>
        <w:tc>
          <w:tcPr>
            <w:tcW w:type="dxa" w:w="1183"/>
          </w:tcPr>
          <w:p>
            <w:pPr>
              <w:spacing w:after="40" w:before="40"/>
            </w:pPr>
            <w:r>
              <w:rPr>
                <w:sz w:val="17"/>
              </w:rPr>
            </w:r>
            <w:r>
              <w:rPr>
                <w:sz w:val="17"/>
              </w:rPr>
              <w:t>Périmètre</w:t>
            </w:r>
          </w:p>
        </w:tc>
        <w:tc>
          <w:tcPr>
            <w:tcW w:type="dxa" w:w="3942"/>
          </w:tcPr>
          <w:p>
            <w:pPr>
              <w:spacing w:after="40" w:before="40"/>
            </w:pPr>
            <w:r>
              <w:rPr>
                <w:sz w:val="17"/>
              </w:rPr>
            </w:r>
            <w:r>
              <w:rPr>
                <w:sz w:val="17"/>
              </w:rPr>
              <w:t>Validation du corpus réglementaire (Porte 1)</w:t>
            </w:r>
          </w:p>
        </w:tc>
      </w:tr>
      <w:tr>
        <w:tc>
          <w:tcPr>
            <w:tcW w:type="dxa" w:w="394"/>
            <w:shd w:val="clear" w:fill="F2F5F8"/>
          </w:tcPr>
          <w:p>
            <w:pPr>
              <w:spacing w:after="40" w:before="40"/>
            </w:pPr>
            <w:r>
              <w:rPr>
                <w:sz w:val="17"/>
              </w:rPr>
            </w:r>
            <w:r>
              <w:rPr>
                <w:sz w:val="17"/>
              </w:rPr>
              <w:t>4</w:t>
            </w:r>
          </w:p>
        </w:tc>
        <w:tc>
          <w:tcPr>
            <w:tcW w:type="dxa" w:w="3942"/>
            <w:shd w:val="clear" w:fill="F2F5F8"/>
          </w:tcPr>
          <w:p>
            <w:pPr>
              <w:spacing w:after="40" w:before="40"/>
            </w:pPr>
            <w:r>
              <w:rPr>
                <w:sz w:val="17"/>
              </w:rPr>
            </w:r>
            <w:r>
              <w:rPr>
                <w:sz w:val="17"/>
              </w:rPr>
              <w:t>Référentiel sectoriel non alimenté</w:t>
            </w:r>
          </w:p>
        </w:tc>
        <w:tc>
          <w:tcPr>
            <w:tcW w:type="dxa" w:w="1183"/>
            <w:shd w:val="clear" w:fill="F2F5F8"/>
          </w:tcPr>
          <w:p>
            <w:pPr>
              <w:spacing w:after="40" w:before="40"/>
            </w:pPr>
            <w:r>
              <w:rPr>
                <w:sz w:val="17"/>
              </w:rPr>
            </w:r>
            <w:r>
              <w:rPr>
                <w:sz w:val="17"/>
              </w:rPr>
              <w:t>Dépendance</w:t>
            </w:r>
          </w:p>
        </w:tc>
        <w:tc>
          <w:tcPr>
            <w:tcW w:type="dxa" w:w="3942"/>
            <w:shd w:val="clear" w:fill="F2F5F8"/>
          </w:tcPr>
          <w:p>
            <w:pPr>
              <w:spacing w:after="40" w:before="40"/>
            </w:pPr>
            <w:r>
              <w:rPr>
                <w:sz w:val="17"/>
              </w:rPr>
            </w:r>
            <w:r>
              <w:rPr>
                <w:sz w:val="17"/>
              </w:rPr>
              <w:t>Construction et approbation du référentiel daté</w:t>
            </w:r>
          </w:p>
        </w:tc>
      </w:tr>
      <w:tr>
        <w:tc>
          <w:tcPr>
            <w:tcW w:type="dxa" w:w="394"/>
          </w:tcPr>
          <w:p>
            <w:pPr>
              <w:spacing w:after="40" w:before="40"/>
            </w:pPr>
            <w:r>
              <w:rPr>
                <w:sz w:val="17"/>
              </w:rPr>
            </w:r>
            <w:r>
              <w:rPr>
                <w:sz w:val="17"/>
              </w:rPr>
              <w:t>5</w:t>
            </w:r>
          </w:p>
        </w:tc>
        <w:tc>
          <w:tcPr>
            <w:tcW w:type="dxa" w:w="3942"/>
          </w:tcPr>
          <w:p>
            <w:pPr>
              <w:spacing w:after="40" w:before="40"/>
            </w:pPr>
            <w:r>
              <w:rPr>
                <w:sz w:val="17"/>
              </w:rPr>
            </w:r>
            <w:r>
              <w:rPr>
                <w:sz w:val="17"/>
              </w:rPr>
              <w:t>Méthode de support groupe spécifiée mais non implémentée</w:t>
            </w:r>
          </w:p>
        </w:tc>
        <w:tc>
          <w:tcPr>
            <w:tcW w:type="dxa" w:w="1183"/>
          </w:tcPr>
          <w:p>
            <w:pPr>
              <w:spacing w:after="40" w:before="40"/>
            </w:pPr>
            <w:r>
              <w:rPr>
                <w:sz w:val="17"/>
              </w:rPr>
            </w:r>
            <w:r>
              <w:rPr>
                <w:sz w:val="17"/>
              </w:rPr>
              <w:t>Périmètre</w:t>
            </w:r>
          </w:p>
        </w:tc>
        <w:tc>
          <w:tcPr>
            <w:tcW w:type="dxa" w:w="3942"/>
          </w:tcPr>
          <w:p>
            <w:pPr>
              <w:spacing w:after="40" w:before="40"/>
            </w:pPr>
            <w:r>
              <w:rPr>
                <w:sz w:val="17"/>
              </w:rPr>
            </w:r>
            <w:r>
              <w:rPr>
                <w:sz w:val="17"/>
              </w:rPr>
              <w:t>Approbation de la grille de relèvement</w:t>
            </w:r>
          </w:p>
        </w:tc>
      </w:tr>
      <w:tr>
        <w:tc>
          <w:tcPr>
            <w:tcW w:type="dxa" w:w="394"/>
            <w:shd w:val="clear" w:fill="F2F5F8"/>
          </w:tcPr>
          <w:p>
            <w:pPr>
              <w:spacing w:after="40" w:before="40"/>
            </w:pPr>
            <w:r>
              <w:rPr>
                <w:sz w:val="17"/>
              </w:rPr>
            </w:r>
            <w:r>
              <w:rPr>
                <w:sz w:val="17"/>
              </w:rPr>
              <w:t>6</w:t>
            </w:r>
          </w:p>
        </w:tc>
        <w:tc>
          <w:tcPr>
            <w:tcW w:type="dxa" w:w="3942"/>
            <w:shd w:val="clear" w:fill="F2F5F8"/>
          </w:tcPr>
          <w:p>
            <w:pPr>
              <w:spacing w:after="40" w:before="40"/>
            </w:pPr>
            <w:r>
              <w:rPr>
                <w:sz w:val="17"/>
              </w:rPr>
            </w:r>
            <w:r>
              <w:rPr>
                <w:sz w:val="17"/>
              </w:rPr>
              <w:t>Percentiles sectoriels référencés dans les grilles qualitatives</w:t>
            </w:r>
          </w:p>
        </w:tc>
        <w:tc>
          <w:tcPr>
            <w:tcW w:type="dxa" w:w="1183"/>
            <w:shd w:val="clear" w:fill="F2F5F8"/>
          </w:tcPr>
          <w:p>
            <w:pPr>
              <w:spacing w:after="40" w:before="40"/>
            </w:pPr>
            <w:r>
              <w:rPr>
                <w:sz w:val="17"/>
              </w:rPr>
            </w:r>
            <w:r>
              <w:rPr>
                <w:sz w:val="17"/>
              </w:rPr>
              <w:t>Dépendance</w:t>
            </w:r>
          </w:p>
        </w:tc>
        <w:tc>
          <w:tcPr>
            <w:tcW w:type="dxa" w:w="3942"/>
            <w:shd w:val="clear" w:fill="F2F5F8"/>
          </w:tcPr>
          <w:p>
            <w:pPr>
              <w:spacing w:after="40" w:before="40"/>
            </w:pPr>
            <w:r>
              <w:rPr>
                <w:sz w:val="17"/>
              </w:rPr>
            </w:r>
            <w:r>
              <w:rPr>
                <w:sz w:val="17"/>
              </w:rPr>
              <w:t>Alimentation du référentiel avec effectifs et périodes</w:t>
            </w:r>
          </w:p>
        </w:tc>
      </w:tr>
      <w:tr>
        <w:tc>
          <w:tcPr>
            <w:tcW w:type="dxa" w:w="394"/>
          </w:tcPr>
          <w:p>
            <w:pPr>
              <w:spacing w:after="40" w:before="40"/>
            </w:pPr>
            <w:r>
              <w:rPr>
                <w:sz w:val="17"/>
              </w:rPr>
            </w:r>
            <w:r>
              <w:rPr>
                <w:sz w:val="17"/>
              </w:rPr>
              <w:t>7</w:t>
            </w:r>
          </w:p>
        </w:tc>
        <w:tc>
          <w:tcPr>
            <w:tcW w:type="dxa" w:w="3942"/>
          </w:tcPr>
          <w:p>
            <w:pPr>
              <w:spacing w:after="40" w:before="40"/>
            </w:pPr>
            <w:r>
              <w:rPr>
                <w:sz w:val="17"/>
              </w:rPr>
            </w:r>
            <w:r>
              <w:rPr>
                <w:sz w:val="17"/>
              </w:rPr>
              <w:t>Oracle non certifié</w:t>
            </w:r>
          </w:p>
        </w:tc>
        <w:tc>
          <w:tcPr>
            <w:tcW w:type="dxa" w:w="1183"/>
          </w:tcPr>
          <w:p>
            <w:pPr>
              <w:spacing w:after="40" w:before="40"/>
            </w:pPr>
            <w:r>
              <w:rPr>
                <w:sz w:val="17"/>
              </w:rPr>
            </w:r>
            <w:r>
              <w:rPr>
                <w:sz w:val="17"/>
              </w:rPr>
              <w:t>Certification</w:t>
            </w:r>
          </w:p>
        </w:tc>
        <w:tc>
          <w:tcPr>
            <w:tcW w:type="dxa" w:w="3942"/>
          </w:tcPr>
          <w:p>
            <w:pPr>
              <w:spacing w:after="40" w:before="40"/>
            </w:pPr>
            <w:r>
              <w:rPr>
                <w:sz w:val="17"/>
              </w:rPr>
            </w:r>
            <w:r>
              <w:rPr>
                <w:sz w:val="17"/>
              </w:rPr>
              <w:t>Instance licenciée fournie par la banque</w:t>
            </w:r>
          </w:p>
        </w:tc>
      </w:tr>
      <w:tr>
        <w:tc>
          <w:tcPr>
            <w:tcW w:type="dxa" w:w="394"/>
            <w:shd w:val="clear" w:fill="F2F5F8"/>
          </w:tcPr>
          <w:p>
            <w:pPr>
              <w:spacing w:after="40" w:before="40"/>
            </w:pPr>
            <w:r>
              <w:rPr>
                <w:sz w:val="17"/>
              </w:rPr>
            </w:r>
            <w:r>
              <w:rPr>
                <w:sz w:val="17"/>
              </w:rPr>
              <w:t>8</w:t>
            </w:r>
          </w:p>
        </w:tc>
        <w:tc>
          <w:tcPr>
            <w:tcW w:type="dxa" w:w="3942"/>
            <w:shd w:val="clear" w:fill="F2F5F8"/>
          </w:tcPr>
          <w:p>
            <w:pPr>
              <w:spacing w:after="40" w:before="40"/>
            </w:pPr>
            <w:r>
              <w:rPr>
                <w:sz w:val="17"/>
              </w:rPr>
            </w:r>
            <w:r>
              <w:rPr>
                <w:sz w:val="17"/>
              </w:rPr>
              <w:t>Authentification par clé, non OIDC</w:t>
            </w:r>
          </w:p>
        </w:tc>
        <w:tc>
          <w:tcPr>
            <w:tcW w:type="dxa" w:w="1183"/>
            <w:shd w:val="clear" w:fill="F2F5F8"/>
          </w:tcPr>
          <w:p>
            <w:pPr>
              <w:spacing w:after="40" w:before="40"/>
            </w:pPr>
            <w:r>
              <w:rPr>
                <w:sz w:val="17"/>
              </w:rPr>
            </w:r>
            <w:r>
              <w:rPr>
                <w:sz w:val="17"/>
              </w:rPr>
              <w:t>Transitoire</w:t>
            </w:r>
          </w:p>
        </w:tc>
        <w:tc>
          <w:tcPr>
            <w:tcW w:type="dxa" w:w="3942"/>
            <w:shd w:val="clear" w:fill="F2F5F8"/>
          </w:tcPr>
          <w:p>
            <w:pPr>
              <w:spacing w:after="40" w:before="40"/>
            </w:pPr>
            <w:r>
              <w:rPr>
                <w:sz w:val="17"/>
              </w:rPr>
            </w:r>
            <w:r>
              <w:rPr>
                <w:sz w:val="17"/>
              </w:rPr>
              <w:t>Raccordement au fournisseur d'identité de la banque</w:t>
            </w:r>
          </w:p>
        </w:tc>
      </w:tr>
      <w:tr>
        <w:tc>
          <w:tcPr>
            <w:tcW w:type="dxa" w:w="394"/>
          </w:tcPr>
          <w:p>
            <w:pPr>
              <w:spacing w:after="40" w:before="40"/>
            </w:pPr>
            <w:r>
              <w:rPr>
                <w:sz w:val="17"/>
              </w:rPr>
            </w:r>
            <w:r>
              <w:rPr>
                <w:sz w:val="17"/>
              </w:rPr>
              <w:t>9</w:t>
            </w:r>
          </w:p>
        </w:tc>
        <w:tc>
          <w:tcPr>
            <w:tcW w:type="dxa" w:w="3942"/>
          </w:tcPr>
          <w:p>
            <w:pPr>
              <w:spacing w:after="40" w:before="40"/>
            </w:pPr>
            <w:r>
              <w:rPr>
                <w:sz w:val="17"/>
              </w:rPr>
            </w:r>
            <w:r>
              <w:rPr>
                <w:sz w:val="17"/>
              </w:rPr>
              <w:t>Imports de masse et connecteurs non implémentés</w:t>
            </w:r>
          </w:p>
        </w:tc>
        <w:tc>
          <w:tcPr>
            <w:tcW w:type="dxa" w:w="1183"/>
          </w:tcPr>
          <w:p>
            <w:pPr>
              <w:spacing w:after="40" w:before="40"/>
            </w:pPr>
            <w:r>
              <w:rPr>
                <w:sz w:val="17"/>
              </w:rPr>
            </w:r>
            <w:r>
              <w:rPr>
                <w:sz w:val="17"/>
              </w:rPr>
              <w:t>Périmètre</w:t>
            </w:r>
          </w:p>
        </w:tc>
        <w:tc>
          <w:tcPr>
            <w:tcW w:type="dxa" w:w="3942"/>
          </w:tcPr>
          <w:p>
            <w:pPr>
              <w:spacing w:after="40" w:before="40"/>
            </w:pPr>
            <w:r>
              <w:rPr>
                <w:sz w:val="17"/>
              </w:rPr>
            </w:r>
            <w:r>
              <w:rPr>
                <w:sz w:val="17"/>
              </w:rPr>
              <w:t>Phase 4</w:t>
            </w:r>
          </w:p>
        </w:tc>
      </w:tr>
      <w:tr>
        <w:tc>
          <w:tcPr>
            <w:tcW w:type="dxa" w:w="394"/>
            <w:shd w:val="clear" w:fill="F2F5F8"/>
          </w:tcPr>
          <w:p>
            <w:pPr>
              <w:spacing w:after="40" w:before="40"/>
            </w:pPr>
            <w:r>
              <w:rPr>
                <w:sz w:val="17"/>
              </w:rPr>
            </w:r>
            <w:r>
              <w:rPr>
                <w:sz w:val="17"/>
              </w:rPr>
              <w:t>10</w:t>
            </w:r>
          </w:p>
        </w:tc>
        <w:tc>
          <w:tcPr>
            <w:tcW w:type="dxa" w:w="3942"/>
            <w:shd w:val="clear" w:fill="F2F5F8"/>
          </w:tcPr>
          <w:p>
            <w:pPr>
              <w:spacing w:after="40" w:before="40"/>
            </w:pPr>
            <w:r>
              <w:rPr>
                <w:sz w:val="17"/>
              </w:rPr>
            </w:r>
            <w:r>
              <w:rPr>
                <w:sz w:val="17"/>
              </w:rPr>
              <w:t>Alerte précoce non implémentée</w:t>
            </w:r>
          </w:p>
        </w:tc>
        <w:tc>
          <w:tcPr>
            <w:tcW w:type="dxa" w:w="1183"/>
            <w:shd w:val="clear" w:fill="F2F5F8"/>
          </w:tcPr>
          <w:p>
            <w:pPr>
              <w:spacing w:after="40" w:before="40"/>
            </w:pPr>
            <w:r>
              <w:rPr>
                <w:sz w:val="17"/>
              </w:rPr>
            </w:r>
            <w:r>
              <w:rPr>
                <w:sz w:val="17"/>
              </w:rPr>
              <w:t>Périmètre</w:t>
            </w:r>
          </w:p>
        </w:tc>
        <w:tc>
          <w:tcPr>
            <w:tcW w:type="dxa" w:w="3942"/>
            <w:shd w:val="clear" w:fill="F2F5F8"/>
          </w:tcPr>
          <w:p>
            <w:pPr>
              <w:spacing w:after="40" w:before="40"/>
            </w:pPr>
            <w:r>
              <w:rPr>
                <w:sz w:val="17"/>
              </w:rPr>
            </w:r>
            <w:r>
              <w:rPr>
                <w:sz w:val="17"/>
              </w:rPr>
              <w:t>Phase 4</w:t>
            </w:r>
          </w:p>
        </w:tc>
      </w:tr>
      <w:tr>
        <w:tc>
          <w:tcPr>
            <w:tcW w:type="dxa" w:w="394"/>
          </w:tcPr>
          <w:p>
            <w:pPr>
              <w:spacing w:after="40" w:before="40"/>
            </w:pPr>
            <w:r>
              <w:rPr>
                <w:sz w:val="17"/>
              </w:rPr>
            </w:r>
            <w:r>
              <w:rPr>
                <w:sz w:val="17"/>
              </w:rPr>
              <w:t>11</w:t>
            </w:r>
          </w:p>
        </w:tc>
        <w:tc>
          <w:tcPr>
            <w:tcW w:type="dxa" w:w="3942"/>
          </w:tcPr>
          <w:p>
            <w:pPr>
              <w:spacing w:after="40" w:before="40"/>
            </w:pPr>
            <w:r>
              <w:rPr>
                <w:sz w:val="17"/>
              </w:rPr>
            </w:r>
            <w:r>
              <w:rPr>
                <w:sz w:val="17"/>
              </w:rPr>
              <w:t>Multilinguisme arabe et droite-à-gauche non implémenté</w:t>
            </w:r>
          </w:p>
        </w:tc>
        <w:tc>
          <w:tcPr>
            <w:tcW w:type="dxa" w:w="1183"/>
          </w:tcPr>
          <w:p>
            <w:pPr>
              <w:spacing w:after="40" w:before="40"/>
            </w:pPr>
            <w:r>
              <w:rPr>
                <w:sz w:val="17"/>
              </w:rPr>
            </w:r>
            <w:r>
              <w:rPr>
                <w:sz w:val="17"/>
              </w:rPr>
              <w:t>Périmètre</w:t>
            </w:r>
          </w:p>
        </w:tc>
        <w:tc>
          <w:tcPr>
            <w:tcW w:type="dxa" w:w="3942"/>
          </w:tcPr>
          <w:p>
            <w:pPr>
              <w:spacing w:after="40" w:before="40"/>
            </w:pPr>
            <w:r>
              <w:rPr>
                <w:sz w:val="17"/>
              </w:rPr>
            </w:r>
            <w:r>
              <w:rPr>
                <w:sz w:val="17"/>
              </w:rPr>
              <w:t>Phase 4</w:t>
            </w:r>
          </w:p>
        </w:tc>
      </w:tr>
      <w:tr>
        <w:tc>
          <w:tcPr>
            <w:tcW w:type="dxa" w:w="394"/>
            <w:shd w:val="clear" w:fill="F2F5F8"/>
          </w:tcPr>
          <w:p>
            <w:pPr>
              <w:spacing w:after="40" w:before="40"/>
            </w:pPr>
            <w:r>
              <w:rPr>
                <w:sz w:val="17"/>
              </w:rPr>
            </w:r>
            <w:r>
              <w:rPr>
                <w:sz w:val="17"/>
              </w:rPr>
              <w:t>12</w:t>
            </w:r>
          </w:p>
        </w:tc>
        <w:tc>
          <w:tcPr>
            <w:tcW w:type="dxa" w:w="3942"/>
            <w:shd w:val="clear" w:fill="F2F5F8"/>
          </w:tcPr>
          <w:p>
            <w:pPr>
              <w:spacing w:after="40" w:before="40"/>
            </w:pPr>
            <w:r>
              <w:rPr>
                <w:sz w:val="17"/>
              </w:rPr>
            </w:r>
            <w:r>
              <w:rPr>
                <w:sz w:val="17"/>
              </w:rPr>
              <w:t>Tests d'intégration sur instances réelles non exécutés</w:t>
            </w:r>
          </w:p>
        </w:tc>
        <w:tc>
          <w:tcPr>
            <w:tcW w:type="dxa" w:w="1183"/>
            <w:shd w:val="clear" w:fill="F2F5F8"/>
          </w:tcPr>
          <w:p>
            <w:pPr>
              <w:spacing w:after="40" w:before="40"/>
            </w:pPr>
            <w:r>
              <w:rPr>
                <w:sz w:val="17"/>
              </w:rPr>
            </w:r>
            <w:r>
              <w:rPr>
                <w:sz w:val="17"/>
              </w:rPr>
              <w:t>Preuve</w:t>
            </w:r>
          </w:p>
        </w:tc>
        <w:tc>
          <w:tcPr>
            <w:tcW w:type="dxa" w:w="3942"/>
            <w:shd w:val="clear" w:fill="F2F5F8"/>
          </w:tcPr>
          <w:p>
            <w:pPr>
              <w:spacing w:after="40" w:before="40"/>
            </w:pPr>
            <w:r>
              <w:rPr>
                <w:sz w:val="17"/>
              </w:rPr>
            </w:r>
            <w:r>
              <w:rPr>
                <w:sz w:val="17"/>
              </w:rPr>
              <w:t>Mise à disposition des environnements de test</w:t>
            </w:r>
          </w:p>
        </w:tc>
      </w:tr>
    </w:tbl>
    <w:p>
      <w:pPr>
        <w:spacing w:after="80"/>
      </w:pPr>
    </w:p>
    <w:p>
      <w:pPr>
        <w:spacing w:before="80" w:after="160"/>
        <w:pBdr>
          <w:bottom w:val="single" w:sz="6" w:color="D6DBE1"/>
        </w:pBdr>
      </w:pPr>
    </w:p>
    <w:p>
      <w:r>
        <w:rPr>
          <w:b/>
        </w:rPr>
        <w:t>Conclusion.</w:t>
      </w:r>
      <w:r>
        <w:t xml:space="preserve"> Cette version 2.0 est suffisamment détaillée pour paramétrer le moteur, construire les écrans, préparer les imports et créer les cas de référence. Elle devient un dispositif bancaire de production uniquement après calibration, validation indépendante, approbation réglementaire et interne, et pilote contrôlé.</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Calibri" w:hAnsi="Calibri"/>
      <w:b/>
      <w:bCs/>
      <w:color w:val="0F3D63"/>
      <w:sz w:val="36"/>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F3D63"/>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D1D1D"/>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5C647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20"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